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1D367" w14:textId="3A6DC6B0" w:rsidR="00CA53FB" w:rsidRDefault="000D323C" w:rsidP="000D323C">
      <w:pPr>
        <w:pStyle w:val="Pagedecouverture"/>
        <w:rPr>
          <w:noProof/>
        </w:rPr>
      </w:pPr>
      <w:bookmarkStart w:id="0" w:name="LW_BM_COVERPAGE"/>
      <w:r>
        <w:rPr>
          <w:noProof/>
        </w:rPr>
        <w:pict w14:anchorId="35A27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E1FF2FE-E910-4150-A01C-643721DBA93C" style="width:455.25pt;height:324pt">
            <v:imagedata r:id="rId11" o:title=""/>
          </v:shape>
        </w:pict>
      </w:r>
    </w:p>
    <w:bookmarkEnd w:id="0"/>
    <w:p w14:paraId="1F67EF5C" w14:textId="77777777" w:rsidR="004E0D97" w:rsidRPr="004E0D97" w:rsidRDefault="004E0D97" w:rsidP="004E0D97">
      <w:pPr>
        <w:pStyle w:val="Pagedecouverture"/>
        <w:rPr>
          <w:noProof/>
        </w:rPr>
        <w:sectPr w:rsidR="004E0D97" w:rsidRPr="004E0D97" w:rsidSect="000D323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1566733" w14:textId="77777777" w:rsidR="007E1E4D" w:rsidRPr="00E46615" w:rsidRDefault="00B15F99" w:rsidP="00AA5D14">
      <w:pPr>
        <w:pStyle w:val="Heading1"/>
        <w:numPr>
          <w:ilvl w:val="0"/>
          <w:numId w:val="1"/>
        </w:numPr>
        <w:spacing w:after="240"/>
        <w:rPr>
          <w:rFonts w:ascii="Times New Roman" w:eastAsia="Times New Roman" w:hAnsi="Times New Roman" w:cs="Times New Roman"/>
          <w:b/>
          <w:noProof/>
          <w:color w:val="auto"/>
          <w:sz w:val="24"/>
          <w:szCs w:val="24"/>
        </w:rPr>
      </w:pPr>
      <w:bookmarkStart w:id="1" w:name="_Toc99964840"/>
      <w:bookmarkStart w:id="2" w:name="_GoBack"/>
      <w:bookmarkEnd w:id="2"/>
      <w:r>
        <w:rPr>
          <w:rFonts w:ascii="Times New Roman" w:hAnsi="Times New Roman"/>
          <w:b/>
          <w:noProof/>
          <w:color w:val="auto"/>
          <w:sz w:val="24"/>
          <w:szCs w:val="24"/>
        </w:rPr>
        <w:lastRenderedPageBreak/>
        <w:t>Indledning</w:t>
      </w:r>
      <w:bookmarkEnd w:id="1"/>
    </w:p>
    <w:p w14:paraId="1F4067A4" w14:textId="2C2A0F21" w:rsidR="00FF76D5" w:rsidRDefault="00AB52E1" w:rsidP="00FF76D5">
      <w:pPr>
        <w:jc w:val="both"/>
        <w:rPr>
          <w:rFonts w:ascii="Times New Roman" w:hAnsi="Times New Roman" w:cs="Times New Roman"/>
          <w:noProof/>
          <w:sz w:val="24"/>
          <w:szCs w:val="24"/>
        </w:rPr>
      </w:pPr>
      <w:bookmarkStart w:id="3" w:name="_Hlk103348741"/>
      <w:r>
        <w:rPr>
          <w:rFonts w:ascii="Times New Roman" w:hAnsi="Times New Roman"/>
          <w:noProof/>
          <w:sz w:val="24"/>
          <w:szCs w:val="24"/>
        </w:rPr>
        <w:t xml:space="preserve">Den Europæiske Union og verden står over for en </w:t>
      </w:r>
      <w:r>
        <w:rPr>
          <w:rFonts w:ascii="Times New Roman" w:hAnsi="Times New Roman"/>
          <w:b/>
          <w:bCs/>
          <w:noProof/>
          <w:sz w:val="24"/>
          <w:szCs w:val="24"/>
        </w:rPr>
        <w:t>eksistentiel trussel i form af klimaændringer og en voksende energikrise</w:t>
      </w:r>
      <w:r>
        <w:rPr>
          <w:rFonts w:ascii="Times New Roman" w:hAnsi="Times New Roman"/>
          <w:noProof/>
          <w:sz w:val="24"/>
          <w:szCs w:val="24"/>
        </w:rPr>
        <w:t xml:space="preserve">. </w:t>
      </w:r>
      <w:bookmarkEnd w:id="3"/>
      <w:r>
        <w:rPr>
          <w:rFonts w:ascii="Times New Roman" w:hAnsi="Times New Roman"/>
          <w:noProof/>
          <w:sz w:val="24"/>
          <w:szCs w:val="24"/>
        </w:rPr>
        <w:t xml:space="preserve">Hvis vi ikke sætter skub i bekæmpelsen af klimaændringer og bekæmper tabet af biodiversitet, vil de mål, der blev aftalt i Paris, være uden for rækkevidde sammen med muligheden for at undgå en fuldstændig klimakrise med ødelæggende konsekvenser for mennesker og miljø i hele verden. </w:t>
      </w:r>
    </w:p>
    <w:p w14:paraId="04D4C816" w14:textId="64933D41" w:rsidR="00FF76D5" w:rsidRPr="00131448"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I den sjette rapport fra Det Mellemstatslige Panel om Klimaændringer konkluderes det, at de globale drivhusgasemissioner skal reduceres med 43 % inden 2030 for at forblive på rette spor med hensyn til at nå målet om at </w:t>
      </w:r>
      <w:r>
        <w:rPr>
          <w:rFonts w:ascii="Times New Roman" w:hAnsi="Times New Roman"/>
          <w:b/>
          <w:bCs/>
          <w:noProof/>
          <w:sz w:val="24"/>
          <w:szCs w:val="24"/>
        </w:rPr>
        <w:t>begrænse den globale opvarmning til 1,5 ºC.</w:t>
      </w:r>
      <w:r>
        <w:rPr>
          <w:rFonts w:ascii="Times New Roman" w:hAnsi="Times New Roman"/>
          <w:noProof/>
          <w:sz w:val="24"/>
          <w:szCs w:val="24"/>
        </w:rPr>
        <w:t xml:space="preserve"> Da energisektoren er af central betydning for reduktionen af drivhusgasemissionerne, vil den være kernen i denne omstilling. </w:t>
      </w:r>
    </w:p>
    <w:p w14:paraId="720CAEBC" w14:textId="7B9631B1" w:rsidR="00FF76D5" w:rsidRPr="00131448"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Samtidig har </w:t>
      </w:r>
      <w:r>
        <w:rPr>
          <w:rFonts w:ascii="Times New Roman" w:hAnsi="Times New Roman"/>
          <w:b/>
          <w:bCs/>
          <w:noProof/>
          <w:sz w:val="24"/>
          <w:szCs w:val="24"/>
        </w:rPr>
        <w:t>Rusland ladet hån om de internationale regler gennem sin uprovokerede og uberettigede aggressionskrig mod Ukraine</w:t>
      </w:r>
      <w:r>
        <w:rPr>
          <w:rFonts w:ascii="Times New Roman" w:hAnsi="Times New Roman"/>
          <w:noProof/>
          <w:sz w:val="24"/>
          <w:szCs w:val="24"/>
        </w:rPr>
        <w:t xml:space="preserve">. Dette har sat energi- og fødevaremarkederne på den anden ende og udløst øget prisvolatilitet og energiusikkerhed, som har påvirket ikke kun de umiddelbare nabolande, men hele verden. Dette kræver en reaktion, der tager højde for både de kortsigtede behov og de langsigtede konsekvenser for EU og dets partnere. EU er fuldt ud solidarisk med Ukraine og støtter fortsat landets energisystem. </w:t>
      </w:r>
    </w:p>
    <w:p w14:paraId="6B984BB8" w14:textId="0DE8BA13" w:rsidR="00FF76D5" w:rsidRDefault="00FF76D5" w:rsidP="00FF76D5">
      <w:pPr>
        <w:jc w:val="both"/>
        <w:rPr>
          <w:rFonts w:ascii="Times New Roman" w:hAnsi="Times New Roman" w:cs="Times New Roman"/>
          <w:noProof/>
          <w:sz w:val="24"/>
          <w:szCs w:val="24"/>
        </w:rPr>
      </w:pPr>
      <w:r>
        <w:rPr>
          <w:rFonts w:ascii="Times New Roman" w:hAnsi="Times New Roman"/>
          <w:b/>
          <w:bCs/>
          <w:noProof/>
          <w:sz w:val="24"/>
          <w:szCs w:val="24"/>
        </w:rPr>
        <w:t>Omstillingen til grøn energi er den eneste måde, hvorpå vi samtidig kan sikre bæredygtig, sikker og prismæssigt overkommelig energi i hele verden.</w:t>
      </w:r>
      <w:r>
        <w:rPr>
          <w:rFonts w:ascii="Times New Roman" w:hAnsi="Times New Roman"/>
          <w:noProof/>
          <w:sz w:val="24"/>
          <w:szCs w:val="24"/>
        </w:rPr>
        <w:t xml:space="preserve"> EU er derfor fast besluttet på at holde kursen og samarbejde med partnere i hele verden for at tilskynde partnerlandene til at øge deres klimaambitioner og fastlægge deres veje til klimaneutralitet, men også til at etablere langsigtede forbindelser, der er til gensidig gavn, navnlig på energiområdet. </w:t>
      </w:r>
    </w:p>
    <w:p w14:paraId="4C9DC190" w14:textId="5313DD83" w:rsidR="00FF76D5"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EU vil fortsætte og </w:t>
      </w:r>
      <w:r>
        <w:rPr>
          <w:rFonts w:ascii="Times New Roman" w:hAnsi="Times New Roman"/>
          <w:b/>
          <w:bCs/>
          <w:noProof/>
          <w:sz w:val="24"/>
          <w:szCs w:val="24"/>
        </w:rPr>
        <w:t>intensivere sit engagement rundt om i verden gennem dedikerede partnerskaber</w:t>
      </w:r>
      <w:r>
        <w:rPr>
          <w:rFonts w:ascii="Times New Roman" w:hAnsi="Times New Roman"/>
          <w:noProof/>
          <w:sz w:val="24"/>
          <w:szCs w:val="24"/>
        </w:rPr>
        <w:t xml:space="preserve">. Dette kan gøres gennem finansiel støtte, bistand, teknologioverførsel og/eller styrkede handelsforbindelser. </w:t>
      </w:r>
    </w:p>
    <w:p w14:paraId="5B17848E" w14:textId="14B0E248" w:rsidR="00FF76D5"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Der er også et europæisk behov for at følge denne kurs. På trods af diversificeringen og de interne energisikkerhedsforanstaltninger, der er truffet siden gaskrisen i 2009, er Europa stadig alt for afhængig af en leverandør, der er villig til at bruge energi som våben. For at overvinde denne sårbarhed fremlagde Kommissionen den </w:t>
      </w:r>
      <w:r>
        <w:rPr>
          <w:rFonts w:ascii="Times New Roman" w:hAnsi="Times New Roman"/>
          <w:b/>
          <w:bCs/>
          <w:noProof/>
          <w:sz w:val="24"/>
          <w:szCs w:val="24"/>
        </w:rPr>
        <w:t>8. marts 2022 en meddelelse om REPowerEU</w:t>
      </w:r>
      <w:r>
        <w:rPr>
          <w:rFonts w:ascii="Times New Roman" w:hAnsi="Times New Roman"/>
          <w:noProof/>
          <w:sz w:val="24"/>
          <w:szCs w:val="24"/>
        </w:rPr>
        <w:t xml:space="preserve">, der indeholdt en plan for at </w:t>
      </w:r>
      <w:r>
        <w:rPr>
          <w:rFonts w:ascii="Times New Roman" w:hAnsi="Times New Roman"/>
          <w:b/>
          <w:bCs/>
          <w:noProof/>
          <w:sz w:val="24"/>
          <w:szCs w:val="24"/>
        </w:rPr>
        <w:t xml:space="preserve">sætte en stopper for importen af fossil energi fra Rusland </w:t>
      </w:r>
      <w:r>
        <w:rPr>
          <w:rFonts w:ascii="Times New Roman" w:hAnsi="Times New Roman"/>
          <w:noProof/>
          <w:sz w:val="24"/>
          <w:szCs w:val="24"/>
        </w:rPr>
        <w:t xml:space="preserve">længe før 2030. Dette kræver, at EU's energiforsyning diversificeres, at energibesparelserne øges, og at omstillingen til grøn energi fremskyndes. </w:t>
      </w:r>
    </w:p>
    <w:p w14:paraId="30453439" w14:textId="54AC4021" w:rsidR="00FF76D5" w:rsidRPr="00EC6429" w:rsidRDefault="00865035" w:rsidP="00FF76D5">
      <w:pPr>
        <w:jc w:val="both"/>
        <w:rPr>
          <w:rFonts w:ascii="Times New Roman" w:hAnsi="Times New Roman" w:cs="Times New Roman"/>
          <w:noProof/>
          <w:sz w:val="24"/>
          <w:szCs w:val="24"/>
        </w:rPr>
      </w:pPr>
      <w:r>
        <w:rPr>
          <w:rFonts w:ascii="Times New Roman" w:hAnsi="Times New Roman"/>
          <w:noProof/>
          <w:sz w:val="24"/>
          <w:szCs w:val="24"/>
        </w:rPr>
        <w:t xml:space="preserve">Alle dette er en reaktion på udfordringerne </w:t>
      </w:r>
      <w:r>
        <w:rPr>
          <w:rFonts w:ascii="Times New Roman" w:hAnsi="Times New Roman"/>
          <w:b/>
          <w:bCs/>
          <w:noProof/>
          <w:sz w:val="24"/>
          <w:szCs w:val="24"/>
        </w:rPr>
        <w:t>i en verden og et energilandskab, der er i hastig forandring</w:t>
      </w:r>
      <w:r>
        <w:rPr>
          <w:rFonts w:ascii="Times New Roman" w:hAnsi="Times New Roman"/>
          <w:noProof/>
          <w:sz w:val="24"/>
          <w:szCs w:val="24"/>
        </w:rPr>
        <w:t>. I de kommende år og årtier vil der opstå nye muligheder for energiproduktion sammen med nye handelsmønstre og transportbehov. Mens handelen med konventionelle energiprodukter gradvist vil falde, vil nye råvarer såsom brint og ammoniak begynde at blive handlet internationalt, og efterspørgslen efter lavemissionsteknologier vil vokse. Der vil være behov for nye standarder og forvaltningsordninger for at opbygge mere pålidelige og gensidigt fordelagtige partnerskaber gennem en regelbaseret tilgang.</w:t>
      </w:r>
    </w:p>
    <w:p w14:paraId="69F1331D" w14:textId="77777777" w:rsidR="00FF76D5"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EU skal være parat til at handle i dette nye omskiftelige miljø og til at forme det. </w:t>
      </w:r>
      <w:r>
        <w:rPr>
          <w:rFonts w:ascii="Times New Roman" w:hAnsi="Times New Roman"/>
          <w:b/>
          <w:bCs/>
          <w:noProof/>
          <w:sz w:val="24"/>
          <w:szCs w:val="24"/>
        </w:rPr>
        <w:t xml:space="preserve">Europa vil få nye muligheder </w:t>
      </w:r>
      <w:r>
        <w:rPr>
          <w:rFonts w:ascii="Times New Roman" w:hAnsi="Times New Roman"/>
          <w:noProof/>
          <w:sz w:val="24"/>
          <w:szCs w:val="24"/>
        </w:rPr>
        <w:t xml:space="preserve">for at udvide sin førerposition inden for miljøvenlig teknologi og for at fremme en mere retfærdig og bæredygtig udvikling i hele verden, men vil også stå over for nye udfordringer med hensyn til energisikkerhed og modstandsdygtighed i dets forsyningskæder, navnlig de kritiske råstoffer, som er afgørende for energiomstillingen. </w:t>
      </w:r>
    </w:p>
    <w:p w14:paraId="6542D984" w14:textId="213C1639" w:rsidR="00FF76D5" w:rsidRPr="00EC6429"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På samme måde giver krisen mange lande mulighed for at springe en kulstofintensiv udvikling over og drage fordel af en grønnere og mere lige økonomi, der giver millioner af mennesker adgang til energi. </w:t>
      </w:r>
      <w:r>
        <w:rPr>
          <w:rFonts w:ascii="Times New Roman" w:hAnsi="Times New Roman"/>
          <w:b/>
          <w:bCs/>
          <w:noProof/>
          <w:sz w:val="24"/>
          <w:szCs w:val="24"/>
        </w:rPr>
        <w:t xml:space="preserve">I overensstemmelse med mål for bæredygtig udvikling nr. 7 vil EU arbejde for at sikre en retfærdig og inklusiv energiomstilling. </w:t>
      </w:r>
      <w:r>
        <w:rPr>
          <w:rFonts w:ascii="Times New Roman" w:hAnsi="Times New Roman"/>
          <w:noProof/>
          <w:sz w:val="24"/>
          <w:szCs w:val="24"/>
        </w:rPr>
        <w:t>Europa-Kommissionen og den højtstående repræsentant vil deltage i og støtte dem, der går i gang med den grønne omstilling, og dermed fremme langsigtede bæredygtige investeringer, herunder gennem Global Gateway, som er EU's plan for og værdibaserede forslag om store investeringer i infrastrukturudvikling i hele verden.</w:t>
      </w:r>
    </w:p>
    <w:p w14:paraId="509F9211" w14:textId="2B8E3FAA" w:rsidR="00FF76D5" w:rsidRPr="00EC6429"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Alle disse aspekter kræver, at EU opdaterer sin eksterne energistrategi — mere end ti år efter vedtagelsen af den foregående — med henblik på at intensivere sit engagement med partnere og styrke sin klima- og energidiplomati i overensstemmelse med Udenrigsrådets konklusioner af 25. januar 2021. </w:t>
      </w:r>
    </w:p>
    <w:p w14:paraId="14B36C59" w14:textId="21BBE8A6" w:rsidR="00FF76D5" w:rsidRPr="004A1D96" w:rsidRDefault="00FF76D5" w:rsidP="00CC199B">
      <w:pPr>
        <w:jc w:val="both"/>
        <w:rPr>
          <w:rFonts w:ascii="Times New Roman" w:hAnsi="Times New Roman" w:cs="Times New Roman"/>
          <w:b/>
          <w:bCs/>
          <w:noProof/>
          <w:sz w:val="24"/>
          <w:szCs w:val="24"/>
        </w:rPr>
      </w:pPr>
      <w:r>
        <w:rPr>
          <w:rFonts w:ascii="Times New Roman" w:hAnsi="Times New Roman"/>
          <w:b/>
          <w:bCs/>
          <w:noProof/>
          <w:sz w:val="24"/>
          <w:szCs w:val="24"/>
        </w:rPr>
        <w:t>For at opnå dette skal EU's eksterne energipolitik</w:t>
      </w:r>
      <w:r>
        <w:rPr>
          <w:rFonts w:ascii="Times New Roman" w:hAnsi="Times New Roman"/>
          <w:noProof/>
          <w:sz w:val="24"/>
          <w:szCs w:val="24"/>
        </w:rPr>
        <w:t xml:space="preserve"> sigte mod at:</w:t>
      </w:r>
    </w:p>
    <w:p w14:paraId="42504176" w14:textId="18BCE7BE" w:rsidR="00FF76D5" w:rsidRDefault="00FB5058" w:rsidP="00FF76D5">
      <w:pPr>
        <w:pStyle w:val="ListParagraph"/>
        <w:numPr>
          <w:ilvl w:val="0"/>
          <w:numId w:val="20"/>
        </w:numPr>
        <w:jc w:val="both"/>
        <w:rPr>
          <w:rFonts w:ascii="Times New Roman" w:hAnsi="Times New Roman" w:cs="Times New Roman"/>
          <w:b/>
          <w:bCs/>
          <w:noProof/>
          <w:sz w:val="24"/>
          <w:szCs w:val="24"/>
        </w:rPr>
      </w:pPr>
      <w:r>
        <w:rPr>
          <w:rFonts w:ascii="Times New Roman" w:hAnsi="Times New Roman"/>
          <w:b/>
          <w:bCs/>
          <w:noProof/>
          <w:sz w:val="24"/>
          <w:szCs w:val="24"/>
        </w:rPr>
        <w:t>styrke EU's energisikkerhed, modstandsdygtighed og åbne strategiske autonomi ved at diversificere EU's energiforsyning og sætte skub i energibesparelser og -effektivitet</w:t>
      </w:r>
    </w:p>
    <w:p w14:paraId="1BEC2F60" w14:textId="5E83750C" w:rsidR="00FF76D5" w:rsidRPr="003B5592" w:rsidRDefault="00FB5058" w:rsidP="00FF76D5">
      <w:pPr>
        <w:pStyle w:val="ListParagraph"/>
        <w:numPr>
          <w:ilvl w:val="0"/>
          <w:numId w:val="20"/>
        </w:numPr>
        <w:jc w:val="both"/>
        <w:rPr>
          <w:rFonts w:ascii="Times New Roman" w:hAnsi="Times New Roman" w:cs="Times New Roman"/>
          <w:b/>
          <w:bCs/>
          <w:noProof/>
          <w:sz w:val="24"/>
          <w:szCs w:val="24"/>
        </w:rPr>
      </w:pPr>
      <w:r>
        <w:rPr>
          <w:rFonts w:ascii="Times New Roman" w:hAnsi="Times New Roman"/>
          <w:b/>
          <w:bCs/>
          <w:noProof/>
          <w:sz w:val="24"/>
          <w:szCs w:val="24"/>
        </w:rPr>
        <w:t>fremskynde den globale grønne og retfærdige energiomstilling med henblik på at sikre bæredygtig, sikker og prismæssigt overkommelig energi til EU og resten af verden</w:t>
      </w:r>
    </w:p>
    <w:p w14:paraId="4EE231BE" w14:textId="2DF82F48" w:rsidR="00FF76D5" w:rsidRDefault="00FB5058" w:rsidP="00FF76D5">
      <w:pPr>
        <w:pStyle w:val="ListParagraph"/>
        <w:numPr>
          <w:ilvl w:val="0"/>
          <w:numId w:val="20"/>
        </w:numPr>
        <w:jc w:val="both"/>
        <w:rPr>
          <w:rFonts w:ascii="Times New Roman" w:hAnsi="Times New Roman" w:cs="Times New Roman"/>
          <w:b/>
          <w:bCs/>
          <w:noProof/>
          <w:sz w:val="24"/>
          <w:szCs w:val="24"/>
        </w:rPr>
      </w:pPr>
      <w:r>
        <w:rPr>
          <w:rFonts w:ascii="Times New Roman" w:hAnsi="Times New Roman"/>
          <w:b/>
          <w:bCs/>
          <w:noProof/>
          <w:sz w:val="24"/>
          <w:szCs w:val="24"/>
        </w:rPr>
        <w:t>støtte Ukraine og andre lande, som er direkte eller indirekte berørt af den russiske aggression</w:t>
      </w:r>
    </w:p>
    <w:p w14:paraId="569B24E2" w14:textId="75A6955C" w:rsidR="00FF76D5" w:rsidRDefault="00FB5058" w:rsidP="00FF76D5">
      <w:pPr>
        <w:pStyle w:val="ListParagraph"/>
        <w:numPr>
          <w:ilvl w:val="0"/>
          <w:numId w:val="20"/>
        </w:numPr>
        <w:jc w:val="both"/>
        <w:rPr>
          <w:rFonts w:ascii="Times New Roman" w:hAnsi="Times New Roman" w:cs="Times New Roman"/>
          <w:b/>
          <w:bCs/>
          <w:noProof/>
          <w:sz w:val="24"/>
          <w:szCs w:val="24"/>
        </w:rPr>
      </w:pPr>
      <w:r>
        <w:rPr>
          <w:rFonts w:ascii="Times New Roman" w:hAnsi="Times New Roman"/>
          <w:b/>
          <w:bCs/>
          <w:noProof/>
          <w:sz w:val="24"/>
          <w:szCs w:val="24"/>
        </w:rPr>
        <w:t>opbygge langvarige internationale partnerskaber og fremme EU's industrier inden for ren energi i hele verden.</w:t>
      </w:r>
    </w:p>
    <w:p w14:paraId="7A222EA6" w14:textId="0D315144" w:rsidR="00C33F66" w:rsidRPr="00FA793B" w:rsidRDefault="00C33F66" w:rsidP="00C33F66">
      <w:pPr>
        <w:pStyle w:val="Heading1"/>
        <w:numPr>
          <w:ilvl w:val="0"/>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EU's eksterne energipolitik for REPowerEU</w:t>
      </w:r>
    </w:p>
    <w:p w14:paraId="0C64971C" w14:textId="0DA58A76" w:rsidR="008F2D2C" w:rsidRPr="008F2D2C" w:rsidRDefault="00987E46" w:rsidP="00E14DFB">
      <w:pPr>
        <w:jc w:val="both"/>
        <w:rPr>
          <w:rFonts w:ascii="Times New Roman" w:hAnsi="Times New Roman" w:cs="Times New Roman"/>
          <w:noProof/>
          <w:sz w:val="24"/>
          <w:szCs w:val="24"/>
        </w:rPr>
      </w:pPr>
      <w:r>
        <w:rPr>
          <w:rFonts w:ascii="Times New Roman" w:hAnsi="Times New Roman"/>
          <w:noProof/>
          <w:sz w:val="24"/>
          <w:szCs w:val="24"/>
        </w:rPr>
        <w:t xml:space="preserve">Som fastsat i </w:t>
      </w:r>
      <w:r>
        <w:rPr>
          <w:rFonts w:ascii="Times New Roman" w:hAnsi="Times New Roman"/>
          <w:b/>
          <w:bCs/>
          <w:noProof/>
          <w:sz w:val="24"/>
          <w:szCs w:val="24"/>
        </w:rPr>
        <w:t>REPowerEU-planen af 18. maj 2022</w:t>
      </w:r>
      <w:r>
        <w:rPr>
          <w:rFonts w:ascii="Times New Roman" w:hAnsi="Times New Roman"/>
          <w:noProof/>
          <w:sz w:val="24"/>
          <w:szCs w:val="24"/>
        </w:rPr>
        <w:t xml:space="preserve">, som blev offentliggjort sideløbende med denne strategi, vil Europas energisystem øge dets effektivitet og gå over til grønne energikilder i et hurtigere tempo end forventet, før Rusland indledte sin aggression mod Ukraine. Mens </w:t>
      </w:r>
      <w:r>
        <w:rPr>
          <w:rFonts w:ascii="Times New Roman" w:hAnsi="Times New Roman"/>
          <w:b/>
          <w:bCs/>
          <w:noProof/>
          <w:sz w:val="24"/>
          <w:szCs w:val="24"/>
        </w:rPr>
        <w:t>omstillingen til grøn energi er kernen i EU's bestræbelser på at opnå energiuafhængighed</w:t>
      </w:r>
      <w:r>
        <w:rPr>
          <w:rFonts w:ascii="Times New Roman" w:hAnsi="Times New Roman"/>
          <w:noProof/>
          <w:sz w:val="24"/>
          <w:szCs w:val="24"/>
        </w:rPr>
        <w:t>, vil det — hvis vi skal kunne undvære russiske fossile brændstoffer — kræve, at nogle af disse erstattes med fossile brændstoffer fra andre internationale leverandører, eftersom EU's interne olie- og gasproduktion er meget begrænset: Vi importerer 90 % af vores gasforbrug, 97 % af vores olie og 70 % af vores kulbehov. Da EU's gasefterspørgsel vil falde hurtigere end tidligere forventet og for at minimere risikoen for strandede investeringer og aktiver, vil EU fremme diversificeringsstrategier, der omfatter både investeringer i gas</w:t>
      </w:r>
      <w:bookmarkStart w:id="4" w:name="_Hlk102912053"/>
      <w:r>
        <w:rPr>
          <w:rFonts w:ascii="Times New Roman" w:hAnsi="Times New Roman"/>
          <w:noProof/>
          <w:sz w:val="24"/>
          <w:szCs w:val="24"/>
        </w:rPr>
        <w:t xml:space="preserve"> og grøn brint.</w:t>
      </w:r>
    </w:p>
    <w:p w14:paraId="0A05C9F1" w14:textId="571120A7" w:rsidR="008825E3" w:rsidRPr="00E46615" w:rsidRDefault="0066231E" w:rsidP="00C33F66">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Diversificering af EU's gasforsyning</w:t>
      </w:r>
    </w:p>
    <w:p w14:paraId="1B20E1F1" w14:textId="440CEEB8" w:rsidR="009E3594" w:rsidRDefault="007565FF" w:rsidP="007E0EE2">
      <w:pPr>
        <w:jc w:val="both"/>
        <w:rPr>
          <w:rFonts w:ascii="Times New Roman" w:hAnsi="Times New Roman" w:cs="Times New Roman"/>
          <w:noProof/>
          <w:sz w:val="24"/>
          <w:szCs w:val="24"/>
        </w:rPr>
      </w:pPr>
      <w:r>
        <w:rPr>
          <w:rFonts w:ascii="Times New Roman" w:hAnsi="Times New Roman"/>
          <w:noProof/>
          <w:sz w:val="24"/>
          <w:szCs w:val="24"/>
        </w:rPr>
        <w:t>I dag er Rusland Europas største gasleverandør</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w:t>
      </w:r>
      <w:r>
        <w:rPr>
          <w:rFonts w:ascii="Times New Roman" w:hAnsi="Times New Roman"/>
          <w:b/>
          <w:bCs/>
          <w:noProof/>
          <w:sz w:val="24"/>
          <w:szCs w:val="24"/>
        </w:rPr>
        <w:t xml:space="preserve">REPowerEU-planen har til formål at sætte en stopper for EU's afhængighed af russisk gas så hurtigt som muligt. </w:t>
      </w:r>
      <w:r>
        <w:rPr>
          <w:rFonts w:ascii="Times New Roman" w:hAnsi="Times New Roman"/>
          <w:noProof/>
          <w:sz w:val="24"/>
          <w:szCs w:val="24"/>
        </w:rPr>
        <w:t xml:space="preserve">Størstedelen af denne gasefterspørgsel vil blive erstattet af vedvarende energikilder, kulstoffattige energikilder, energieffektivitet og besparelser. Det resterende behov for naturgas vil blive dækket af diversificerede leverandører. </w:t>
      </w:r>
    </w:p>
    <w:p w14:paraId="5788A7A7" w14:textId="72FF4073" w:rsidR="002276AB" w:rsidRDefault="00EC0BF1" w:rsidP="00A72A23">
      <w:pPr>
        <w:jc w:val="both"/>
        <w:rPr>
          <w:rFonts w:ascii="Times New Roman" w:hAnsi="Times New Roman" w:cs="Times New Roman"/>
          <w:noProof/>
          <w:sz w:val="24"/>
          <w:szCs w:val="24"/>
        </w:rPr>
      </w:pPr>
      <w:r>
        <w:rPr>
          <w:rFonts w:ascii="Times New Roman" w:hAnsi="Times New Roman"/>
          <w:noProof/>
          <w:sz w:val="24"/>
          <w:szCs w:val="24"/>
        </w:rPr>
        <w:t>For at dække behovet for gas i de kommende år</w:t>
      </w:r>
      <w:r>
        <w:rPr>
          <w:rFonts w:ascii="Times New Roman" w:hAnsi="Times New Roman"/>
          <w:b/>
          <w:bCs/>
          <w:noProof/>
          <w:sz w:val="24"/>
          <w:szCs w:val="24"/>
        </w:rPr>
        <w:t xml:space="preserve"> skal EU øge sin gasimport fra ikke-russiske kilder:</w:t>
      </w:r>
      <w:r>
        <w:rPr>
          <w:rFonts w:ascii="Times New Roman" w:hAnsi="Times New Roman"/>
          <w:noProof/>
          <w:sz w:val="24"/>
          <w:szCs w:val="24"/>
        </w:rPr>
        <w:t xml:space="preserve"> primært af flydende naturgas (LNG) (+50 mia. m</w:t>
      </w:r>
      <w:r>
        <w:rPr>
          <w:rFonts w:ascii="Times New Roman" w:hAnsi="Times New Roman"/>
          <w:noProof/>
          <w:sz w:val="24"/>
          <w:szCs w:val="24"/>
          <w:vertAlign w:val="superscript"/>
        </w:rPr>
        <w:t>3</w:t>
      </w:r>
      <w:r>
        <w:rPr>
          <w:rFonts w:ascii="Times New Roman" w:hAnsi="Times New Roman"/>
          <w:noProof/>
          <w:sz w:val="24"/>
          <w:szCs w:val="24"/>
        </w:rPr>
        <w:t>), men også rørledningsgas (+10 mia. m</w:t>
      </w:r>
      <w:r>
        <w:rPr>
          <w:rFonts w:ascii="Times New Roman" w:hAnsi="Times New Roman"/>
          <w:noProof/>
          <w:sz w:val="24"/>
          <w:szCs w:val="24"/>
          <w:vertAlign w:val="superscript"/>
        </w:rPr>
        <w:t>3</w:t>
      </w:r>
      <w:r>
        <w:rPr>
          <w:rFonts w:ascii="Times New Roman" w:hAnsi="Times New Roman"/>
          <w:noProof/>
          <w:sz w:val="24"/>
          <w:szCs w:val="24"/>
        </w:rPr>
        <w:t xml:space="preserve"> eller mere). Med henblik herpå har EU lanceret EU's energiplatform, hvor EU vil samle, koordinere brugen af infrastruktur og forhandle med internationale partnere for at lette fælles indkøb af gas og brint som beskrevet i introduktionsmeddelelsen om REPowerEU.</w:t>
      </w:r>
    </w:p>
    <w:p w14:paraId="309487FD" w14:textId="552BCADA" w:rsidR="00CF7533" w:rsidRDefault="002A119A" w:rsidP="00CF7533">
      <w:pPr>
        <w:jc w:val="both"/>
        <w:rPr>
          <w:rFonts w:ascii="Times New Roman" w:hAnsi="Times New Roman" w:cs="Times New Roman"/>
          <w:noProof/>
          <w:sz w:val="24"/>
          <w:szCs w:val="24"/>
        </w:rPr>
      </w:pPr>
      <w:r>
        <w:rPr>
          <w:rFonts w:ascii="Times New Roman" w:hAnsi="Times New Roman"/>
          <w:noProof/>
          <w:sz w:val="24"/>
          <w:szCs w:val="24"/>
        </w:rPr>
        <w:t xml:space="preserve">Dette bygger på det arbejde, som Europa-Kommissionen har udført siden sidste efterår, og </w:t>
      </w:r>
      <w:r>
        <w:rPr>
          <w:rFonts w:ascii="Times New Roman" w:hAnsi="Times New Roman"/>
          <w:b/>
          <w:bCs/>
          <w:noProof/>
          <w:sz w:val="24"/>
          <w:szCs w:val="24"/>
        </w:rPr>
        <w:t>rækker ud mod EU's vigtigste LNG- og rørgasleverandører</w:t>
      </w:r>
      <w:r>
        <w:rPr>
          <w:rFonts w:ascii="Times New Roman" w:hAnsi="Times New Roman"/>
          <w:noProof/>
          <w:sz w:val="24"/>
          <w:szCs w:val="24"/>
        </w:rPr>
        <w:t>. Denne indsats har resulteret i rekordstore månedlige LNG-leverancer på 12,5 mia. m</w:t>
      </w:r>
      <w:r>
        <w:rPr>
          <w:rFonts w:ascii="Times New Roman" w:hAnsi="Times New Roman"/>
          <w:noProof/>
          <w:sz w:val="24"/>
          <w:szCs w:val="24"/>
          <w:vertAlign w:val="superscript"/>
        </w:rPr>
        <w:t>3</w:t>
      </w:r>
      <w:r>
        <w:rPr>
          <w:rFonts w:ascii="Times New Roman" w:hAnsi="Times New Roman"/>
          <w:noProof/>
          <w:sz w:val="24"/>
          <w:szCs w:val="24"/>
        </w:rPr>
        <w:t xml:space="preserve"> i april 2022 og 42 mia. m</w:t>
      </w:r>
      <w:r>
        <w:rPr>
          <w:rFonts w:ascii="Times New Roman" w:hAnsi="Times New Roman"/>
          <w:noProof/>
          <w:sz w:val="24"/>
          <w:szCs w:val="24"/>
          <w:vertAlign w:val="superscript"/>
        </w:rPr>
        <w:t>3</w:t>
      </w:r>
      <w:r>
        <w:rPr>
          <w:rFonts w:ascii="Times New Roman" w:hAnsi="Times New Roman"/>
          <w:noProof/>
          <w:sz w:val="24"/>
          <w:szCs w:val="24"/>
        </w:rPr>
        <w:t xml:space="preserve"> fra januar til april 2022. </w:t>
      </w:r>
      <w:bookmarkStart w:id="5" w:name="_Hlk103323438"/>
      <w:r>
        <w:rPr>
          <w:rFonts w:ascii="Times New Roman" w:hAnsi="Times New Roman"/>
          <w:noProof/>
          <w:sz w:val="24"/>
          <w:szCs w:val="24"/>
        </w:rPr>
        <w:t xml:space="preserve">Platformen vil integrere EU-medlemsstaternes igangværende diversificeringsbestræbelser og være åben for Ukraine, Moldova og Georgien samt Vestbalkan. </w:t>
      </w:r>
      <w:bookmarkEnd w:id="5"/>
    </w:p>
    <w:p w14:paraId="4D31B1FA" w14:textId="4A8702E9" w:rsidR="00A72A23" w:rsidRPr="00A72A23" w:rsidRDefault="00A5339B" w:rsidP="00A72A23">
      <w:pPr>
        <w:jc w:val="both"/>
        <w:rPr>
          <w:rFonts w:ascii="Times New Roman" w:hAnsi="Times New Roman" w:cs="Times New Roman"/>
          <w:noProof/>
          <w:sz w:val="24"/>
          <w:szCs w:val="24"/>
        </w:rPr>
      </w:pPr>
      <w:r>
        <w:rPr>
          <w:rFonts w:ascii="Times New Roman" w:hAnsi="Times New Roman"/>
          <w:noProof/>
          <w:sz w:val="24"/>
          <w:szCs w:val="24"/>
        </w:rPr>
        <w:t xml:space="preserve">For at lette diversificeringsindsatsen er </w:t>
      </w:r>
      <w:r>
        <w:rPr>
          <w:rFonts w:ascii="Times New Roman" w:hAnsi="Times New Roman"/>
          <w:b/>
          <w:bCs/>
          <w:noProof/>
          <w:sz w:val="24"/>
          <w:szCs w:val="24"/>
        </w:rPr>
        <w:t>Europa-Kommissionen og USA blevet enige</w:t>
      </w:r>
      <w:r>
        <w:rPr>
          <w:rStyle w:val="FootnoteReference"/>
          <w:rFonts w:ascii="Times New Roman" w:hAnsi="Times New Roman" w:cs="Times New Roman"/>
          <w:bCs/>
          <w:noProof/>
          <w:sz w:val="24"/>
          <w:szCs w:val="24"/>
        </w:rPr>
        <w:footnoteReference w:id="3"/>
      </w:r>
      <w:r>
        <w:rPr>
          <w:rFonts w:ascii="Times New Roman" w:hAnsi="Times New Roman"/>
          <w:noProof/>
          <w:sz w:val="24"/>
          <w:szCs w:val="24"/>
        </w:rPr>
        <w:t xml:space="preserve"> om at sigte mod levering af yderligere LNG til EU (mindst 15 mia. m</w:t>
      </w:r>
      <w:r>
        <w:rPr>
          <w:rFonts w:ascii="Times New Roman" w:hAnsi="Times New Roman"/>
          <w:noProof/>
          <w:sz w:val="24"/>
          <w:szCs w:val="24"/>
          <w:vertAlign w:val="superscript"/>
        </w:rPr>
        <w:t>3</w:t>
      </w:r>
      <w:r>
        <w:rPr>
          <w:rFonts w:ascii="Times New Roman" w:hAnsi="Times New Roman"/>
          <w:noProof/>
          <w:sz w:val="24"/>
          <w:szCs w:val="24"/>
        </w:rPr>
        <w:t xml:space="preserve"> i 2022 og ca. 50 mia. m</w:t>
      </w:r>
      <w:r>
        <w:rPr>
          <w:rFonts w:ascii="Times New Roman" w:hAnsi="Times New Roman"/>
          <w:noProof/>
          <w:sz w:val="24"/>
          <w:szCs w:val="24"/>
          <w:vertAlign w:val="superscript"/>
        </w:rPr>
        <w:t>3</w:t>
      </w:r>
      <w:r>
        <w:rPr>
          <w:rFonts w:ascii="Times New Roman" w:hAnsi="Times New Roman"/>
          <w:noProof/>
          <w:sz w:val="24"/>
          <w:szCs w:val="24"/>
        </w:rPr>
        <w:t xml:space="preserve"> hvert år frem til tidligst 2030) gennem eksport fra USA, men også i samarbejde med andre internationale partnere</w:t>
      </w:r>
      <w:r>
        <w:rPr>
          <w:rFonts w:ascii="Times New Roman" w:hAnsi="Times New Roman"/>
          <w:bCs/>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Kommissionen har også nedsat en særlig </w:t>
      </w:r>
      <w:r>
        <w:rPr>
          <w:rFonts w:ascii="Times New Roman" w:hAnsi="Times New Roman"/>
          <w:b/>
          <w:bCs/>
          <w:noProof/>
          <w:sz w:val="24"/>
          <w:szCs w:val="24"/>
        </w:rPr>
        <w:t xml:space="preserve">arbejdsgruppe med Canada </w:t>
      </w:r>
      <w:r>
        <w:rPr>
          <w:rFonts w:ascii="Times New Roman" w:hAnsi="Times New Roman"/>
          <w:noProof/>
          <w:sz w:val="24"/>
          <w:szCs w:val="24"/>
        </w:rPr>
        <w:t>for at undersøge mulighederne for levering af LNG og brint i de kommende år</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w:t>
      </w:r>
    </w:p>
    <w:p w14:paraId="4F34CB9C" w14:textId="61FB5062" w:rsidR="00267382" w:rsidRDefault="00FF76D5" w:rsidP="00CA014D">
      <w:pPr>
        <w:jc w:val="both"/>
        <w:rPr>
          <w:rFonts w:ascii="Times New Roman" w:hAnsi="Times New Roman" w:cs="Times New Roman"/>
          <w:noProof/>
          <w:sz w:val="24"/>
          <w:szCs w:val="24"/>
        </w:rPr>
      </w:pPr>
      <w:r>
        <w:rPr>
          <w:rFonts w:ascii="Times New Roman" w:hAnsi="Times New Roman"/>
          <w:noProof/>
          <w:sz w:val="24"/>
          <w:szCs w:val="24"/>
        </w:rPr>
        <w:t xml:space="preserve">Inden denne sommer sigter EU mod at indgå en </w:t>
      </w:r>
      <w:r>
        <w:rPr>
          <w:rFonts w:ascii="Times New Roman" w:hAnsi="Times New Roman"/>
          <w:b/>
          <w:bCs/>
          <w:noProof/>
          <w:sz w:val="24"/>
          <w:szCs w:val="24"/>
        </w:rPr>
        <w:t>trilateral aftale med Egypten og Israel</w:t>
      </w:r>
      <w:r>
        <w:rPr>
          <w:rFonts w:ascii="Times New Roman" w:hAnsi="Times New Roman"/>
          <w:noProof/>
          <w:sz w:val="24"/>
          <w:szCs w:val="24"/>
        </w:rPr>
        <w:t xml:space="preserve"> om at forsyne Europa med LNG. Japan og Korea har allerede omdirigeret en række LNG-ladninger til Europa, og der arbejdes videre med henblik på at benytte denne mulighed i fremtiden. Qatar er parat til at lette udvekslinger med asiatiske lande. Med hensyn til rørledningsgas har Norge allerede øget sine leverancer til Europa, og både </w:t>
      </w:r>
      <w:r>
        <w:rPr>
          <w:rFonts w:ascii="Times New Roman" w:hAnsi="Times New Roman"/>
          <w:b/>
          <w:bCs/>
          <w:noProof/>
          <w:sz w:val="24"/>
          <w:szCs w:val="24"/>
        </w:rPr>
        <w:t>Algeriet og Aserbajdsjan</w:t>
      </w:r>
      <w:r>
        <w:rPr>
          <w:rFonts w:ascii="Times New Roman" w:hAnsi="Times New Roman"/>
          <w:noProof/>
          <w:sz w:val="24"/>
          <w:szCs w:val="24"/>
        </w:rPr>
        <w:t xml:space="preserve"> har tilkendegivet, at de også er villige til at gøre det. EU vil sigte mod at genoptage energidialogen med Algeriet og intensivere samarbejdet med Aserbajdsjan på baggrund af den strategiske betydning af den sydlige gaskorridor. En opskalering af den transadriatiske rørlednings kapacitet vil kunne øge gasforsyningen til EU og landene på Vestbalkan.</w:t>
      </w:r>
    </w:p>
    <w:p w14:paraId="3773F77D" w14:textId="28AD755A" w:rsidR="00A72A23" w:rsidRDefault="00A72A23" w:rsidP="00A72A23">
      <w:pPr>
        <w:spacing w:after="120"/>
        <w:jc w:val="both"/>
        <w:rPr>
          <w:rFonts w:ascii="Times New Roman" w:hAnsi="Times New Roman" w:cs="Times New Roman"/>
          <w:noProof/>
          <w:sz w:val="24"/>
          <w:szCs w:val="24"/>
        </w:rPr>
      </w:pPr>
      <w:r>
        <w:rPr>
          <w:rFonts w:ascii="Times New Roman" w:hAnsi="Times New Roman"/>
          <w:noProof/>
          <w:sz w:val="24"/>
          <w:szCs w:val="24"/>
        </w:rPr>
        <w:t xml:space="preserve">Lande i Afrika syd for Sahara, navnlig i Vestafrika som f.eks. Nigeria (som tegnede sig for 15 % af EU's import i 2021), Senegal og Angola, tilbyder også et uudnyttet LNG-potentiale. En fuldstændig og effektiv gennemførelse af den fælles omfattende handlingsplan vil fremme særlige overvejelser om Irans potentiale til at blive en pålidelig gasleverandør til Europa. </w:t>
      </w:r>
    </w:p>
    <w:p w14:paraId="3BFC5682" w14:textId="33C395A3" w:rsidR="00776973" w:rsidRPr="00005711" w:rsidRDefault="00F82F0D" w:rsidP="00CA014D">
      <w:pPr>
        <w:spacing w:after="120"/>
        <w:jc w:val="both"/>
        <w:rPr>
          <w:rFonts w:ascii="Times New Roman" w:hAnsi="Times New Roman" w:cs="Times New Roman"/>
          <w:noProof/>
          <w:sz w:val="24"/>
          <w:szCs w:val="24"/>
        </w:rPr>
      </w:pPr>
      <w:r>
        <w:rPr>
          <w:rFonts w:ascii="Times New Roman" w:hAnsi="Times New Roman"/>
          <w:noProof/>
          <w:sz w:val="24"/>
          <w:szCs w:val="24"/>
        </w:rPr>
        <w:t xml:space="preserve">EU vil sigte mod at sikre, at yderligere gasforsyninger fra eksisterende og nye gasleverandører kombineres med </w:t>
      </w:r>
      <w:r>
        <w:rPr>
          <w:rFonts w:ascii="Times New Roman" w:hAnsi="Times New Roman"/>
          <w:b/>
          <w:bCs/>
          <w:noProof/>
          <w:sz w:val="24"/>
          <w:szCs w:val="24"/>
        </w:rPr>
        <w:t>målrettede foranstaltninger til håndtering af methanlækager, afblæsning og flaring</w:t>
      </w:r>
      <w:r>
        <w:rPr>
          <w:rFonts w:ascii="Times New Roman" w:hAnsi="Times New Roman"/>
          <w:noProof/>
          <w:sz w:val="24"/>
          <w:szCs w:val="24"/>
        </w:rPr>
        <w:t xml:space="preserve">, hvilket skaber yderligere likviditet på de globale markeder, samtidig med at der sikres betydelige klimafordele. Med henblik herpå vil EU samarbejde med sine forsyningspartnere for fossile brændstoffer om at reducere methanemissionerne. Hvert år går mindst </w:t>
      </w:r>
      <w:r>
        <w:rPr>
          <w:rFonts w:ascii="Times New Roman" w:hAnsi="Times New Roman"/>
          <w:b/>
          <w:bCs/>
          <w:noProof/>
          <w:sz w:val="24"/>
          <w:szCs w:val="24"/>
        </w:rPr>
        <w:t>46 mia. m</w:t>
      </w:r>
      <w:r>
        <w:rPr>
          <w:rFonts w:ascii="Times New Roman" w:hAnsi="Times New Roman"/>
          <w:b/>
          <w:bCs/>
          <w:noProof/>
          <w:sz w:val="24"/>
          <w:szCs w:val="24"/>
          <w:vertAlign w:val="superscript"/>
        </w:rPr>
        <w:t>3</w:t>
      </w:r>
      <w:r>
        <w:rPr>
          <w:rFonts w:ascii="Times New Roman" w:hAnsi="Times New Roman"/>
          <w:b/>
          <w:bCs/>
          <w:noProof/>
          <w:sz w:val="24"/>
          <w:szCs w:val="24"/>
        </w:rPr>
        <w:t xml:space="preserve"> naturgas tabt</w:t>
      </w:r>
      <w:r>
        <w:rPr>
          <w:rStyle w:val="FootnoteReference"/>
          <w:rFonts w:ascii="Times New Roman" w:hAnsi="Times New Roman" w:cs="Times New Roman"/>
          <w:b/>
          <w:bCs/>
          <w:noProof/>
          <w:sz w:val="24"/>
          <w:szCs w:val="24"/>
          <w:lang w:val="en-IE"/>
        </w:rPr>
        <w:footnoteReference w:id="5"/>
      </w:r>
      <w:r>
        <w:rPr>
          <w:rFonts w:ascii="Times New Roman" w:hAnsi="Times New Roman"/>
          <w:noProof/>
          <w:sz w:val="24"/>
          <w:szCs w:val="24"/>
        </w:rPr>
        <w:t xml:space="preserve"> som følge af afblæsning og flaring i lande, der kunne levere naturgas til EU. Der er udviklet teknologi til at opsamle størstedelen af denne methan (den vigtigste komponent i naturgas) på en bæredygtig og økonomisk måde. EU er parat til at yde teknisk bistand til partnere med henblik på at etablere </w:t>
      </w:r>
      <w:r>
        <w:rPr>
          <w:rFonts w:ascii="Times New Roman" w:hAnsi="Times New Roman"/>
          <w:b/>
          <w:bCs/>
          <w:noProof/>
          <w:sz w:val="24"/>
          <w:szCs w:val="24"/>
        </w:rPr>
        <w:t>"I opsamler/vi køber"-ordninger</w:t>
      </w:r>
      <w:r>
        <w:rPr>
          <w:rFonts w:ascii="Times New Roman" w:hAnsi="Times New Roman"/>
          <w:noProof/>
          <w:sz w:val="24"/>
          <w:szCs w:val="24"/>
        </w:rPr>
        <w:t>.</w:t>
      </w:r>
    </w:p>
    <w:p w14:paraId="1623F04B" w14:textId="77777777" w:rsidR="00CA014D" w:rsidRDefault="00776973" w:rsidP="007565FF">
      <w:pPr>
        <w:jc w:val="both"/>
        <w:rPr>
          <w:rFonts w:ascii="Times New Roman" w:hAnsi="Times New Roman" w:cs="Times New Roman"/>
          <w:noProof/>
          <w:sz w:val="24"/>
          <w:szCs w:val="24"/>
        </w:rPr>
      </w:pPr>
      <w:r>
        <w:rPr>
          <w:rFonts w:ascii="Times New Roman" w:hAnsi="Times New Roman"/>
          <w:noProof/>
          <w:sz w:val="24"/>
          <w:szCs w:val="24"/>
        </w:rPr>
        <w:t xml:space="preserve">EU vil også indkalde partnere såsom Den Europæiske Investeringsbank (EIB), Den Europæiske Bank for Genopbygning og Udvikling (EBRD) og Verdensbanken for at skabe incitamenter til hurtig indsamling af spildte fossile gasser, herunder methan, og koncentration af disse tab i meningsfulde produkter, som kan sælges til internationale købere. </w:t>
      </w:r>
    </w:p>
    <w:p w14:paraId="76EA4BC0" w14:textId="3C49CC7F" w:rsidR="002276AB" w:rsidRDefault="00267382" w:rsidP="007565FF">
      <w:pPr>
        <w:jc w:val="both"/>
        <w:rPr>
          <w:rFonts w:ascii="Times New Roman" w:hAnsi="Times New Roman" w:cs="Times New Roman"/>
          <w:noProof/>
          <w:sz w:val="24"/>
          <w:szCs w:val="24"/>
        </w:rPr>
      </w:pPr>
      <w:r>
        <w:rPr>
          <w:rFonts w:ascii="Times New Roman" w:hAnsi="Times New Roman"/>
          <w:noProof/>
          <w:sz w:val="24"/>
          <w:szCs w:val="24"/>
        </w:rPr>
        <w:t xml:space="preserve">EU's diversificeringsindsats sker på baggrund af den stigende efterspørgsel efter og de høje priser på LNG. Disse foranstaltninger skal tage hensyn til globale partneres interesser. </w:t>
      </w:r>
    </w:p>
    <w:p w14:paraId="156900AF" w14:textId="7636FE33" w:rsidR="007565FF" w:rsidRDefault="00F82F0D" w:rsidP="007565FF">
      <w:pPr>
        <w:jc w:val="both"/>
        <w:rPr>
          <w:rFonts w:ascii="Times New Roman" w:hAnsi="Times New Roman" w:cs="Times New Roman"/>
          <w:noProof/>
          <w:sz w:val="24"/>
          <w:szCs w:val="24"/>
        </w:rPr>
      </w:pPr>
      <w:r>
        <w:rPr>
          <w:rFonts w:ascii="Times New Roman" w:hAnsi="Times New Roman"/>
          <w:noProof/>
          <w:sz w:val="24"/>
          <w:szCs w:val="24"/>
        </w:rPr>
        <w:t xml:space="preserve">I betragtning af den mellemlangsigtede udvikling i EU's og partnerlandenes energimiks vil </w:t>
      </w:r>
      <w:r>
        <w:rPr>
          <w:rFonts w:ascii="Times New Roman" w:hAnsi="Times New Roman"/>
          <w:b/>
          <w:bCs/>
          <w:noProof/>
          <w:sz w:val="24"/>
          <w:szCs w:val="24"/>
        </w:rPr>
        <w:t>EU fremme bredere energipartnerskaber</w:t>
      </w:r>
      <w:r>
        <w:rPr>
          <w:rFonts w:ascii="Times New Roman" w:hAnsi="Times New Roman"/>
          <w:noProof/>
          <w:sz w:val="24"/>
          <w:szCs w:val="24"/>
        </w:rPr>
        <w:t xml:space="preserve">, hvor gassamarbejde kombineres med langsigtet energisamarbejde om brint, vedvarende gasser (herunder biomethan) og andre grønne energikilder for at undgå strandede aktiver og sikre den grønne omstilling. </w:t>
      </w:r>
    </w:p>
    <w:p w14:paraId="345FC8EB" w14:textId="268FB9E0" w:rsidR="00CC199B" w:rsidRDefault="00776973" w:rsidP="007565FF">
      <w:pPr>
        <w:jc w:val="both"/>
        <w:rPr>
          <w:rFonts w:ascii="Times New Roman" w:hAnsi="Times New Roman" w:cs="Times New Roman"/>
          <w:noProof/>
          <w:sz w:val="24"/>
          <w:szCs w:val="24"/>
        </w:rPr>
      </w:pPr>
      <w:r>
        <w:rPr>
          <w:rFonts w:ascii="Times New Roman" w:hAnsi="Times New Roman"/>
          <w:noProof/>
          <w:sz w:val="24"/>
          <w:szCs w:val="24"/>
        </w:rPr>
        <w:t>EU's energipolitik vil også sigte mod at sikre åbne, fleksible, likvide og velfungerende globale LNG-markeder i samarbejde med de største producentlande (USA, Australien, Qatar, Nigeria, Egypten osv.) og de største forbrugerlande (Kina, Japan og Korea). G7, G20, Det Internationale Energiagentur (IEA) og andre internationale fora giver mulighed herfor.</w:t>
      </w:r>
    </w:p>
    <w:p w14:paraId="1655C06E" w14:textId="76EA20D4" w:rsidR="009A1F0B" w:rsidRDefault="009A1F0B" w:rsidP="00F23281">
      <w:pPr>
        <w:spacing w:before="100" w:beforeAutospacing="1" w:after="100" w:afterAutospacing="1" w:line="240" w:lineRule="auto"/>
        <w:jc w:val="both"/>
        <w:rPr>
          <w:rFonts w:ascii="Times New Roman" w:hAnsi="Times New Roman" w:cs="Times New Roman"/>
          <w:b/>
          <w:bCs/>
          <w:noProof/>
          <w:sz w:val="24"/>
          <w:szCs w:val="24"/>
        </w:rPr>
      </w:pPr>
      <w:r>
        <w:rPr>
          <w:rFonts w:ascii="Times New Roman" w:hAnsi="Times New Roman"/>
          <w:b/>
          <w:bCs/>
          <w:noProof/>
          <w:sz w:val="24"/>
          <w:szCs w:val="24"/>
        </w:rPr>
        <w:t>Vigtige tiltag</w:t>
      </w:r>
    </w:p>
    <w:p w14:paraId="615DF203" w14:textId="615CB1EB" w:rsidR="00240112" w:rsidRDefault="00AB4758" w:rsidP="00AA5D14">
      <w:pPr>
        <w:pStyle w:val="ListParagraph"/>
        <w:numPr>
          <w:ilvl w:val="0"/>
          <w:numId w:val="2"/>
        </w:numPr>
        <w:spacing w:after="240"/>
        <w:jc w:val="both"/>
        <w:rPr>
          <w:rFonts w:ascii="Times New Roman" w:hAnsi="Times New Roman" w:cs="Times New Roman"/>
          <w:b/>
          <w:noProof/>
          <w:sz w:val="24"/>
          <w:szCs w:val="24"/>
        </w:rPr>
      </w:pPr>
      <w:r>
        <w:rPr>
          <w:rFonts w:ascii="Times New Roman" w:hAnsi="Times New Roman"/>
          <w:b/>
          <w:noProof/>
          <w:sz w:val="24"/>
          <w:szCs w:val="24"/>
        </w:rPr>
        <w:t>sikre hurtig indførelse af EU's energiplatform og de regionale platforme</w:t>
      </w:r>
    </w:p>
    <w:p w14:paraId="49AAE13B" w14:textId="0E6DE4D1" w:rsidR="005868B0" w:rsidRDefault="00AB4758" w:rsidP="004D38F8">
      <w:pPr>
        <w:pStyle w:val="ListParagraph"/>
        <w:numPr>
          <w:ilvl w:val="0"/>
          <w:numId w:val="2"/>
        </w:numPr>
        <w:spacing w:after="240"/>
        <w:jc w:val="both"/>
        <w:rPr>
          <w:rFonts w:ascii="Times New Roman" w:hAnsi="Times New Roman" w:cs="Times New Roman"/>
          <w:b/>
          <w:noProof/>
          <w:sz w:val="24"/>
          <w:szCs w:val="24"/>
        </w:rPr>
      </w:pPr>
      <w:r>
        <w:rPr>
          <w:rFonts w:ascii="Times New Roman" w:hAnsi="Times New Roman"/>
          <w:b/>
          <w:noProof/>
          <w:sz w:val="24"/>
          <w:szCs w:val="24"/>
        </w:rPr>
        <w:t xml:space="preserve">gennemføre de fælles erklæringer med USA og Canada fuldt ud </w:t>
      </w:r>
    </w:p>
    <w:p w14:paraId="3B8F63C9" w14:textId="16EF17AD" w:rsidR="007565FF" w:rsidRDefault="00AB4758" w:rsidP="00AA5D14">
      <w:pPr>
        <w:pStyle w:val="ListParagraph"/>
        <w:numPr>
          <w:ilvl w:val="0"/>
          <w:numId w:val="2"/>
        </w:numPr>
        <w:spacing w:after="240"/>
        <w:jc w:val="both"/>
        <w:rPr>
          <w:rFonts w:ascii="Times New Roman" w:hAnsi="Times New Roman" w:cs="Times New Roman"/>
          <w:b/>
          <w:noProof/>
          <w:sz w:val="24"/>
          <w:szCs w:val="24"/>
        </w:rPr>
      </w:pPr>
      <w:r>
        <w:rPr>
          <w:rFonts w:ascii="Times New Roman" w:hAnsi="Times New Roman"/>
          <w:b/>
          <w:noProof/>
          <w:sz w:val="24"/>
          <w:szCs w:val="24"/>
        </w:rPr>
        <w:t>forhandle politiske tilsagn med eksisterende eller nye gasleverandører med henblik på at øge gasleverancerne til Europa</w:t>
      </w:r>
    </w:p>
    <w:p w14:paraId="0BF05884" w14:textId="4BD86175" w:rsidR="00FE0DBE" w:rsidRDefault="00AB4758" w:rsidP="00AA5D14">
      <w:pPr>
        <w:pStyle w:val="ListParagraph"/>
        <w:numPr>
          <w:ilvl w:val="0"/>
          <w:numId w:val="2"/>
        </w:numPr>
        <w:spacing w:after="240"/>
        <w:jc w:val="both"/>
        <w:rPr>
          <w:rFonts w:ascii="Times New Roman" w:hAnsi="Times New Roman" w:cs="Times New Roman"/>
          <w:b/>
          <w:noProof/>
          <w:sz w:val="24"/>
          <w:szCs w:val="24"/>
        </w:rPr>
      </w:pPr>
      <w:r>
        <w:rPr>
          <w:rFonts w:ascii="Times New Roman" w:hAnsi="Times New Roman"/>
          <w:b/>
          <w:noProof/>
          <w:sz w:val="24"/>
          <w:szCs w:val="24"/>
        </w:rPr>
        <w:t>etablere "I opsamler/vi køber"-ordninger for handel med og opsamling af naturgas og methan.</w:t>
      </w:r>
    </w:p>
    <w:bookmarkEnd w:id="4"/>
    <w:p w14:paraId="5195B830" w14:textId="7BA3D481" w:rsidR="0098638B" w:rsidRPr="00FA793B" w:rsidRDefault="009A1F0B" w:rsidP="00C33F66">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Forberedelse af EU på handel med vedvarende brint</w:t>
      </w:r>
    </w:p>
    <w:p w14:paraId="77C7DCFB" w14:textId="556072ED" w:rsidR="00407F5E" w:rsidRDefault="00994A71" w:rsidP="007E0EE2">
      <w:pPr>
        <w:jc w:val="both"/>
        <w:rPr>
          <w:rFonts w:ascii="Times New Roman" w:hAnsi="Times New Roman" w:cs="Times New Roman"/>
          <w:noProof/>
          <w:sz w:val="24"/>
          <w:szCs w:val="24"/>
        </w:rPr>
      </w:pPr>
      <w:r>
        <w:rPr>
          <w:rFonts w:ascii="Times New Roman" w:hAnsi="Times New Roman"/>
          <w:noProof/>
          <w:sz w:val="24"/>
          <w:szCs w:val="24"/>
        </w:rPr>
        <w:t xml:space="preserve">Ifølge REPowerEU-planen kan yderligere 15 mio. ton vedvarende brint — i tillæg til de 5,6 mio. ton, der allerede er planlagt under </w:t>
      </w:r>
      <w:r>
        <w:rPr>
          <w:rFonts w:ascii="Times New Roman" w:hAnsi="Times New Roman"/>
          <w:i/>
          <w:noProof/>
          <w:sz w:val="24"/>
        </w:rPr>
        <w:t>Fit for 55</w:t>
      </w:r>
      <w:r>
        <w:rPr>
          <w:rFonts w:ascii="Times New Roman" w:hAnsi="Times New Roman"/>
          <w:noProof/>
          <w:sz w:val="24"/>
          <w:szCs w:val="24"/>
        </w:rPr>
        <w:t>-initiativet — erstatte ca. 27 mia. m</w:t>
      </w:r>
      <w:r>
        <w:rPr>
          <w:rFonts w:ascii="Times New Roman" w:hAnsi="Times New Roman"/>
          <w:noProof/>
          <w:sz w:val="24"/>
          <w:szCs w:val="24"/>
          <w:vertAlign w:val="superscript"/>
        </w:rPr>
        <w:t>3</w:t>
      </w:r>
      <w:r>
        <w:rPr>
          <w:rFonts w:ascii="Times New Roman" w:hAnsi="Times New Roman"/>
          <w:noProof/>
          <w:sz w:val="24"/>
          <w:szCs w:val="24"/>
        </w:rPr>
        <w:t xml:space="preserve"> importeret russisk gas senest i 2030. Dette omfatter </w:t>
      </w:r>
      <w:r>
        <w:rPr>
          <w:rFonts w:ascii="Times New Roman" w:hAnsi="Times New Roman"/>
          <w:b/>
          <w:bCs/>
          <w:noProof/>
          <w:sz w:val="24"/>
          <w:szCs w:val="24"/>
        </w:rPr>
        <w:t>10 mio. ton importeret brint</w:t>
      </w:r>
      <w:r>
        <w:rPr>
          <w:rFonts w:ascii="Times New Roman" w:hAnsi="Times New Roman"/>
          <w:noProof/>
          <w:sz w:val="24"/>
          <w:szCs w:val="24"/>
        </w:rPr>
        <w:t>.</w:t>
      </w:r>
    </w:p>
    <w:p w14:paraId="49757754" w14:textId="523A4A89" w:rsidR="00A35A5E" w:rsidRDefault="001B4019" w:rsidP="0095340D">
      <w:pPr>
        <w:jc w:val="both"/>
        <w:rPr>
          <w:rFonts w:ascii="Times New Roman" w:hAnsi="Times New Roman" w:cs="Times New Roman"/>
          <w:noProof/>
          <w:sz w:val="24"/>
          <w:szCs w:val="24"/>
        </w:rPr>
      </w:pPr>
      <w:r>
        <w:rPr>
          <w:rFonts w:ascii="Times New Roman" w:hAnsi="Times New Roman"/>
          <w:noProof/>
          <w:sz w:val="24"/>
          <w:szCs w:val="24"/>
        </w:rPr>
        <w:t>Kapaciteten til at producere vedvarende brint er langt mere jævnt fordelt over hele verden end olie- og gasreserverne på grund af de globale vind- og solenergiressourcer. Dette marked er imidlertid endnu ikke udviklet og kræver på verdensplan en betydelig udvidelse af produktionen af vedvarende energi og tilgængeligheden af vand.</w:t>
      </w:r>
    </w:p>
    <w:p w14:paraId="3A6FABF4" w14:textId="1E1DF931" w:rsidR="0095340D" w:rsidRDefault="00CC3AB4" w:rsidP="0095340D">
      <w:pPr>
        <w:jc w:val="both"/>
        <w:rPr>
          <w:rFonts w:ascii="Times New Roman" w:hAnsi="Times New Roman" w:cs="Times New Roman"/>
          <w:noProof/>
          <w:sz w:val="24"/>
          <w:szCs w:val="24"/>
        </w:rPr>
      </w:pPr>
      <w:r>
        <w:rPr>
          <w:rFonts w:ascii="Times New Roman" w:hAnsi="Times New Roman"/>
          <w:noProof/>
          <w:sz w:val="24"/>
          <w:szCs w:val="24"/>
        </w:rPr>
        <w:t xml:space="preserve">For at lette importen af 10 mio. ton brint til EU sigter Kommissionen mod at indgå brintpartnerskaber med pålidelige partnerlande for at sikre åbne og ikkefordrejede handels- og investeringsforbindelser for vedvarende og kulstoffattige brændstoffer. Planerne omfatter tre store </w:t>
      </w:r>
      <w:r>
        <w:rPr>
          <w:rFonts w:ascii="Times New Roman" w:hAnsi="Times New Roman"/>
          <w:b/>
          <w:bCs/>
          <w:noProof/>
          <w:sz w:val="24"/>
          <w:szCs w:val="24"/>
        </w:rPr>
        <w:t>brintimportkorridorer fra Nordsøregionen (Norge og Det Forenede, det sydlige Middelhavsområde og Ukraine</w:t>
      </w:r>
      <w:r>
        <w:rPr>
          <w:rFonts w:ascii="Times New Roman" w:hAnsi="Times New Roman"/>
          <w:noProof/>
          <w:sz w:val="24"/>
          <w:szCs w:val="24"/>
        </w:rPr>
        <w:t>, så snart situationen tillader det.</w:t>
      </w:r>
    </w:p>
    <w:p w14:paraId="692492B2" w14:textId="3246EB17" w:rsidR="001E6E74" w:rsidRDefault="008E1211" w:rsidP="007E0EE2">
      <w:pPr>
        <w:jc w:val="both"/>
        <w:rPr>
          <w:rFonts w:ascii="Times New Roman" w:hAnsi="Times New Roman" w:cs="Times New Roman"/>
          <w:noProof/>
          <w:sz w:val="24"/>
          <w:szCs w:val="24"/>
        </w:rPr>
      </w:pPr>
      <w:r>
        <w:rPr>
          <w:noProof/>
          <w:lang w:val="en-GB" w:eastAsia="en-GB"/>
        </w:rPr>
        <w:drawing>
          <wp:inline distT="0" distB="0" distL="0" distR="0" wp14:anchorId="65B5A473" wp14:editId="1C3A7950">
            <wp:extent cx="5760720" cy="3468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468370"/>
                    </a:xfrm>
                    <a:prstGeom prst="rect">
                      <a:avLst/>
                    </a:prstGeom>
                  </pic:spPr>
                </pic:pic>
              </a:graphicData>
            </a:graphic>
          </wp:inline>
        </w:drawing>
      </w:r>
    </w:p>
    <w:p w14:paraId="3B1C9573" w14:textId="77777777" w:rsidR="001E6E74" w:rsidRPr="002172E3" w:rsidRDefault="00A61F35" w:rsidP="001E6E74">
      <w:pPr>
        <w:jc w:val="both"/>
        <w:rPr>
          <w:rFonts w:ascii="Times New Roman" w:hAnsi="Times New Roman" w:cs="Times New Roman"/>
          <w:noProof/>
          <w:sz w:val="18"/>
          <w:szCs w:val="24"/>
        </w:rPr>
      </w:pPr>
      <w:r>
        <w:rPr>
          <w:rFonts w:ascii="Times New Roman" w:hAnsi="Times New Roman"/>
          <w:noProof/>
          <w:sz w:val="18"/>
          <w:szCs w:val="24"/>
        </w:rPr>
        <w:t>Det Internationale Agentur for Vedvarende Energi (IRENA): Teknisk potentiale for produktion af grøn brint under 1,5 USD/kg inden 2050 i EJ</w:t>
      </w:r>
    </w:p>
    <w:p w14:paraId="529E2E00" w14:textId="6CAAABE8" w:rsidR="00827413" w:rsidRPr="004A1D96" w:rsidRDefault="00CD7D26" w:rsidP="00CD7D26">
      <w:pPr>
        <w:jc w:val="both"/>
        <w:rPr>
          <w:rFonts w:ascii="Times New Roman" w:hAnsi="Times New Roman" w:cs="Times New Roman"/>
          <w:noProof/>
          <w:sz w:val="24"/>
          <w:szCs w:val="24"/>
        </w:rPr>
      </w:pPr>
      <w:r>
        <w:rPr>
          <w:rFonts w:ascii="Times New Roman" w:hAnsi="Times New Roman"/>
          <w:noProof/>
          <w:sz w:val="24"/>
          <w:szCs w:val="24"/>
        </w:rPr>
        <w:t xml:space="preserve">En region med særligt stort potentiale med hensyn til produktion af vedvarende brint er det sydlige Middelhavsområde. For at skabe win-win-muligheder for både regionen og EU arbejder med at etablere et Middelhavspartnerskab om grøn brint mellem EU og landene i det sydlige Middelhavsområde. Dette arbejde bygger på den eksisterende nye dagsorden for Middelhavsområdet og den tilhørende økonomiske plan og investeringsplan og vil blive indledt med brintpartnerskabet mellem EU og Egypten. Dette vil være det første springbræt til et bredere samarbejde om vedvarende brint mellem Europa, Afrika og Golfen, der er et andet område med rigelige ressourcer til produktion af brint. </w:t>
      </w:r>
    </w:p>
    <w:p w14:paraId="19578BF2" w14:textId="4E7A1451" w:rsidR="008608B5" w:rsidRPr="00554DD0" w:rsidRDefault="008608B5" w:rsidP="00CD7D26">
      <w:pPr>
        <w:jc w:val="both"/>
        <w:rPr>
          <w:rFonts w:ascii="Times New Roman" w:hAnsi="Times New Roman" w:cs="Times New Roman"/>
          <w:noProof/>
          <w:sz w:val="24"/>
          <w:szCs w:val="24"/>
        </w:rPr>
      </w:pPr>
      <w:r>
        <w:rPr>
          <w:rFonts w:ascii="Times New Roman" w:hAnsi="Times New Roman"/>
          <w:noProof/>
          <w:sz w:val="24"/>
          <w:szCs w:val="24"/>
        </w:rPr>
        <w:t>Når samarbejdet på dette område gennemføres med udgangspunkt i lokale sociale, økonomiske og miljømæssige behov, vil det fremme lokal produktion og forbrug af vedvarende elektricitet og vedvarende brint samt udviklingen af grønne industriværdikæder i partnerlandene. EU's lovgivningsmæssige rammer for brint skal sikre lige vilkår for importeret og indenlandsk produceret brint.</w:t>
      </w:r>
    </w:p>
    <w:p w14:paraId="4EA08380" w14:textId="77777777" w:rsidR="00462543" w:rsidRDefault="00DF6A64" w:rsidP="00CD7D26">
      <w:pPr>
        <w:jc w:val="both"/>
        <w:rPr>
          <w:rFonts w:ascii="Times New Roman" w:hAnsi="Times New Roman" w:cs="Times New Roman"/>
          <w:noProof/>
          <w:sz w:val="24"/>
          <w:szCs w:val="24"/>
        </w:rPr>
      </w:pPr>
      <w:r>
        <w:rPr>
          <w:rFonts w:ascii="Times New Roman" w:hAnsi="Times New Roman"/>
          <w:noProof/>
          <w:sz w:val="24"/>
          <w:szCs w:val="24"/>
        </w:rPr>
        <w:t>I Afrika syd for Sahara er Sydafrika og Namibia allerede i gang med at udvikle deres sektor for vedvarende brint og har tiltrukket interesse fra EU's industri. Øget samarbejde om vedvarende brint er også en del af EU's bilaterale samarbejde med lande som eksempelvis Egypten og Marokko, hvor Kommissionen har indledt arbejdet med et grønt partnerskab mellem EU og Marokko.</w:t>
      </w:r>
    </w:p>
    <w:p w14:paraId="7EE1B55D" w14:textId="3CE301BA" w:rsidR="00BA057B" w:rsidRDefault="00BA057B" w:rsidP="00CD7D26">
      <w:pPr>
        <w:jc w:val="both"/>
        <w:rPr>
          <w:rFonts w:ascii="Times New Roman" w:hAnsi="Times New Roman" w:cs="Times New Roman"/>
          <w:noProof/>
          <w:sz w:val="24"/>
          <w:szCs w:val="24"/>
        </w:rPr>
      </w:pPr>
      <w:r>
        <w:rPr>
          <w:rFonts w:ascii="Times New Roman" w:hAnsi="Times New Roman"/>
          <w:noProof/>
          <w:sz w:val="24"/>
          <w:szCs w:val="24"/>
        </w:rPr>
        <w:t xml:space="preserve">Der arbejdes også på et </w:t>
      </w:r>
      <w:r>
        <w:rPr>
          <w:rFonts w:ascii="Times New Roman" w:hAnsi="Times New Roman"/>
          <w:b/>
          <w:bCs/>
          <w:noProof/>
          <w:sz w:val="24"/>
          <w:szCs w:val="24"/>
        </w:rPr>
        <w:t>strategisk partnerskab med Ukraine om vedvarende gasser</w:t>
      </w:r>
      <w:r>
        <w:rPr>
          <w:rFonts w:ascii="Times New Roman" w:hAnsi="Times New Roman"/>
          <w:noProof/>
          <w:sz w:val="24"/>
          <w:szCs w:val="24"/>
        </w:rPr>
        <w:t>, herunder brint og biomethan, med henblik på at opskalere importen betydeligt, når situationen tillader det.</w:t>
      </w:r>
    </w:p>
    <w:p w14:paraId="33F7B842" w14:textId="52003034" w:rsidR="0098638B" w:rsidRDefault="0098638B" w:rsidP="0098638B">
      <w:pPr>
        <w:spacing w:after="240"/>
        <w:jc w:val="both"/>
        <w:rPr>
          <w:rFonts w:ascii="Times New Roman" w:hAnsi="Times New Roman" w:cs="Times New Roman"/>
          <w:noProof/>
          <w:sz w:val="24"/>
          <w:szCs w:val="24"/>
        </w:rPr>
      </w:pPr>
      <w:r>
        <w:rPr>
          <w:rFonts w:ascii="Times New Roman" w:hAnsi="Times New Roman"/>
          <w:noProof/>
          <w:sz w:val="24"/>
          <w:szCs w:val="24"/>
        </w:rPr>
        <w:t>I EU's umiddelbare nabolande er EU parat til at støtte udviklingen af net gennem den reviderede forordning om den transeuropæiske energiinfrastruktur (TEN-E)</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Projekter med tredjelande, som bidrager væsentligt til TEN-E-målene, kan få status som projekter af gensidig interesse, en betegnelse, der angiver fælles projekter inden for faciliteter til eltransmission, brintransport og CO</w:t>
      </w:r>
      <w:r>
        <w:rPr>
          <w:rFonts w:ascii="Times New Roman" w:hAnsi="Times New Roman"/>
          <w:noProof/>
          <w:sz w:val="24"/>
          <w:szCs w:val="24"/>
          <w:vertAlign w:val="subscript"/>
        </w:rPr>
        <w:t>2</w:t>
      </w:r>
      <w:r>
        <w:rPr>
          <w:rFonts w:ascii="Times New Roman" w:hAnsi="Times New Roman"/>
          <w:noProof/>
          <w:sz w:val="24"/>
          <w:szCs w:val="24"/>
        </w:rPr>
        <w:t>-net og -oplagring, der opfylder EU's sikkerhedsstandarder. Parallelt hermed vil der være behov for investeringer til at sikre forsendelseskapacitet og -logistik til transport af denne råvare.</w:t>
      </w:r>
    </w:p>
    <w:p w14:paraId="538E2D59" w14:textId="5098380C" w:rsidR="00CC199B" w:rsidRDefault="00E64012" w:rsidP="005F55E8">
      <w:pPr>
        <w:spacing w:after="240"/>
        <w:jc w:val="both"/>
        <w:rPr>
          <w:rFonts w:ascii="Times New Roman" w:hAnsi="Times New Roman" w:cs="Times New Roman"/>
          <w:noProof/>
          <w:sz w:val="24"/>
          <w:szCs w:val="24"/>
        </w:rPr>
      </w:pPr>
      <w:r>
        <w:rPr>
          <w:rFonts w:ascii="Times New Roman" w:hAnsi="Times New Roman"/>
          <w:noProof/>
          <w:sz w:val="24"/>
          <w:szCs w:val="24"/>
        </w:rPr>
        <w:t xml:space="preserve">Det spirende </w:t>
      </w:r>
      <w:r>
        <w:rPr>
          <w:rFonts w:ascii="Times New Roman" w:hAnsi="Times New Roman"/>
          <w:b/>
          <w:bCs/>
          <w:noProof/>
          <w:sz w:val="24"/>
          <w:szCs w:val="24"/>
        </w:rPr>
        <w:t>globale brintmarked skal baseres på fælles regler</w:t>
      </w:r>
      <w:r>
        <w:rPr>
          <w:rFonts w:ascii="Times New Roman" w:hAnsi="Times New Roman"/>
          <w:noProof/>
          <w:sz w:val="24"/>
          <w:szCs w:val="24"/>
        </w:rPr>
        <w:t xml:space="preserve">, navnlig for standarder, certificering og god reguleringspraksis, med hensyn til adgang til infrastruktur og handel. EU's lovgivningsmæssige rammer er verdens mest avancerede. På grundlag af disse erfaringer bør EU gå i spidsen for bestræbelserne på at udvikle en solid ramme for et globalt regelbaseret og gennemsigtigt brintmarked. Denne proces bør tage hensyn til erfaringerne fra gas- og oliemarkederne, således at disse nye energiprodukter kan flyde frit på tværs af grænserne og dermed styrke EU's energisikkerhed i takt med omstillingen væk fra fossile brændstoffer. For at kickstarte det globale marked for vedvarende brint overvejer EU at udvikle en </w:t>
      </w:r>
      <w:r>
        <w:rPr>
          <w:rFonts w:ascii="Times New Roman" w:hAnsi="Times New Roman"/>
          <w:b/>
          <w:bCs/>
          <w:noProof/>
          <w:sz w:val="24"/>
          <w:szCs w:val="24"/>
        </w:rPr>
        <w:t>global europæisk brintfacilitet</w:t>
      </w:r>
      <w:r>
        <w:rPr>
          <w:rFonts w:ascii="Times New Roman" w:hAnsi="Times New Roman"/>
          <w:noProof/>
          <w:sz w:val="24"/>
          <w:szCs w:val="24"/>
        </w:rPr>
        <w:t>, som det fremgår af introduktionsmeddelelsen om REPowerEU.</w:t>
      </w:r>
    </w:p>
    <w:p w14:paraId="476A6BEA" w14:textId="6D8988F7" w:rsidR="00F43515" w:rsidRPr="00F43515" w:rsidRDefault="00F43515" w:rsidP="0098638B">
      <w:pPr>
        <w:spacing w:after="240"/>
        <w:jc w:val="both"/>
        <w:rPr>
          <w:rFonts w:ascii="Times New Roman" w:hAnsi="Times New Roman" w:cs="Times New Roman"/>
          <w:b/>
          <w:bCs/>
          <w:noProof/>
          <w:sz w:val="24"/>
          <w:szCs w:val="24"/>
        </w:rPr>
      </w:pPr>
      <w:r>
        <w:rPr>
          <w:rFonts w:ascii="Times New Roman" w:hAnsi="Times New Roman"/>
          <w:b/>
          <w:bCs/>
          <w:noProof/>
          <w:sz w:val="24"/>
          <w:szCs w:val="24"/>
        </w:rPr>
        <w:t>Vigtige tiltag:</w:t>
      </w:r>
    </w:p>
    <w:p w14:paraId="58BABC35" w14:textId="3E1029A4" w:rsidR="0050044A" w:rsidRDefault="00AB4758" w:rsidP="00AA5D14">
      <w:pPr>
        <w:pStyle w:val="ListParagraph"/>
        <w:numPr>
          <w:ilvl w:val="0"/>
          <w:numId w:val="3"/>
        </w:numPr>
        <w:spacing w:after="240"/>
        <w:jc w:val="both"/>
        <w:rPr>
          <w:rFonts w:ascii="Times New Roman" w:hAnsi="Times New Roman" w:cs="Times New Roman"/>
          <w:b/>
          <w:bCs/>
          <w:noProof/>
          <w:sz w:val="24"/>
          <w:szCs w:val="24"/>
        </w:rPr>
      </w:pPr>
      <w:r>
        <w:rPr>
          <w:rFonts w:ascii="Times New Roman" w:hAnsi="Times New Roman"/>
          <w:b/>
          <w:bCs/>
          <w:noProof/>
          <w:sz w:val="24"/>
          <w:szCs w:val="24"/>
        </w:rPr>
        <w:t>etablere brintpartnerskaber, navnlig i EU's nabolande og Afrika, for at lette importen af 10 mio. ton brint inden 2030 og udviklingen af lokale brintmarkeder</w:t>
      </w:r>
    </w:p>
    <w:p w14:paraId="5759F527" w14:textId="7C92C517" w:rsidR="007E0EE2" w:rsidRPr="002172E3" w:rsidRDefault="00AB4758" w:rsidP="002172E3">
      <w:pPr>
        <w:pStyle w:val="ListParagraph"/>
        <w:numPr>
          <w:ilvl w:val="0"/>
          <w:numId w:val="3"/>
        </w:numPr>
        <w:jc w:val="both"/>
        <w:rPr>
          <w:rFonts w:ascii="Times New Roman" w:hAnsi="Times New Roman" w:cs="Times New Roman"/>
          <w:b/>
          <w:bCs/>
          <w:noProof/>
          <w:sz w:val="24"/>
          <w:szCs w:val="24"/>
        </w:rPr>
      </w:pPr>
      <w:r>
        <w:rPr>
          <w:rFonts w:ascii="Times New Roman" w:hAnsi="Times New Roman"/>
          <w:b/>
          <w:noProof/>
          <w:sz w:val="24"/>
          <w:szCs w:val="24"/>
        </w:rPr>
        <w:t>undertegne et samarbejdsmemorandum om brint med Japan inden udgangen af 2022</w:t>
      </w:r>
    </w:p>
    <w:p w14:paraId="311EAFF0" w14:textId="0356FD7F" w:rsidR="009A1F0B" w:rsidRPr="005F55E8" w:rsidRDefault="00AB4758" w:rsidP="00AA5D14">
      <w:pPr>
        <w:pStyle w:val="ListParagraph"/>
        <w:numPr>
          <w:ilvl w:val="0"/>
          <w:numId w:val="3"/>
        </w:numPr>
        <w:jc w:val="both"/>
        <w:rPr>
          <w:rFonts w:ascii="Times New Roman" w:hAnsi="Times New Roman"/>
          <w:b/>
          <w:bCs/>
          <w:noProof/>
          <w:sz w:val="24"/>
        </w:rPr>
      </w:pPr>
      <w:r>
        <w:rPr>
          <w:rFonts w:ascii="Times New Roman" w:hAnsi="Times New Roman"/>
          <w:b/>
          <w:bCs/>
          <w:noProof/>
          <w:sz w:val="24"/>
          <w:szCs w:val="24"/>
        </w:rPr>
        <w:t>fremme et globalt regelbaseret og gennemsigtigt brintmarked baseret på EU's erfaringer</w:t>
      </w:r>
      <w:r>
        <w:rPr>
          <w:rFonts w:ascii="Times New Roman" w:hAnsi="Times New Roman"/>
          <w:b/>
          <w:bCs/>
          <w:noProof/>
          <w:sz w:val="24"/>
        </w:rPr>
        <w:t xml:space="preserve"> </w:t>
      </w:r>
    </w:p>
    <w:p w14:paraId="01504AB4" w14:textId="34B7A5C8" w:rsidR="009A1F0B" w:rsidRDefault="00AB4758" w:rsidP="00AA5D14">
      <w:pPr>
        <w:pStyle w:val="ListParagraph"/>
        <w:numPr>
          <w:ilvl w:val="0"/>
          <w:numId w:val="3"/>
        </w:numPr>
        <w:jc w:val="both"/>
        <w:rPr>
          <w:rFonts w:ascii="Times New Roman" w:hAnsi="Times New Roman" w:cs="Times New Roman"/>
          <w:b/>
          <w:noProof/>
          <w:sz w:val="24"/>
          <w:szCs w:val="24"/>
        </w:rPr>
      </w:pPr>
      <w:bookmarkStart w:id="6" w:name="_Hlk103321705"/>
      <w:r>
        <w:rPr>
          <w:rFonts w:ascii="Times New Roman" w:hAnsi="Times New Roman"/>
          <w:b/>
          <w:noProof/>
          <w:sz w:val="24"/>
          <w:szCs w:val="24"/>
        </w:rPr>
        <w:t>igangsætte de første handelsknudepunkter for vedvarende brint i Europa og etablere dette marked som benchmark for brinttransaktioner i euro</w:t>
      </w:r>
    </w:p>
    <w:bookmarkEnd w:id="6"/>
    <w:p w14:paraId="0C4BE0CB" w14:textId="78055194" w:rsidR="007F12DD" w:rsidRPr="004600C1" w:rsidRDefault="00AB4758" w:rsidP="004600C1">
      <w:pPr>
        <w:pStyle w:val="ListParagraph"/>
        <w:numPr>
          <w:ilvl w:val="0"/>
          <w:numId w:val="3"/>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etablere et strategisk partnerskab med Ukraine om vedvarende gasser i 2022 </w:t>
      </w:r>
    </w:p>
    <w:p w14:paraId="004E9DEE" w14:textId="45BE0391" w:rsidR="005F55E8" w:rsidRPr="002172E3" w:rsidRDefault="00AB4758" w:rsidP="00AA5D14">
      <w:pPr>
        <w:pStyle w:val="ListParagraph"/>
        <w:numPr>
          <w:ilvl w:val="0"/>
          <w:numId w:val="3"/>
        </w:numPr>
        <w:jc w:val="both"/>
        <w:rPr>
          <w:rFonts w:ascii="Times New Roman" w:hAnsi="Times New Roman" w:cs="Times New Roman"/>
          <w:b/>
          <w:bCs/>
          <w:noProof/>
          <w:sz w:val="24"/>
          <w:szCs w:val="24"/>
        </w:rPr>
      </w:pPr>
      <w:r>
        <w:rPr>
          <w:rFonts w:ascii="Times New Roman" w:hAnsi="Times New Roman"/>
          <w:b/>
          <w:bCs/>
          <w:noProof/>
          <w:sz w:val="24"/>
          <w:szCs w:val="24"/>
        </w:rPr>
        <w:t>udvikle en global europæisk brintfacilitet.</w:t>
      </w:r>
    </w:p>
    <w:p w14:paraId="630D7253" w14:textId="6151AA24" w:rsidR="00417C5C" w:rsidRPr="00B262CB" w:rsidRDefault="00F15352" w:rsidP="00C33F66">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Begrænsning af afhængigheden af import af anden energi end gas fra Rusland</w:t>
      </w:r>
    </w:p>
    <w:p w14:paraId="15E7CEB4" w14:textId="14F8FF46" w:rsidR="00143816" w:rsidRDefault="00B6177F" w:rsidP="00287AE4">
      <w:pPr>
        <w:spacing w:after="240"/>
        <w:jc w:val="both"/>
        <w:rPr>
          <w:rFonts w:ascii="Times New Roman" w:hAnsi="Times New Roman" w:cs="Times New Roman"/>
          <w:noProof/>
          <w:sz w:val="24"/>
          <w:szCs w:val="24"/>
        </w:rPr>
      </w:pPr>
      <w:r>
        <w:rPr>
          <w:rFonts w:ascii="Times New Roman" w:hAnsi="Times New Roman"/>
          <w:noProof/>
          <w:sz w:val="24"/>
          <w:szCs w:val="24"/>
        </w:rPr>
        <w:t xml:space="preserve">Med leverancer på 8 mio. tønder dagligt er Rusland er verdens største olieeksportør. Ruslands invasion af Ukraine har derfor skabt uro og usikkerhed på det globale oliemarked, hvor priserne til tider ligger tæt på det rekordhøje niveau på 150 USD pr. tønde. </w:t>
      </w:r>
    </w:p>
    <w:p w14:paraId="67300E0C" w14:textId="44E3F3BB" w:rsidR="007C35F7" w:rsidRDefault="00B6177F" w:rsidP="00B6177F">
      <w:pPr>
        <w:spacing w:after="240"/>
        <w:jc w:val="both"/>
        <w:rPr>
          <w:rFonts w:ascii="Times New Roman" w:hAnsi="Times New Roman" w:cs="Times New Roman"/>
          <w:noProof/>
          <w:sz w:val="24"/>
          <w:szCs w:val="24"/>
        </w:rPr>
      </w:pPr>
      <w:r>
        <w:rPr>
          <w:rFonts w:ascii="Times New Roman" w:hAnsi="Times New Roman"/>
          <w:noProof/>
          <w:sz w:val="24"/>
          <w:szCs w:val="24"/>
        </w:rPr>
        <w:t xml:space="preserve">Som følge af Ruslands invasion af Ukraine vil markedsvolatiliteten og knapheden sandsynligvis fortsætte på påvirke ikke kun EU, men alle olieforbrugere i hele verden, især de mest sårbare. </w:t>
      </w:r>
      <w:r>
        <w:rPr>
          <w:rFonts w:ascii="Times New Roman" w:hAnsi="Times New Roman"/>
          <w:b/>
          <w:bCs/>
          <w:noProof/>
          <w:sz w:val="24"/>
          <w:szCs w:val="24"/>
        </w:rPr>
        <w:t>EU arbejder sammen med sine internationale partnere på at sikre, at der fortsat er tilstrækkelige olieforsyninger til rådighed globalt og til overkommelige priser.</w:t>
      </w:r>
      <w:r>
        <w:rPr>
          <w:rFonts w:ascii="Times New Roman" w:hAnsi="Times New Roman"/>
          <w:noProof/>
          <w:sz w:val="24"/>
          <w:szCs w:val="24"/>
        </w:rPr>
        <w:t xml:space="preserve"> </w:t>
      </w:r>
      <w:r>
        <w:rPr>
          <w:rFonts w:ascii="Times New Roman" w:hAnsi="Times New Roman"/>
          <w:noProof/>
          <w:sz w:val="24"/>
        </w:rPr>
        <w:t xml:space="preserve">Sammen med </w:t>
      </w:r>
      <w:r>
        <w:rPr>
          <w:rFonts w:ascii="Times New Roman" w:hAnsi="Times New Roman"/>
          <w:noProof/>
          <w:sz w:val="24"/>
          <w:szCs w:val="24"/>
        </w:rPr>
        <w:t xml:space="preserve">G7-landenes energiministre opfordrer EU de olieproducerende lande til at undersøge mulighederne for at øge leverancerne til det globale marked ved at udnytte den tilgængelige reservekapacitet fuldt ud. </w:t>
      </w:r>
    </w:p>
    <w:p w14:paraId="2E761FE3" w14:textId="4B39D9DE" w:rsidR="00D13904" w:rsidRPr="00FF76D5" w:rsidRDefault="00FF76D5" w:rsidP="00FF76D5">
      <w:pPr>
        <w:spacing w:before="100" w:beforeAutospacing="1" w:after="100" w:afterAutospacing="1"/>
        <w:jc w:val="both"/>
        <w:rPr>
          <w:noProof/>
        </w:rPr>
      </w:pPr>
      <w:r>
        <w:rPr>
          <w:rFonts w:ascii="Times New Roman" w:hAnsi="Times New Roman"/>
          <w:noProof/>
          <w:sz w:val="24"/>
          <w:szCs w:val="24"/>
        </w:rPr>
        <w:t>I den forbindelse vil en fuldstændig og effektiv gennemførelse af den fælles omfattende handlingsplan gøre det lettere for iranske olieforsyninger at komme ind på markedet, hvilket vil lette udbudspresset og prisudsvingene.</w:t>
      </w:r>
      <w:r>
        <w:rPr>
          <w:noProof/>
        </w:rPr>
        <w:t xml:space="preserve"> </w:t>
      </w:r>
      <w:r>
        <w:rPr>
          <w:rFonts w:ascii="Times New Roman" w:hAnsi="Times New Roman"/>
          <w:noProof/>
          <w:sz w:val="24"/>
          <w:szCs w:val="24"/>
        </w:rPr>
        <w:t>I meddelelsen om det strategiske partnerskab med Golfen, som blev offentliggjort sideløbende med denne strategi, beskrives EU's tilgang til at styrke forbindelserne med landene i Golfstaternes Samarbejdsråd, som er rige på olieressourcer.</w:t>
      </w:r>
    </w:p>
    <w:p w14:paraId="3997D048" w14:textId="63C218FE" w:rsidR="004F5A0B" w:rsidRPr="00143816" w:rsidRDefault="007C35F7" w:rsidP="00B6177F">
      <w:pPr>
        <w:spacing w:after="240"/>
        <w:jc w:val="both"/>
        <w:rPr>
          <w:rFonts w:ascii="Times New Roman" w:hAnsi="Times New Roman" w:cs="Times New Roman"/>
          <w:noProof/>
          <w:sz w:val="24"/>
          <w:szCs w:val="24"/>
        </w:rPr>
      </w:pPr>
      <w:r>
        <w:rPr>
          <w:rFonts w:ascii="Times New Roman" w:hAnsi="Times New Roman"/>
          <w:noProof/>
          <w:sz w:val="24"/>
          <w:szCs w:val="24"/>
        </w:rPr>
        <w:t xml:space="preserve">Samtidig er IEA's medlemmer enstemmigt blevet enige om at anvende </w:t>
      </w:r>
      <w:r>
        <w:rPr>
          <w:rFonts w:ascii="Times New Roman" w:hAnsi="Times New Roman"/>
          <w:b/>
          <w:bCs/>
          <w:noProof/>
          <w:sz w:val="24"/>
          <w:szCs w:val="24"/>
        </w:rPr>
        <w:t>nødlagrene</w:t>
      </w:r>
      <w:r>
        <w:rPr>
          <w:rFonts w:ascii="Times New Roman" w:hAnsi="Times New Roman"/>
          <w:noProof/>
          <w:sz w:val="24"/>
          <w:szCs w:val="24"/>
        </w:rPr>
        <w:t xml:space="preserve"> til at sende 120 mio. tønder på markedet, den største frigivelse fra lageret i IEA's historie. Dette har vist betydning af nødlagre som støddæmper. Selv om beslutninger om frigivelse af lagre hører under medlemsstaternes kompetence, viser erfaringerne med IEA's kollektive proces, at det er nyttigt, at EU påtager sig en koordinerende rolle, hvis det bliver nødvendigt med yderligere anvendelse af nødlagrene. </w:t>
      </w:r>
    </w:p>
    <w:p w14:paraId="101E1F8B" w14:textId="577AAAF4" w:rsidR="00CD794A" w:rsidRDefault="004B41FD" w:rsidP="002815EA">
      <w:pPr>
        <w:pStyle w:val="paragraph"/>
        <w:spacing w:before="0" w:beforeAutospacing="0" w:after="0" w:afterAutospacing="0" w:line="276" w:lineRule="auto"/>
        <w:jc w:val="both"/>
        <w:textAlignment w:val="baseline"/>
        <w:rPr>
          <w:rFonts w:eastAsiaTheme="minorHAnsi"/>
          <w:noProof/>
        </w:rPr>
      </w:pPr>
      <w:r>
        <w:rPr>
          <w:noProof/>
        </w:rPr>
        <w:t xml:space="preserve">EU besluttede at standse al import af kul fra Rusland som led i den femte sanktionspakke i april 2022. For at håndtere krisen på kort sigt betyder dette, at 44-56 mio. tons kul årligt skal erstattes, hovedsagelig med import. På længere sigt vil kul blive udfaset i EU, i de fleste lande senest i 2030. Med vedtagelsen af </w:t>
      </w:r>
      <w:r>
        <w:rPr>
          <w:b/>
          <w:bCs/>
          <w:noProof/>
        </w:rPr>
        <w:t>EU's embargo mod russisk kul</w:t>
      </w:r>
      <w:r>
        <w:rPr>
          <w:noProof/>
        </w:rPr>
        <w:t xml:space="preserve"> steg priserne i EU med omkring 15 % til 325 EUR pr. ton, men der forventes ikke større problemer med kulforsyningen, idet priserne ved udgangen af april vendte tilbage til niveauet før embargoen.</w:t>
      </w:r>
    </w:p>
    <w:p w14:paraId="6EACD29D" w14:textId="77777777" w:rsidR="0059403F" w:rsidRPr="00F7738E" w:rsidRDefault="0059403F" w:rsidP="002815EA">
      <w:pPr>
        <w:pStyle w:val="paragraph"/>
        <w:spacing w:before="0" w:beforeAutospacing="0" w:after="0" w:afterAutospacing="0" w:line="276" w:lineRule="auto"/>
        <w:jc w:val="both"/>
        <w:textAlignment w:val="baseline"/>
        <w:rPr>
          <w:rFonts w:eastAsiaTheme="minorHAnsi"/>
          <w:noProof/>
          <w:lang w:eastAsia="en-US"/>
        </w:rPr>
      </w:pPr>
    </w:p>
    <w:p w14:paraId="7718B6EF" w14:textId="18816B76" w:rsidR="004F5A0B" w:rsidRDefault="008968A4" w:rsidP="0059403F">
      <w:pPr>
        <w:pStyle w:val="paragraph"/>
        <w:spacing w:before="0" w:beforeAutospacing="0" w:after="0" w:afterAutospacing="0" w:line="276" w:lineRule="auto"/>
        <w:jc w:val="both"/>
        <w:textAlignment w:val="baseline"/>
        <w:rPr>
          <w:noProof/>
        </w:rPr>
      </w:pPr>
      <w:r>
        <w:rPr>
          <w:b/>
          <w:bCs/>
          <w:noProof/>
        </w:rPr>
        <w:t>Diversificering af brændstofforsyningen til atomkraftværker</w:t>
      </w:r>
      <w:r>
        <w:rPr>
          <w:noProof/>
        </w:rPr>
        <w:t xml:space="preserve"> er en vigtig del af arbejdet, da nogle EU-medlemsstater stadig er helt afhængige af russisk nukleart brændsel. EU vil bistå kernekraftværker med at fremskynde tilladelsesprocessen for alternative brændsler til de russisk konstruerede VVER-reaktorer</w:t>
      </w:r>
      <w:r>
        <w:rPr>
          <w:rStyle w:val="FootnoteReference"/>
          <w:noProof/>
        </w:rPr>
        <w:footnoteReference w:id="7"/>
      </w:r>
      <w:r>
        <w:rPr>
          <w:noProof/>
        </w:rPr>
        <w:t xml:space="preserve"> og vil samarbejde med internationale nukleare organisationer, f.eks. Den Internationale Atomenergiorganisation (IAEA) og Kerneenergiagenturet (NEA) under Organisationen for Økonomisk Samarbejde og Udvikling (OECD) for at opbygge et samarbejde om forsyningssikkerhed. Samarbejdet med partnere som Canada er allerede i gang. </w:t>
      </w:r>
    </w:p>
    <w:p w14:paraId="0D80416C" w14:textId="77777777" w:rsidR="00D13904" w:rsidRPr="00F7738E" w:rsidRDefault="00D13904" w:rsidP="0059403F">
      <w:pPr>
        <w:pStyle w:val="paragraph"/>
        <w:spacing w:before="0" w:beforeAutospacing="0" w:after="0" w:afterAutospacing="0" w:line="276" w:lineRule="auto"/>
        <w:jc w:val="both"/>
        <w:textAlignment w:val="baseline"/>
        <w:rPr>
          <w:noProof/>
        </w:rPr>
      </w:pPr>
    </w:p>
    <w:p w14:paraId="0A2EF03B" w14:textId="34144041" w:rsidR="00B343AD" w:rsidRPr="00B343AD" w:rsidRDefault="00B343AD" w:rsidP="00143816">
      <w:p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Vigtige tiltag: </w:t>
      </w:r>
    </w:p>
    <w:p w14:paraId="45C2AF38" w14:textId="1A0313D6" w:rsidR="00417C5C" w:rsidRPr="00143816" w:rsidRDefault="00AB4758" w:rsidP="00AA5D14">
      <w:pPr>
        <w:pStyle w:val="ListParagraph"/>
        <w:numPr>
          <w:ilvl w:val="0"/>
          <w:numId w:val="5"/>
        </w:numPr>
        <w:spacing w:after="240"/>
        <w:jc w:val="both"/>
        <w:rPr>
          <w:rFonts w:ascii="Times New Roman" w:hAnsi="Times New Roman" w:cs="Times New Roman"/>
          <w:b/>
          <w:bCs/>
          <w:noProof/>
          <w:sz w:val="24"/>
          <w:szCs w:val="24"/>
        </w:rPr>
      </w:pPr>
      <w:r>
        <w:rPr>
          <w:rFonts w:ascii="Times New Roman" w:hAnsi="Times New Roman"/>
          <w:b/>
          <w:bCs/>
          <w:noProof/>
          <w:sz w:val="24"/>
          <w:szCs w:val="24"/>
        </w:rPr>
        <w:t>samarbejde med G7, G20 og andre internationale fora samt bilateralt med relevante lande for at sikre velforsynede og velfungerende oliemarkeder</w:t>
      </w:r>
    </w:p>
    <w:p w14:paraId="58C8E27D" w14:textId="031CBCC8" w:rsidR="00B32A7C" w:rsidRPr="00143816" w:rsidRDefault="00AB4758" w:rsidP="00EC39ED">
      <w:pPr>
        <w:pStyle w:val="ListParagraph"/>
        <w:numPr>
          <w:ilvl w:val="0"/>
          <w:numId w:val="5"/>
        </w:numPr>
        <w:spacing w:after="240"/>
        <w:jc w:val="both"/>
        <w:rPr>
          <w:rFonts w:ascii="Times New Roman" w:hAnsi="Times New Roman" w:cs="Times New Roman"/>
          <w:b/>
          <w:bCs/>
          <w:noProof/>
          <w:sz w:val="24"/>
          <w:szCs w:val="24"/>
        </w:rPr>
      </w:pPr>
      <w:r>
        <w:rPr>
          <w:rFonts w:ascii="Times New Roman" w:hAnsi="Times New Roman"/>
          <w:b/>
          <w:bCs/>
          <w:noProof/>
          <w:sz w:val="24"/>
          <w:szCs w:val="24"/>
        </w:rPr>
        <w:t>fortsætte dialogen med Organisationen af Olieeksporterende Lande (OPEC) for at sikre stabilitet og prisoverkommelighed på oliemarkedet</w:t>
      </w:r>
    </w:p>
    <w:p w14:paraId="2DA5CBE0" w14:textId="53539BCA" w:rsidR="00B343AD" w:rsidRDefault="00AB4758" w:rsidP="00B343AD">
      <w:pPr>
        <w:pStyle w:val="ListParagraph"/>
        <w:numPr>
          <w:ilvl w:val="0"/>
          <w:numId w:val="5"/>
        </w:numPr>
        <w:spacing w:after="240"/>
        <w:jc w:val="both"/>
        <w:rPr>
          <w:rFonts w:ascii="Times New Roman" w:hAnsi="Times New Roman" w:cs="Times New Roman"/>
          <w:b/>
          <w:bCs/>
          <w:noProof/>
          <w:sz w:val="24"/>
          <w:szCs w:val="24"/>
        </w:rPr>
      </w:pPr>
      <w:r>
        <w:rPr>
          <w:rFonts w:ascii="Times New Roman" w:hAnsi="Times New Roman"/>
          <w:b/>
          <w:bCs/>
          <w:noProof/>
          <w:sz w:val="24"/>
          <w:szCs w:val="24"/>
        </w:rPr>
        <w:t>koordinere EU's reaktion på presset på oliemarkederne, herunder potentielle frigivelser fra olielagrene som led i IEA's fælles indsats eller EU's reaktion på forsyningsafbrydelser</w:t>
      </w:r>
    </w:p>
    <w:p w14:paraId="4C8B0A85" w14:textId="66072B43" w:rsidR="00CD794A" w:rsidRPr="00C042EE" w:rsidRDefault="00AB4758" w:rsidP="006A4CD9">
      <w:pPr>
        <w:pStyle w:val="ListParagraph"/>
        <w:numPr>
          <w:ilvl w:val="0"/>
          <w:numId w:val="5"/>
        </w:numPr>
        <w:spacing w:after="240"/>
        <w:jc w:val="both"/>
        <w:rPr>
          <w:rFonts w:ascii="Times New Roman" w:hAnsi="Times New Roman" w:cs="Times New Roman"/>
          <w:b/>
          <w:bCs/>
          <w:noProof/>
          <w:sz w:val="24"/>
          <w:szCs w:val="24"/>
        </w:rPr>
      </w:pPr>
      <w:r>
        <w:rPr>
          <w:rFonts w:ascii="Times New Roman" w:hAnsi="Times New Roman"/>
          <w:b/>
          <w:bCs/>
          <w:noProof/>
          <w:sz w:val="24"/>
          <w:szCs w:val="24"/>
        </w:rPr>
        <w:t>fremskynde diversificeringen af brændselsforsyningen til kernekraftværker, herunder i samarbejde med Euratom</w:t>
      </w:r>
      <w:r>
        <w:rPr>
          <w:rStyle w:val="FootnoteReference"/>
          <w:rFonts w:ascii="Times New Roman" w:hAnsi="Times New Roman" w:cs="Times New Roman"/>
          <w:b/>
          <w:bCs/>
          <w:noProof/>
          <w:sz w:val="24"/>
          <w:szCs w:val="24"/>
        </w:rPr>
        <w:footnoteReference w:id="8"/>
      </w:r>
      <w:r>
        <w:rPr>
          <w:rFonts w:ascii="Times New Roman" w:hAnsi="Times New Roman"/>
          <w:b/>
          <w:bCs/>
          <w:noProof/>
          <w:sz w:val="24"/>
          <w:szCs w:val="24"/>
        </w:rPr>
        <w:t xml:space="preserve">. </w:t>
      </w:r>
    </w:p>
    <w:p w14:paraId="0D1F685C" w14:textId="77777777" w:rsidR="00CD794A" w:rsidRPr="00B262CB" w:rsidRDefault="00096E58" w:rsidP="00CD794A">
      <w:pPr>
        <w:pStyle w:val="Heading1"/>
        <w:numPr>
          <w:ilvl w:val="1"/>
          <w:numId w:val="1"/>
        </w:numPr>
        <w:spacing w:after="240"/>
        <w:rPr>
          <w:rFonts w:ascii="Times New Roman" w:eastAsia="Times New Roman" w:hAnsi="Times New Roman" w:cs="Times New Roman"/>
          <w:b/>
          <w:noProof/>
          <w:color w:val="auto"/>
          <w:sz w:val="24"/>
          <w:szCs w:val="24"/>
        </w:rPr>
      </w:pPr>
      <w:bookmarkStart w:id="7" w:name="_Hlk102919389"/>
      <w:r>
        <w:rPr>
          <w:rFonts w:ascii="Times New Roman" w:hAnsi="Times New Roman"/>
          <w:b/>
          <w:noProof/>
          <w:color w:val="auto"/>
          <w:sz w:val="24"/>
          <w:szCs w:val="24"/>
        </w:rPr>
        <w:t xml:space="preserve">Prioritering af energibesparelser og energieffektivitet </w:t>
      </w:r>
    </w:p>
    <w:p w14:paraId="08F35550" w14:textId="564B4E79" w:rsidR="00FF6638" w:rsidRDefault="00BE72B2" w:rsidP="00DB3A3C">
      <w:pPr>
        <w:spacing w:after="240"/>
        <w:jc w:val="both"/>
        <w:rPr>
          <w:rFonts w:ascii="Times New Roman" w:hAnsi="Times New Roman" w:cs="Times New Roman"/>
          <w:noProof/>
          <w:sz w:val="24"/>
          <w:szCs w:val="24"/>
        </w:rPr>
      </w:pPr>
      <w:r>
        <w:rPr>
          <w:rFonts w:ascii="Times New Roman" w:hAnsi="Times New Roman"/>
          <w:noProof/>
          <w:sz w:val="24"/>
          <w:szCs w:val="24"/>
        </w:rPr>
        <w:t xml:space="preserve">Efterhånden som EU bevæger sig væk fra russisk energi, vil EU </w:t>
      </w:r>
      <w:r>
        <w:rPr>
          <w:rFonts w:ascii="Times New Roman" w:hAnsi="Times New Roman"/>
          <w:b/>
          <w:bCs/>
          <w:noProof/>
          <w:sz w:val="24"/>
          <w:szCs w:val="24"/>
        </w:rPr>
        <w:t>prioritere energibesparelser og energieffektivitet</w:t>
      </w:r>
      <w:r>
        <w:rPr>
          <w:rFonts w:ascii="Times New Roman" w:hAnsi="Times New Roman"/>
          <w:noProof/>
          <w:sz w:val="24"/>
          <w:szCs w:val="24"/>
        </w:rPr>
        <w:t xml:space="preserve"> med henblik på at opnå en reduktion på 5 % i olie- og gasefterspørgslen på kort sigt. Dette vil reducere pris- og efterspørgselspresset på de globale markeder. EU vil også samarbejde med internationale partnere om at </w:t>
      </w:r>
      <w:r>
        <w:rPr>
          <w:rFonts w:ascii="Times New Roman" w:hAnsi="Times New Roman"/>
          <w:b/>
          <w:bCs/>
          <w:noProof/>
          <w:sz w:val="24"/>
          <w:szCs w:val="24"/>
        </w:rPr>
        <w:t>gøre energibesparelser og energieffektivitet til en global prioritet.</w:t>
      </w:r>
      <w:r>
        <w:rPr>
          <w:rFonts w:ascii="Times New Roman" w:hAnsi="Times New Roman"/>
          <w:noProof/>
          <w:sz w:val="24"/>
          <w:szCs w:val="24"/>
        </w:rPr>
        <w:t xml:space="preserve"> Sammen med andre udviklede økonomier vil EU navnlig fokusere på at reducere energiforbruget, bl.a. på grundlag af IEA's kampagne "Playing My Part". </w:t>
      </w:r>
    </w:p>
    <w:p w14:paraId="7A1C80E7" w14:textId="220E5DDD" w:rsidR="000D3D89" w:rsidRPr="00E0580D" w:rsidRDefault="00BE72B2" w:rsidP="00E0580D">
      <w:pPr>
        <w:spacing w:after="240"/>
        <w:jc w:val="both"/>
        <w:rPr>
          <w:noProof/>
        </w:rPr>
      </w:pPr>
      <w:r>
        <w:rPr>
          <w:rFonts w:ascii="Times New Roman" w:hAnsi="Times New Roman"/>
          <w:noProof/>
          <w:sz w:val="24"/>
          <w:szCs w:val="24"/>
        </w:rPr>
        <w:t xml:space="preserve">Energieffektivitet har adskillige miljømæssige, sociale og økonomiske fordele. I IEA's nettonul-scenarie vokser den globale økonomi med 40 % frem til 2030, men anvender 7 % mindre primærenergi, og løsningerne hertil er allerede teknisk parate, omkostningseffektive og tilgængelige for alle sektorer. De største besparelsespotentialer kan opnås inden for opvarmning og køling af offentlige og private bygninger. Der kan opnås yderligere store energibesparelser gennem mere effektive processer, omstillingen til den cirkulære økonomi og transport samt fra mere effektive apparater, både i hjemmet (f.eks. varmepumper) og i industrien. </w:t>
      </w:r>
    </w:p>
    <w:p w14:paraId="328A0984" w14:textId="728B0889" w:rsidR="009C4510" w:rsidRPr="006D5C36" w:rsidRDefault="008E1211" w:rsidP="008D443E">
      <w:pPr>
        <w:pStyle w:val="ListParagraph"/>
        <w:spacing w:after="240"/>
        <w:ind w:left="142"/>
        <w:rPr>
          <w:noProof/>
          <w:sz w:val="18"/>
        </w:rPr>
      </w:pPr>
      <w:r>
        <w:rPr>
          <w:noProof/>
          <w:lang w:val="en-GB" w:eastAsia="en-GB"/>
        </w:rPr>
        <w:drawing>
          <wp:inline distT="0" distB="0" distL="0" distR="0" wp14:anchorId="5AD353A6" wp14:editId="666E36B4">
            <wp:extent cx="5760720" cy="37268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726815"/>
                    </a:xfrm>
                    <a:prstGeom prst="rect">
                      <a:avLst/>
                    </a:prstGeom>
                  </pic:spPr>
                </pic:pic>
              </a:graphicData>
            </a:graphic>
          </wp:inline>
        </w:drawing>
      </w:r>
      <w:r w:rsidR="00782FF8">
        <w:rPr>
          <w:rFonts w:asciiTheme="majorBidi" w:hAnsiTheme="majorBidi"/>
          <w:noProof/>
          <w:sz w:val="20"/>
          <w:szCs w:val="24"/>
        </w:rPr>
        <w:t xml:space="preserve">Det Internationale Energiagentur (IEA): </w:t>
      </w:r>
      <w:r w:rsidR="00782FF8">
        <w:rPr>
          <w:rFonts w:asciiTheme="majorBidi" w:hAnsiTheme="majorBidi"/>
          <w:noProof/>
          <w:sz w:val="18"/>
        </w:rPr>
        <w:t>Fordobling af energiintensiteten i det næste årti bidrager til at reducere energiefterspørgslen med 95 EJ</w:t>
      </w:r>
    </w:p>
    <w:p w14:paraId="749BE07F" w14:textId="34923DD4" w:rsidR="00E0580D" w:rsidRDefault="00E0580D" w:rsidP="00CD794A">
      <w:pPr>
        <w:spacing w:after="240"/>
        <w:jc w:val="both"/>
        <w:rPr>
          <w:rFonts w:ascii="Times New Roman" w:hAnsi="Times New Roman" w:cs="Times New Roman"/>
          <w:noProof/>
          <w:sz w:val="24"/>
          <w:szCs w:val="24"/>
        </w:rPr>
      </w:pPr>
      <w:r>
        <w:rPr>
          <w:rFonts w:ascii="Times New Roman" w:hAnsi="Times New Roman"/>
          <w:noProof/>
          <w:sz w:val="24"/>
          <w:szCs w:val="24"/>
        </w:rPr>
        <w:t xml:space="preserve">EU har udviklet erfaringer med </w:t>
      </w:r>
      <w:r>
        <w:rPr>
          <w:rFonts w:ascii="Times New Roman" w:hAnsi="Times New Roman"/>
          <w:b/>
          <w:bCs/>
          <w:noProof/>
          <w:sz w:val="24"/>
          <w:szCs w:val="24"/>
        </w:rPr>
        <w:t>regulering, lovgivning, fastsættelse af standarder og mærkning</w:t>
      </w:r>
      <w:r>
        <w:rPr>
          <w:rFonts w:ascii="Times New Roman" w:hAnsi="Times New Roman"/>
          <w:noProof/>
          <w:sz w:val="24"/>
          <w:szCs w:val="24"/>
        </w:rPr>
        <w:t xml:space="preserve">, som kan være en inspirationskilde for mange lande. EU vil fremme disse standarder og denne praksis internationalt, samtidig med at det anerkender sine partneres særlige forhold. Det er også afgørende at mobilisere store </w:t>
      </w:r>
      <w:r>
        <w:rPr>
          <w:rFonts w:ascii="Times New Roman" w:hAnsi="Times New Roman"/>
          <w:b/>
          <w:bCs/>
          <w:noProof/>
          <w:sz w:val="24"/>
          <w:szCs w:val="24"/>
        </w:rPr>
        <w:t>kapitalinvesteringer</w:t>
      </w:r>
      <w:r>
        <w:rPr>
          <w:rFonts w:ascii="Times New Roman" w:hAnsi="Times New Roman"/>
          <w:noProof/>
          <w:sz w:val="24"/>
          <w:szCs w:val="24"/>
        </w:rPr>
        <w:t xml:space="preserve"> fra både den offentlige og den private sektor. EU's bedste praksis vedrørende finansiering af energieffektivitet kan deles og opskaleres i tæt samarbejde med de finansielle institutioner og internationale partnere.</w:t>
      </w:r>
    </w:p>
    <w:p w14:paraId="1B005649" w14:textId="234D14F5" w:rsidR="00CD794A" w:rsidRPr="001F172F" w:rsidRDefault="000D3D89" w:rsidP="00CD794A">
      <w:pPr>
        <w:spacing w:after="240"/>
        <w:jc w:val="both"/>
        <w:rPr>
          <w:rFonts w:ascii="Times New Roman" w:hAnsi="Times New Roman" w:cs="Times New Roman"/>
          <w:noProof/>
          <w:sz w:val="24"/>
          <w:szCs w:val="24"/>
        </w:rPr>
      </w:pPr>
      <w:r>
        <w:rPr>
          <w:rFonts w:ascii="Times New Roman" w:hAnsi="Times New Roman"/>
          <w:noProof/>
          <w:sz w:val="24"/>
          <w:szCs w:val="24"/>
        </w:rPr>
        <w:t>Eksemplet med standsning af methanlækager viser, at foranstaltninger vedrørende energibesparelser kan gennemføres med negative reduktionsomkostninger: Op til 70 % af methanemissionerne fra olie-, gas- og kulsektoren kan stoppes med den eksisterende teknologi, og næsten halvdelen med overskud eller ingen omkostninger</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w:t>
      </w:r>
    </w:p>
    <w:p w14:paraId="4309E7FA" w14:textId="122AAB75" w:rsidR="00BF5EA4" w:rsidRDefault="00CD794A" w:rsidP="00F156DE">
      <w:pPr>
        <w:jc w:val="both"/>
        <w:rPr>
          <w:rFonts w:ascii="Times New Roman" w:hAnsi="Times New Roman" w:cs="Times New Roman"/>
          <w:b/>
          <w:bCs/>
          <w:noProof/>
          <w:sz w:val="24"/>
          <w:szCs w:val="24"/>
        </w:rPr>
      </w:pPr>
      <w:r>
        <w:rPr>
          <w:rFonts w:ascii="Times New Roman" w:hAnsi="Times New Roman"/>
          <w:noProof/>
          <w:sz w:val="24"/>
          <w:szCs w:val="24"/>
        </w:rPr>
        <w:t xml:space="preserve">Kommissionen har allerede vedtaget </w:t>
      </w:r>
      <w:r>
        <w:rPr>
          <w:rFonts w:ascii="Times New Roman" w:hAnsi="Times New Roman"/>
          <w:b/>
          <w:bCs/>
          <w:noProof/>
          <w:sz w:val="24"/>
          <w:szCs w:val="24"/>
        </w:rPr>
        <w:t>en EU-strategi for reduktion af methanemissioner</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og et lovgivningsforslag om bekæmpelse af methanemissioner, som har en klar international dimension. Internationalt har EU lanceret "</w:t>
      </w:r>
      <w:r>
        <w:rPr>
          <w:rFonts w:ascii="Times New Roman" w:hAnsi="Times New Roman"/>
          <w:b/>
          <w:bCs/>
          <w:noProof/>
          <w:sz w:val="24"/>
          <w:szCs w:val="24"/>
        </w:rPr>
        <w:t>Global Methane Pledge"</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sammen med USA. Deltagerlandene forpligter sig til at reducere deres samlede methanemissioner med mindst 30 % i forhold til 2020-niveauet senest i 2030. Mere end 110 lande, som tegner sig for ca. halvdelen af de globale menneskeskabte methanemissioner, har allerede tilsluttet sig dette tilsagn.</w:t>
      </w:r>
    </w:p>
    <w:p w14:paraId="6D07F79D" w14:textId="55A7A9CE" w:rsidR="00096E58" w:rsidRDefault="00CD794A" w:rsidP="00DF6A64">
      <w:pPr>
        <w:pStyle w:val="ListParagraph"/>
        <w:numPr>
          <w:ilvl w:val="0"/>
          <w:numId w:val="4"/>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Vigtige tiltag: arbejde med partnere for at gøre energieffektivitet og energibesparelser til en global prioritet </w:t>
      </w:r>
    </w:p>
    <w:p w14:paraId="65B329CF" w14:textId="15A79432" w:rsidR="00DA653C" w:rsidRPr="00527911" w:rsidRDefault="0089147C" w:rsidP="00DA653C">
      <w:pPr>
        <w:pStyle w:val="ListParagraph"/>
        <w:numPr>
          <w:ilvl w:val="0"/>
          <w:numId w:val="4"/>
        </w:numPr>
        <w:spacing w:after="240"/>
        <w:jc w:val="both"/>
        <w:rPr>
          <w:rFonts w:ascii="Times New Roman" w:hAnsi="Times New Roman" w:cs="Times New Roman"/>
          <w:b/>
          <w:bCs/>
          <w:noProof/>
          <w:sz w:val="24"/>
          <w:szCs w:val="24"/>
        </w:rPr>
      </w:pPr>
      <w:r>
        <w:rPr>
          <w:rFonts w:ascii="Times New Roman" w:hAnsi="Times New Roman"/>
          <w:b/>
          <w:bCs/>
          <w:noProof/>
          <w:sz w:val="24"/>
          <w:szCs w:val="24"/>
        </w:rPr>
        <w:t>støtte den globale omstilling til en mere cirkulær økonomi for at reducere energiforbruget</w:t>
      </w:r>
    </w:p>
    <w:p w14:paraId="36559F49" w14:textId="188F441C" w:rsidR="00BE0B37" w:rsidRPr="000D3D89" w:rsidRDefault="00AB4758" w:rsidP="006A4A8A">
      <w:pPr>
        <w:pStyle w:val="ListParagraph"/>
        <w:numPr>
          <w:ilvl w:val="0"/>
          <w:numId w:val="4"/>
        </w:numPr>
        <w:jc w:val="both"/>
        <w:rPr>
          <w:rFonts w:ascii="Times New Roman" w:hAnsi="Times New Roman" w:cs="Times New Roman"/>
          <w:b/>
          <w:bCs/>
          <w:noProof/>
          <w:sz w:val="24"/>
          <w:szCs w:val="24"/>
        </w:rPr>
      </w:pPr>
      <w:r>
        <w:rPr>
          <w:rFonts w:ascii="Times New Roman" w:hAnsi="Times New Roman"/>
          <w:b/>
          <w:bCs/>
          <w:noProof/>
          <w:sz w:val="24"/>
          <w:szCs w:val="24"/>
        </w:rPr>
        <w:t>lette tilgængeligheden af og adgangen til finansiering til investeringer i energieffektivitet og energibesparelser</w:t>
      </w:r>
    </w:p>
    <w:p w14:paraId="0DCC7695" w14:textId="4CFBEF01" w:rsidR="000D3D89" w:rsidRDefault="0089147C" w:rsidP="000D3D89">
      <w:pPr>
        <w:pStyle w:val="ListParagraph"/>
        <w:numPr>
          <w:ilvl w:val="0"/>
          <w:numId w:val="4"/>
        </w:numPr>
        <w:jc w:val="both"/>
        <w:rPr>
          <w:rFonts w:ascii="Times New Roman" w:hAnsi="Times New Roman" w:cs="Times New Roman"/>
          <w:b/>
          <w:bCs/>
          <w:noProof/>
          <w:sz w:val="24"/>
          <w:szCs w:val="24"/>
        </w:rPr>
      </w:pPr>
      <w:r>
        <w:rPr>
          <w:rFonts w:ascii="Times New Roman" w:hAnsi="Times New Roman"/>
          <w:b/>
          <w:bCs/>
          <w:noProof/>
          <w:sz w:val="24"/>
          <w:szCs w:val="24"/>
        </w:rPr>
        <w:t>gennemføre Global Methane Pledge (GMP) og den eksterne dimension af EU's methanstrategi.</w:t>
      </w:r>
    </w:p>
    <w:bookmarkEnd w:id="7"/>
    <w:p w14:paraId="7FD2B758" w14:textId="4475126E" w:rsidR="005A1A2C" w:rsidRPr="00B262CB" w:rsidRDefault="002815EA" w:rsidP="005A1A2C">
      <w:pPr>
        <w:pStyle w:val="Heading1"/>
        <w:numPr>
          <w:ilvl w:val="0"/>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Støtte til partnere, der er påvirket af Ruslands invasion af Ukraine</w:t>
      </w:r>
    </w:p>
    <w:p w14:paraId="51D0A0D5" w14:textId="407570DD" w:rsidR="00DD11D8" w:rsidRPr="00451FC7" w:rsidRDefault="00DD11D8" w:rsidP="0009606D">
      <w:pPr>
        <w:pStyle w:val="Heading1"/>
        <w:tabs>
          <w:tab w:val="left" w:pos="1950"/>
        </w:tabs>
        <w:spacing w:after="240"/>
        <w:jc w:val="both"/>
        <w:rPr>
          <w:rFonts w:ascii="Times New Roman" w:eastAsiaTheme="minorHAnsi" w:hAnsi="Times New Roman" w:cs="Times New Roman"/>
          <w:noProof/>
          <w:color w:val="auto"/>
          <w:sz w:val="24"/>
          <w:szCs w:val="24"/>
        </w:rPr>
      </w:pPr>
      <w:r>
        <w:rPr>
          <w:rFonts w:ascii="Times New Roman" w:hAnsi="Times New Roman"/>
          <w:noProof/>
          <w:color w:val="auto"/>
          <w:sz w:val="24"/>
          <w:szCs w:val="24"/>
        </w:rPr>
        <w:t xml:space="preserve">Den russiske militære aggression i alle dens dimensioner har alarmerende systemiske følgevirkninger for den globale økonomi, som allerede er ramt af covid-19-pandemien og klimaændringer, med særligt dramatiske konsekvenser for udviklingslandene. </w:t>
      </w:r>
    </w:p>
    <w:p w14:paraId="4BB6DA94" w14:textId="52B6CEA5" w:rsidR="00DD11D8" w:rsidRDefault="004B41FD" w:rsidP="00DD11D8">
      <w:pPr>
        <w:jc w:val="both"/>
        <w:rPr>
          <w:rFonts w:ascii="Times New Roman" w:hAnsi="Times New Roman" w:cs="Times New Roman"/>
          <w:noProof/>
          <w:sz w:val="24"/>
          <w:szCs w:val="24"/>
        </w:rPr>
      </w:pPr>
      <w:r>
        <w:rPr>
          <w:rFonts w:ascii="Times New Roman" w:hAnsi="Times New Roman"/>
          <w:noProof/>
          <w:sz w:val="24"/>
          <w:szCs w:val="24"/>
        </w:rPr>
        <w:t>Ifølge UNCTAD's nylige fremskrivninger</w:t>
      </w:r>
      <w:r>
        <w:rPr>
          <w:rStyle w:val="FootnoteReference"/>
          <w:rFonts w:ascii="Times New Roman" w:hAnsi="Times New Roman" w:cs="Times New Roman"/>
          <w:noProof/>
          <w:sz w:val="24"/>
          <w:szCs w:val="24"/>
          <w:lang w:val="en-IE"/>
        </w:rPr>
        <w:footnoteReference w:id="12"/>
      </w:r>
      <w:r>
        <w:rPr>
          <w:rFonts w:ascii="Times New Roman" w:hAnsi="Times New Roman"/>
          <w:noProof/>
          <w:sz w:val="24"/>
          <w:szCs w:val="24"/>
        </w:rPr>
        <w:t xml:space="preserve"> vil den globale BNP-vækst være et helt procentpoint lavere end forventet på grund af Ruslands invasion af Ukraine, som forstyrrer de allerede knappe fødevare-, energi- og finansmarkeder alvorligt</w:t>
      </w:r>
      <w:r>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 Råvarepriserne er rekordhøje: Råoliepriserne er steget med ca. 60 %, priserne på gas og gødning er mere end fordoblet, og fødevarepriserne er 34 % højere end samme tid sidste år.</w:t>
      </w:r>
    </w:p>
    <w:p w14:paraId="40EC3961" w14:textId="23098532" w:rsidR="00DD11D8" w:rsidRPr="00EC6429" w:rsidRDefault="00482599" w:rsidP="00DD11D8">
      <w:pPr>
        <w:jc w:val="both"/>
        <w:rPr>
          <w:rFonts w:ascii="Times New Roman" w:hAnsi="Times New Roman" w:cs="Times New Roman"/>
          <w:noProof/>
          <w:sz w:val="24"/>
          <w:szCs w:val="24"/>
        </w:rPr>
      </w:pPr>
      <w:r>
        <w:rPr>
          <w:rFonts w:ascii="Times New Roman" w:hAnsi="Times New Roman"/>
          <w:noProof/>
          <w:sz w:val="24"/>
          <w:szCs w:val="24"/>
        </w:rPr>
        <w:t>Ifølge nylige vurderinger fra FN vil en tredjedel af de 1,7 milliarder mennesker, der allerede lever i fattigdom, blive udsat for forstyrrelser i fødevare-, energi- og finansieringssystemerne</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Som følge heraf vil mange udviklingslande miste yderligere økonomisk terræn, samtidig med at deres sårbarhed øges som følge af stigende geopolitiske spændinger og øget økonomisk usikkerhed. </w:t>
      </w:r>
    </w:p>
    <w:p w14:paraId="4162215E" w14:textId="4A226F1A" w:rsidR="00FB1B84" w:rsidRDefault="00DD11D8" w:rsidP="00FB1B84">
      <w:pPr>
        <w:spacing w:after="160"/>
        <w:jc w:val="both"/>
        <w:rPr>
          <w:rFonts w:ascii="Times New Roman" w:hAnsi="Times New Roman" w:cs="Times New Roman"/>
          <w:bCs/>
          <w:noProof/>
          <w:sz w:val="24"/>
          <w:szCs w:val="24"/>
        </w:rPr>
      </w:pPr>
      <w:r>
        <w:rPr>
          <w:rFonts w:ascii="Times New Roman" w:hAnsi="Times New Roman"/>
          <w:noProof/>
          <w:sz w:val="24"/>
          <w:szCs w:val="24"/>
        </w:rPr>
        <w:t>I erkendelse af disse konsekvenser</w:t>
      </w:r>
      <w:r>
        <w:rPr>
          <w:rFonts w:ascii="Times New Roman" w:hAnsi="Times New Roman"/>
          <w:b/>
          <w:noProof/>
          <w:sz w:val="24"/>
          <w:szCs w:val="24"/>
        </w:rPr>
        <w:t xml:space="preserve"> vil EU benytte alle eksisterende instrumenter til fortsat at støtte udviklingsøkonomierne</w:t>
      </w:r>
      <w:r>
        <w:rPr>
          <w:rFonts w:ascii="Times New Roman" w:hAnsi="Times New Roman"/>
          <w:bCs/>
          <w:noProof/>
          <w:sz w:val="24"/>
          <w:szCs w:val="24"/>
        </w:rPr>
        <w:t xml:space="preserve">, navnlig i Afrika og EU's nabolande, så de kan komme på fode igen efter covid-19-pandemien og opnå en inklusiv og bæredygtig vækst, samtidig med at de opbygger den økonomiske modstandsdygtighed, der er nødvendig for at imødegå disse chok og klimakrisen. EU's indsats for at støtte en global retfærdig og grøn energiomstilling, som er skitseret i kapitel 4, er centrale for dette arbejde. EU vil overvåge og imødegå konsekvenserne af Ruslands aggression over for partnere gennem bilateralt og multilateralt engagement og vil arbejde hen imod en samlet global reaktion. </w:t>
      </w:r>
    </w:p>
    <w:p w14:paraId="6CA6F8E6" w14:textId="28775548" w:rsidR="00417C5C" w:rsidRPr="00FA793B" w:rsidRDefault="00584DFE" w:rsidP="00AA5D14">
      <w:pPr>
        <w:pStyle w:val="Heading1"/>
        <w:numPr>
          <w:ilvl w:val="1"/>
          <w:numId w:val="1"/>
        </w:numPr>
        <w:spacing w:after="240"/>
        <w:rPr>
          <w:rFonts w:ascii="Times New Roman" w:eastAsia="Times New Roman" w:hAnsi="Times New Roman" w:cs="Times New Roman"/>
          <w:b/>
          <w:noProof/>
          <w:color w:val="auto"/>
          <w:sz w:val="24"/>
          <w:szCs w:val="24"/>
        </w:rPr>
      </w:pPr>
      <w:bookmarkStart w:id="8" w:name="_Hlk103156533"/>
      <w:bookmarkStart w:id="9" w:name="_Hlk102921273"/>
      <w:r>
        <w:rPr>
          <w:rFonts w:ascii="Times New Roman" w:hAnsi="Times New Roman"/>
          <w:b/>
          <w:noProof/>
          <w:color w:val="auto"/>
          <w:sz w:val="24"/>
          <w:szCs w:val="24"/>
        </w:rPr>
        <w:t xml:space="preserve">Opgradering af Ukraines energisystem og samarbejde med de nære nabolande </w:t>
      </w:r>
    </w:p>
    <w:p w14:paraId="5CA78305" w14:textId="32AC761E" w:rsidR="00DC37CE" w:rsidRPr="00DC37CE" w:rsidRDefault="00DC37CE" w:rsidP="00DC37CE">
      <w:pPr>
        <w:spacing w:after="240"/>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Siden Rusland indledte sin militære aggression, har EU's energipolitik været koncentreret om at hjælpe Ukraine og andre lande, der er direkte berørt af krigen. EU's arbejde har fokuseret på at sikre uafbrudte energiforsyninger og nuklear sikkerhed i Ukraine. </w:t>
      </w:r>
      <w:r>
        <w:rPr>
          <w:rFonts w:ascii="Times New Roman" w:hAnsi="Times New Roman"/>
          <w:b/>
          <w:bCs/>
          <w:noProof/>
          <w:color w:val="000000"/>
          <w:sz w:val="24"/>
          <w:szCs w:val="24"/>
        </w:rPr>
        <w:t>Krisesynkroniseringen af Ukraines og Moldovas elnet</w:t>
      </w:r>
      <w:r>
        <w:rPr>
          <w:rFonts w:ascii="Times New Roman" w:hAnsi="Times New Roman"/>
          <w:noProof/>
          <w:color w:val="000000"/>
          <w:sz w:val="24"/>
          <w:szCs w:val="24"/>
        </w:rPr>
        <w:t xml:space="preserve"> er et vigtigt skridt i retning af at sikre forsyningssikkerheden. Den næste politiske prioritet er at give mulighed for elektronisk handel med EU baseret på en gradvis forøgelse af den omsættelige kapacitet.</w:t>
      </w:r>
    </w:p>
    <w:p w14:paraId="215A2D36" w14:textId="76921B2C" w:rsidR="00DC37CE" w:rsidRDefault="00DC37CE" w:rsidP="00DC37CE">
      <w:pPr>
        <w:spacing w:after="240"/>
        <w:jc w:val="both"/>
        <w:rPr>
          <w:rFonts w:ascii="Times New Roman" w:hAnsi="Times New Roman" w:cs="Times New Roman"/>
          <w:noProof/>
          <w:color w:val="000000"/>
          <w:sz w:val="24"/>
          <w:szCs w:val="24"/>
        </w:rPr>
      </w:pPr>
      <w:r>
        <w:rPr>
          <w:rFonts w:ascii="Times New Roman" w:hAnsi="Times New Roman"/>
          <w:b/>
          <w:bCs/>
          <w:noProof/>
          <w:color w:val="000000"/>
          <w:sz w:val="24"/>
          <w:szCs w:val="24"/>
        </w:rPr>
        <w:t>Tilbagegående strømme</w:t>
      </w:r>
      <w:r>
        <w:rPr>
          <w:rFonts w:ascii="Times New Roman" w:hAnsi="Times New Roman"/>
          <w:noProof/>
          <w:color w:val="000000"/>
          <w:sz w:val="24"/>
          <w:szCs w:val="24"/>
        </w:rPr>
        <w:t xml:space="preserve"> giver allerede i dag mulighed for at levere gas fra Slovakiet og Ungarn til Ukraine. Åbningen af </w:t>
      </w:r>
      <w:r>
        <w:rPr>
          <w:rFonts w:ascii="Times New Roman" w:hAnsi="Times New Roman"/>
          <w:b/>
          <w:bCs/>
          <w:noProof/>
          <w:color w:val="000000"/>
          <w:sz w:val="24"/>
          <w:szCs w:val="24"/>
        </w:rPr>
        <w:t>EU's platform for fælles indkøb af gas</w:t>
      </w:r>
      <w:r>
        <w:rPr>
          <w:rFonts w:ascii="Times New Roman" w:hAnsi="Times New Roman"/>
          <w:noProof/>
          <w:color w:val="000000"/>
          <w:sz w:val="24"/>
          <w:szCs w:val="24"/>
        </w:rPr>
        <w:t xml:space="preserve">, LNG og brint til Ukraine, Moldova, Georgien og Vestbalkan er også et klart signal om støtte. Beskadiget energiudstyr i Ukraine repareres ved at omdirigere specialiseret energiudstyr fra medlemsstaterne til Ukraine via EU's civilbeskyttelsesmekanisme. Produkter, som medlemsstaterne ikke kan levere, indkøbes via energistøttefonden for Ukraine, der er oprettet af Energifællesskabet. </w:t>
      </w:r>
    </w:p>
    <w:p w14:paraId="1B8534A8" w14:textId="4AC0885A" w:rsidR="00DC37CE" w:rsidRPr="00DC37CE" w:rsidRDefault="00DC37CE" w:rsidP="00DC37CE">
      <w:pPr>
        <w:spacing w:after="240"/>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For at muliggøre en fremtidig fuld integration af Ukraines energimarked yder EU teknisk støtte for at sikre markedsreformer. Reformerne vil også give mulighed for bedre integration af vedvarende energi og tilpasning til EU's klimaambitioner. </w:t>
      </w:r>
      <w:r>
        <w:rPr>
          <w:rFonts w:ascii="Times New Roman" w:hAnsi="Times New Roman"/>
          <w:noProof/>
          <w:sz w:val="24"/>
          <w:szCs w:val="24"/>
        </w:rPr>
        <w:t xml:space="preserve">Dette arbejde finder sted inden for </w:t>
      </w:r>
      <w:r>
        <w:rPr>
          <w:rFonts w:ascii="Times New Roman" w:hAnsi="Times New Roman"/>
          <w:b/>
          <w:bCs/>
          <w:noProof/>
          <w:color w:val="000000"/>
          <w:sz w:val="24"/>
          <w:szCs w:val="24"/>
        </w:rPr>
        <w:t>rammerne af associeringsaftalen og det strategiske partnerskab mellem EU og Ukraine</w:t>
      </w:r>
      <w:r>
        <w:rPr>
          <w:rFonts w:ascii="Times New Roman" w:hAnsi="Times New Roman"/>
          <w:noProof/>
          <w:color w:val="000000"/>
          <w:sz w:val="24"/>
          <w:szCs w:val="24"/>
        </w:rPr>
        <w:t>.</w:t>
      </w:r>
      <w:r>
        <w:rPr>
          <w:rFonts w:ascii="Times New Roman" w:hAnsi="Times New Roman"/>
          <w:noProof/>
          <w:color w:val="000000" w:themeColor="text1"/>
          <w:sz w:val="24"/>
          <w:szCs w:val="24"/>
        </w:rPr>
        <w:t xml:space="preserve"> </w:t>
      </w:r>
      <w:r>
        <w:rPr>
          <w:rFonts w:ascii="Times New Roman" w:hAnsi="Times New Roman"/>
          <w:noProof/>
          <w:sz w:val="24"/>
          <w:szCs w:val="24"/>
        </w:rPr>
        <w:t>Energifællesskabet og den nyligt oprettede energitaskforce for Ukraine spiller en vigtig rolle i dette arbejde</w:t>
      </w:r>
      <w:r>
        <w:rPr>
          <w:rFonts w:ascii="Times New Roman" w:hAnsi="Times New Roman"/>
          <w:noProof/>
          <w:color w:val="000000" w:themeColor="text1"/>
          <w:sz w:val="24"/>
          <w:szCs w:val="24"/>
        </w:rPr>
        <w:t>.</w:t>
      </w:r>
      <w:r>
        <w:rPr>
          <w:rFonts w:ascii="Times New Roman" w:hAnsi="Times New Roman"/>
          <w:noProof/>
          <w:color w:val="000000"/>
          <w:sz w:val="24"/>
          <w:szCs w:val="24"/>
        </w:rPr>
        <w:t xml:space="preserve"> </w:t>
      </w:r>
    </w:p>
    <w:p w14:paraId="6041C1CF" w14:textId="77777777" w:rsidR="00DC37CE" w:rsidRPr="00DC37CE" w:rsidRDefault="00DC37CE" w:rsidP="00DC37CE">
      <w:pPr>
        <w:spacing w:after="240"/>
        <w:jc w:val="both"/>
        <w:rPr>
          <w:rFonts w:ascii="Times New Roman" w:hAnsi="Times New Roman" w:cs="Times New Roman"/>
          <w:noProof/>
          <w:color w:val="000000"/>
          <w:sz w:val="24"/>
          <w:szCs w:val="24"/>
        </w:rPr>
      </w:pPr>
      <w:r>
        <w:rPr>
          <w:rFonts w:ascii="Times New Roman" w:hAnsi="Times New Roman"/>
          <w:b/>
          <w:noProof/>
          <w:color w:val="000000"/>
          <w:sz w:val="24"/>
          <w:szCs w:val="24"/>
        </w:rPr>
        <w:t>Nuklear sikkerhed er fortsat en vigtig prioritet</w:t>
      </w:r>
      <w:r>
        <w:rPr>
          <w:rFonts w:ascii="Times New Roman" w:hAnsi="Times New Roman"/>
          <w:noProof/>
          <w:color w:val="000000"/>
          <w:sz w:val="24"/>
        </w:rPr>
        <w:t xml:space="preserve">, navnlig efter Ruslands </w:t>
      </w:r>
      <w:r>
        <w:rPr>
          <w:rFonts w:ascii="Times New Roman" w:hAnsi="Times New Roman"/>
          <w:noProof/>
          <w:color w:val="000000"/>
          <w:sz w:val="24"/>
          <w:szCs w:val="24"/>
        </w:rPr>
        <w:t>lemfældige adfærd på de ukrainske nukleare anlæg. EU tilslutter sig fuldt ud Den Internationale Atomenergiorganisations bestræbelser på til enhver tid at garantere sikkerheden på ukrainske nukleare anlæg. EU mobiliserer sit europæiske instrument for internationalt samarbejde om nuklear sikkerhed for at imødekomme presserende behov og genoprette den nukleare sikkerhed med henblik på at overholde de internationale retlige rammer og fortsætter den langvarige støtte til den ukrainske tilsynsmyndighed. EU er parat til at bistå med genopbygningen af den nødvendige nukleare sikkerhedskapacitet.</w:t>
      </w:r>
    </w:p>
    <w:p w14:paraId="55B5058E" w14:textId="5B5A5587" w:rsidR="00DC37CE" w:rsidRPr="00EE4C6B" w:rsidRDefault="00DC37CE" w:rsidP="00DC37CE">
      <w:pPr>
        <w:spacing w:after="240"/>
        <w:jc w:val="both"/>
        <w:rPr>
          <w:rFonts w:ascii="Times New Roman" w:hAnsi="Times New Roman" w:cs="Times New Roman"/>
          <w:noProof/>
          <w:sz w:val="24"/>
          <w:szCs w:val="24"/>
        </w:rPr>
      </w:pPr>
      <w:r>
        <w:rPr>
          <w:rFonts w:ascii="Times New Roman" w:hAnsi="Times New Roman"/>
          <w:noProof/>
          <w:sz w:val="24"/>
          <w:szCs w:val="24"/>
        </w:rPr>
        <w:t>Set i et fremtidsperspektiv har EU fastlagt sin tilgang i form af mere langsigtede genopbygningsrammer i meddelelsen om støtte til og genopbygning af Ukraine</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EU vil samarbejde med Ukraine om at forberede </w:t>
      </w:r>
      <w:r>
        <w:rPr>
          <w:rFonts w:ascii="Times New Roman" w:hAnsi="Times New Roman"/>
          <w:b/>
          <w:bCs/>
          <w:noProof/>
          <w:sz w:val="24"/>
          <w:szCs w:val="24"/>
        </w:rPr>
        <w:t>REPowerUkraine-initiativet</w:t>
      </w:r>
      <w:r>
        <w:rPr>
          <w:rFonts w:ascii="Times New Roman" w:hAnsi="Times New Roman"/>
          <w:noProof/>
          <w:sz w:val="24"/>
          <w:szCs w:val="24"/>
        </w:rPr>
        <w:t xml:space="preserve"> og genopbygge det ukrainske energisystem, så det bliver endnu bedre måde, med henblik på at dekarbonisere Ukraines energisektor og derved sikre Ukraines energiuafhængighed. Fokus bør rettes mod energieffektivitet, vedvarende energi, vedvarende brint, biomethan og fremtidssikret infrastruktur. EU vil støtte denne proces både finansielt og teknisk. </w:t>
      </w:r>
    </w:p>
    <w:p w14:paraId="05B4AF3D" w14:textId="356CE705" w:rsidR="00ED4CAE" w:rsidRDefault="00ED4CAE" w:rsidP="00EE4C6B">
      <w:pPr>
        <w:spacing w:after="240"/>
        <w:jc w:val="both"/>
        <w:rPr>
          <w:rFonts w:ascii="Times New Roman" w:hAnsi="Times New Roman" w:cs="Times New Roman"/>
          <w:noProof/>
          <w:sz w:val="24"/>
          <w:szCs w:val="24"/>
        </w:rPr>
      </w:pPr>
      <w:bookmarkStart w:id="10" w:name="_Hlk103112470"/>
      <w:r>
        <w:rPr>
          <w:rFonts w:ascii="Times New Roman" w:hAnsi="Times New Roman"/>
          <w:noProof/>
          <w:sz w:val="24"/>
          <w:szCs w:val="24"/>
        </w:rPr>
        <w:t xml:space="preserve">Sammen med </w:t>
      </w:r>
      <w:r>
        <w:rPr>
          <w:rFonts w:ascii="Times New Roman" w:hAnsi="Times New Roman"/>
          <w:b/>
          <w:bCs/>
          <w:noProof/>
          <w:sz w:val="24"/>
          <w:szCs w:val="24"/>
        </w:rPr>
        <w:t>Vestbalkan</w:t>
      </w:r>
      <w:r>
        <w:rPr>
          <w:rFonts w:ascii="Times New Roman" w:hAnsi="Times New Roman"/>
          <w:noProof/>
          <w:sz w:val="24"/>
          <w:szCs w:val="24"/>
        </w:rPr>
        <w:t xml:space="preserve"> vil EU fortsat støtte </w:t>
      </w:r>
      <w:r>
        <w:rPr>
          <w:rFonts w:ascii="Times New Roman" w:hAnsi="Times New Roman"/>
          <w:b/>
          <w:bCs/>
          <w:noProof/>
          <w:sz w:val="24"/>
          <w:szCs w:val="24"/>
        </w:rPr>
        <w:t>regionens grønne dagsorden og energiuafhængighed og fremme reformer</w:t>
      </w:r>
      <w:r>
        <w:rPr>
          <w:rFonts w:ascii="Times New Roman" w:hAnsi="Times New Roman"/>
          <w:noProof/>
          <w:sz w:val="24"/>
          <w:szCs w:val="24"/>
        </w:rPr>
        <w:t xml:space="preserve">, som bringer regionen videre på dens vej mod EU. Energifællesskabet arbejder med støtte fra Europa-Kommissionen på at fastsætte energi- og klimamålene for 2030. Dette vil sende de rette investeringssignaler og sikre politisk tilsagn om udfasning af kul og energiomstilling generelt. Gennemførelsen af de centrale retsakter, som Energifællesskabet vedtog i november 2021, vil muliggøre en bedre integration af vedvarende energikilder, lagring og efterspørgselsreaktion. </w:t>
      </w:r>
    </w:p>
    <w:p w14:paraId="3E6964B3" w14:textId="3F33C782" w:rsidR="00CC199B" w:rsidRPr="00EE4C6B" w:rsidRDefault="007D7A5C" w:rsidP="00664D60">
      <w:pPr>
        <w:spacing w:after="240"/>
        <w:jc w:val="both"/>
        <w:rPr>
          <w:rFonts w:ascii="Times New Roman" w:hAnsi="Times New Roman" w:cs="Times New Roman"/>
          <w:noProof/>
          <w:sz w:val="24"/>
          <w:szCs w:val="24"/>
        </w:rPr>
      </w:pPr>
      <w:r>
        <w:rPr>
          <w:rFonts w:ascii="Times New Roman" w:hAnsi="Times New Roman"/>
          <w:noProof/>
          <w:sz w:val="24"/>
          <w:szCs w:val="24"/>
        </w:rPr>
        <w:t xml:space="preserve">EU vil foreslå, at </w:t>
      </w:r>
      <w:r>
        <w:rPr>
          <w:rFonts w:ascii="Times New Roman" w:hAnsi="Times New Roman"/>
          <w:b/>
          <w:bCs/>
          <w:noProof/>
          <w:sz w:val="24"/>
          <w:szCs w:val="24"/>
        </w:rPr>
        <w:t>Vestbalkan integreres fuldt ud i EU's indre marked for elektricitet</w:t>
      </w:r>
      <w:r>
        <w:rPr>
          <w:rFonts w:ascii="Times New Roman" w:hAnsi="Times New Roman"/>
          <w:noProof/>
          <w:sz w:val="24"/>
          <w:szCs w:val="24"/>
        </w:rPr>
        <w:t xml:space="preserve"> for at muliggøre overgangen til produktion af vedvarende energi og dekarboniseringen af energiforsyningen i Sydøsteuropa. Den gradvise indførelse af CO</w:t>
      </w:r>
      <w:r>
        <w:rPr>
          <w:rFonts w:ascii="Times New Roman" w:hAnsi="Times New Roman"/>
          <w:noProof/>
          <w:sz w:val="24"/>
          <w:szCs w:val="24"/>
          <w:vertAlign w:val="subscript"/>
        </w:rPr>
        <w:t>2</w:t>
      </w:r>
      <w:r>
        <w:rPr>
          <w:rFonts w:ascii="Times New Roman" w:hAnsi="Times New Roman"/>
          <w:noProof/>
          <w:sz w:val="24"/>
          <w:szCs w:val="24"/>
        </w:rPr>
        <w:t xml:space="preserve">-prissætning kan bidrage til større ensretning med EU. </w:t>
      </w:r>
    </w:p>
    <w:bookmarkEnd w:id="10"/>
    <w:p w14:paraId="31665AD7" w14:textId="136D452D" w:rsidR="00B343AD" w:rsidRPr="00B343AD" w:rsidRDefault="00B343AD" w:rsidP="00B343AD">
      <w:pPr>
        <w:spacing w:after="240"/>
        <w:jc w:val="both"/>
        <w:rPr>
          <w:rFonts w:ascii="Times New Roman" w:hAnsi="Times New Roman" w:cs="Times New Roman"/>
          <w:b/>
          <w:bCs/>
          <w:noProof/>
          <w:color w:val="000000"/>
          <w:sz w:val="24"/>
          <w:szCs w:val="24"/>
        </w:rPr>
      </w:pPr>
      <w:r>
        <w:rPr>
          <w:rFonts w:ascii="Times New Roman" w:hAnsi="Times New Roman"/>
          <w:b/>
          <w:bCs/>
          <w:noProof/>
          <w:color w:val="000000"/>
          <w:sz w:val="24"/>
          <w:szCs w:val="24"/>
        </w:rPr>
        <w:t xml:space="preserve">Vigtige tiltag: </w:t>
      </w:r>
    </w:p>
    <w:p w14:paraId="3EB7C18C" w14:textId="3267669B" w:rsidR="00F15352" w:rsidRPr="00B343AD" w:rsidRDefault="00AB4758" w:rsidP="00AA5D14">
      <w:pPr>
        <w:pStyle w:val="ListParagraph"/>
        <w:numPr>
          <w:ilvl w:val="0"/>
          <w:numId w:val="4"/>
        </w:numPr>
        <w:spacing w:after="0"/>
        <w:jc w:val="both"/>
        <w:rPr>
          <w:rFonts w:ascii="Times New Roman" w:hAnsi="Times New Roman" w:cs="Times New Roman"/>
          <w:b/>
          <w:bCs/>
          <w:noProof/>
          <w:sz w:val="24"/>
          <w:szCs w:val="24"/>
        </w:rPr>
      </w:pPr>
      <w:r>
        <w:rPr>
          <w:rFonts w:ascii="Times New Roman" w:hAnsi="Times New Roman"/>
          <w:b/>
          <w:bCs/>
          <w:noProof/>
          <w:sz w:val="24"/>
          <w:szCs w:val="24"/>
        </w:rPr>
        <w:t xml:space="preserve">støtte til reparation og genopbygning af energiinfrastruktur i Ukraine </w:t>
      </w:r>
    </w:p>
    <w:p w14:paraId="2A88F0BA" w14:textId="510AAC39" w:rsidR="00F15352" w:rsidRPr="00B343AD" w:rsidRDefault="00AB4758" w:rsidP="00AA5D14">
      <w:pPr>
        <w:pStyle w:val="ListParagraph"/>
        <w:numPr>
          <w:ilvl w:val="0"/>
          <w:numId w:val="4"/>
        </w:numPr>
        <w:spacing w:after="0"/>
        <w:jc w:val="both"/>
        <w:rPr>
          <w:rFonts w:ascii="Times New Roman" w:hAnsi="Times New Roman" w:cs="Times New Roman"/>
          <w:b/>
          <w:bCs/>
          <w:noProof/>
          <w:sz w:val="24"/>
          <w:szCs w:val="24"/>
        </w:rPr>
      </w:pPr>
      <w:r>
        <w:rPr>
          <w:rFonts w:ascii="Times New Roman" w:hAnsi="Times New Roman"/>
          <w:b/>
          <w:bCs/>
          <w:noProof/>
          <w:sz w:val="24"/>
          <w:szCs w:val="24"/>
        </w:rPr>
        <w:t>øge den grænseoverskridende kapacitet for at muliggøre handel med elektricitet</w:t>
      </w:r>
    </w:p>
    <w:p w14:paraId="6287D361" w14:textId="318A1634" w:rsidR="00F15352" w:rsidRPr="00B343AD" w:rsidRDefault="00A77DFB" w:rsidP="00AA5D14">
      <w:pPr>
        <w:pStyle w:val="ListParagraph"/>
        <w:numPr>
          <w:ilvl w:val="0"/>
          <w:numId w:val="4"/>
        </w:numPr>
        <w:spacing w:after="160"/>
        <w:jc w:val="both"/>
        <w:rPr>
          <w:rFonts w:ascii="Times New Roman" w:hAnsi="Times New Roman" w:cs="Times New Roman"/>
          <w:b/>
          <w:bCs/>
          <w:noProof/>
          <w:sz w:val="24"/>
          <w:szCs w:val="24"/>
        </w:rPr>
      </w:pPr>
      <w:r>
        <w:rPr>
          <w:rFonts w:ascii="Times New Roman" w:hAnsi="Times New Roman"/>
          <w:b/>
          <w:bCs/>
          <w:noProof/>
          <w:sz w:val="24"/>
          <w:szCs w:val="24"/>
        </w:rPr>
        <w:t>fremme tilbagegående strømme af gas til Ukraine via Slovakiet, Ungarn og Polen og til Moldova og Ukraine via Rumænien (Trans-Balkan-rørledningen)</w:t>
      </w:r>
    </w:p>
    <w:p w14:paraId="447B315B" w14:textId="170E2A2D" w:rsidR="004600C1" w:rsidRPr="00ED4CAE" w:rsidRDefault="00A77DFB" w:rsidP="004600C1">
      <w:pPr>
        <w:pStyle w:val="ListParagraph"/>
        <w:numPr>
          <w:ilvl w:val="0"/>
          <w:numId w:val="4"/>
        </w:numPr>
        <w:spacing w:after="160"/>
        <w:jc w:val="both"/>
        <w:rPr>
          <w:rFonts w:ascii="Calibri" w:hAnsi="Calibri" w:cs="Calibri"/>
          <w:noProof/>
          <w:color w:val="1F497D"/>
        </w:rPr>
      </w:pPr>
      <w:r>
        <w:rPr>
          <w:rFonts w:ascii="Times New Roman" w:hAnsi="Times New Roman"/>
          <w:b/>
          <w:bCs/>
          <w:noProof/>
          <w:sz w:val="24"/>
          <w:szCs w:val="24"/>
        </w:rPr>
        <w:t xml:space="preserve">opfordre Ukraine, Moldova, Georgien og landene på Vestbalkan til at deltage i EU's frivillige gasindkøbsordning </w:t>
      </w:r>
    </w:p>
    <w:p w14:paraId="1756B977" w14:textId="064F70AD" w:rsidR="00666566" w:rsidRPr="00ED4CAE" w:rsidRDefault="00A77DFB" w:rsidP="00EE4C6B">
      <w:pPr>
        <w:pStyle w:val="ListParagraph"/>
        <w:numPr>
          <w:ilvl w:val="0"/>
          <w:numId w:val="4"/>
        </w:numPr>
        <w:spacing w:after="160"/>
        <w:jc w:val="both"/>
        <w:rPr>
          <w:rFonts w:ascii="Times New Roman" w:hAnsi="Times New Roman" w:cs="Times New Roman"/>
          <w:b/>
          <w:bCs/>
          <w:noProof/>
          <w:sz w:val="24"/>
          <w:szCs w:val="24"/>
        </w:rPr>
      </w:pPr>
      <w:r>
        <w:rPr>
          <w:rFonts w:ascii="Times New Roman" w:hAnsi="Times New Roman"/>
          <w:b/>
          <w:bCs/>
          <w:noProof/>
          <w:sz w:val="24"/>
          <w:szCs w:val="24"/>
        </w:rPr>
        <w:t xml:space="preserve">fremskynde de indenlandske reformer og energiflagskibsinitiativerne i de økonomiske planer og investeringsplanerne for Vestbalkan og det østlige partnerskab, som er tilpasset den nuværende situation, med henblik på at sætte skub i udbredelsen af vedvarende energi, sikre omstillingen til grøn energi og bidrage til at mindske afhængigheden af russisk gas </w:t>
      </w:r>
    </w:p>
    <w:p w14:paraId="7515B709" w14:textId="5D4C7932" w:rsidR="00584DFE" w:rsidRPr="00584DFE" w:rsidRDefault="00A77DFB" w:rsidP="004733FC">
      <w:pPr>
        <w:pStyle w:val="ListParagraph"/>
        <w:numPr>
          <w:ilvl w:val="0"/>
          <w:numId w:val="4"/>
        </w:numPr>
        <w:spacing w:after="160"/>
        <w:jc w:val="both"/>
        <w:rPr>
          <w:rFonts w:ascii="Times New Roman" w:hAnsi="Times New Roman" w:cs="Times New Roman"/>
          <w:b/>
          <w:bCs/>
          <w:noProof/>
          <w:sz w:val="24"/>
          <w:szCs w:val="24"/>
        </w:rPr>
      </w:pPr>
      <w:r>
        <w:rPr>
          <w:rFonts w:ascii="Times New Roman" w:hAnsi="Times New Roman"/>
          <w:b/>
          <w:bCs/>
          <w:noProof/>
          <w:sz w:val="24"/>
          <w:szCs w:val="24"/>
        </w:rPr>
        <w:t>udnytte Energifællesskabets rammer til at tilskynde til ambitiøse energi- og klimamål og markedsreformer samt til fremme af vedvarende energikilder og energieffektivitet</w:t>
      </w:r>
    </w:p>
    <w:p w14:paraId="5D1BC5EF" w14:textId="2539536E" w:rsidR="005241EE" w:rsidRDefault="00A77DFB" w:rsidP="005241EE">
      <w:pPr>
        <w:pStyle w:val="ListParagraph"/>
        <w:numPr>
          <w:ilvl w:val="0"/>
          <w:numId w:val="4"/>
        </w:numPr>
        <w:spacing w:after="160"/>
        <w:jc w:val="both"/>
        <w:rPr>
          <w:rFonts w:ascii="Times New Roman" w:hAnsi="Times New Roman" w:cs="Times New Roman"/>
          <w:b/>
          <w:bCs/>
          <w:noProof/>
          <w:sz w:val="24"/>
          <w:szCs w:val="24"/>
        </w:rPr>
      </w:pPr>
      <w:r>
        <w:rPr>
          <w:rFonts w:ascii="Times New Roman" w:hAnsi="Times New Roman"/>
          <w:b/>
          <w:bCs/>
          <w:noProof/>
          <w:sz w:val="24"/>
          <w:szCs w:val="24"/>
        </w:rPr>
        <w:t xml:space="preserve">lancere REPowerUkraine-initiativet for at sikre energiforsyningen og genopbygge den ukrainske energisektor efter krigen. </w:t>
      </w:r>
    </w:p>
    <w:p w14:paraId="4E7955F6" w14:textId="7836C47D" w:rsidR="006B0D1C" w:rsidRPr="00C571AB" w:rsidRDefault="00FC6D45" w:rsidP="00B343AD">
      <w:pPr>
        <w:pStyle w:val="Heading1"/>
        <w:numPr>
          <w:ilvl w:val="0"/>
          <w:numId w:val="1"/>
        </w:numPr>
        <w:spacing w:after="240"/>
        <w:rPr>
          <w:rFonts w:ascii="Times New Roman" w:eastAsia="Times New Roman" w:hAnsi="Times New Roman" w:cs="Times New Roman"/>
          <w:b/>
          <w:noProof/>
          <w:color w:val="auto"/>
          <w:sz w:val="24"/>
          <w:szCs w:val="24"/>
        </w:rPr>
      </w:pPr>
      <w:bookmarkStart w:id="11" w:name="_Toc99964845"/>
      <w:bookmarkEnd w:id="8"/>
      <w:bookmarkEnd w:id="9"/>
      <w:r>
        <w:rPr>
          <w:rFonts w:ascii="Times New Roman" w:hAnsi="Times New Roman"/>
          <w:b/>
          <w:noProof/>
          <w:color w:val="auto"/>
          <w:sz w:val="24"/>
          <w:szCs w:val="24"/>
        </w:rPr>
        <w:t>Ledelse og fremskyndelse af den globale grønne og retfærdige energiomstilling</w:t>
      </w:r>
      <w:bookmarkEnd w:id="11"/>
    </w:p>
    <w:p w14:paraId="1FE38C85" w14:textId="77777777" w:rsidR="00AF3BC5" w:rsidRDefault="00705BCF" w:rsidP="007E0EE2">
      <w:pPr>
        <w:jc w:val="both"/>
        <w:rPr>
          <w:rFonts w:ascii="Times New Roman" w:hAnsi="Times New Roman" w:cs="Times New Roman"/>
          <w:noProof/>
          <w:sz w:val="24"/>
          <w:szCs w:val="24"/>
        </w:rPr>
      </w:pPr>
      <w:r>
        <w:rPr>
          <w:rFonts w:ascii="Times New Roman" w:hAnsi="Times New Roman"/>
          <w:noProof/>
          <w:sz w:val="24"/>
          <w:szCs w:val="24"/>
        </w:rPr>
        <w:t xml:space="preserve">Omstillingen til grøn energi er afgørende, hvis det skal lykkes at begrænse den globale opvarmning til 1,5 grader, sætte skub i væksten, skabe muligheder og forbedre levevilkårene i hele verden og afbøde pris- og energisikkerhedsrisici. Hvis man følger 1,5-grader-scenariet, vil det betyde en </w:t>
      </w:r>
      <w:r>
        <w:rPr>
          <w:rFonts w:ascii="Times New Roman" w:hAnsi="Times New Roman"/>
          <w:b/>
          <w:bCs/>
          <w:noProof/>
          <w:sz w:val="24"/>
          <w:szCs w:val="24"/>
        </w:rPr>
        <w:t>vækst i BNP på yderligere 2,3 % frem til 2030</w:t>
      </w:r>
      <w:r>
        <w:rPr>
          <w:rFonts w:ascii="Times New Roman" w:hAnsi="Times New Roman"/>
          <w:noProof/>
          <w:sz w:val="24"/>
          <w:szCs w:val="24"/>
        </w:rPr>
        <w:t xml:space="preserve"> sammenlignet med business as usual og </w:t>
      </w:r>
      <w:r>
        <w:rPr>
          <w:rFonts w:ascii="Times New Roman" w:hAnsi="Times New Roman"/>
          <w:b/>
          <w:bCs/>
          <w:noProof/>
          <w:sz w:val="24"/>
          <w:szCs w:val="24"/>
        </w:rPr>
        <w:t>85 millioner nye job med tilknytning til energiomstillingen</w:t>
      </w:r>
      <w:r>
        <w:rPr>
          <w:rStyle w:val="FootnoteReference"/>
          <w:rFonts w:ascii="Times New Roman" w:hAnsi="Times New Roman" w:cs="Times New Roman"/>
          <w:b/>
          <w:bCs/>
          <w:noProof/>
          <w:sz w:val="24"/>
          <w:szCs w:val="24"/>
        </w:rPr>
        <w:footnoteReference w:id="16"/>
      </w:r>
      <w:r>
        <w:rPr>
          <w:rFonts w:ascii="Times New Roman" w:hAnsi="Times New Roman"/>
          <w:b/>
          <w:bCs/>
          <w:noProof/>
          <w:sz w:val="24"/>
          <w:szCs w:val="24"/>
        </w:rPr>
        <w:t xml:space="preserve">. </w:t>
      </w:r>
    </w:p>
    <w:p w14:paraId="77928F19" w14:textId="51C8637E" w:rsidR="007E0EE2" w:rsidRPr="00562B81" w:rsidRDefault="007E0EE2" w:rsidP="007E0EE2">
      <w:pPr>
        <w:jc w:val="both"/>
        <w:rPr>
          <w:rFonts w:ascii="Times New Roman" w:hAnsi="Times New Roman" w:cs="Times New Roman"/>
          <w:noProof/>
          <w:sz w:val="24"/>
          <w:szCs w:val="24"/>
        </w:rPr>
      </w:pPr>
      <w:r>
        <w:rPr>
          <w:rFonts w:ascii="Times New Roman" w:hAnsi="Times New Roman"/>
          <w:noProof/>
          <w:sz w:val="24"/>
          <w:szCs w:val="24"/>
        </w:rPr>
        <w:t xml:space="preserve">EU er fast besluttet på at </w:t>
      </w:r>
      <w:r>
        <w:rPr>
          <w:rFonts w:ascii="Times New Roman" w:hAnsi="Times New Roman"/>
          <w:b/>
          <w:bCs/>
          <w:noProof/>
          <w:sz w:val="24"/>
          <w:szCs w:val="24"/>
        </w:rPr>
        <w:t>lede og fremskynde den globale grønne omstilling</w:t>
      </w:r>
      <w:r>
        <w:rPr>
          <w:rFonts w:ascii="Times New Roman" w:hAnsi="Times New Roman"/>
          <w:noProof/>
          <w:sz w:val="24"/>
          <w:szCs w:val="24"/>
        </w:rPr>
        <w:t xml:space="preserve"> og støtte sine internationale partnere i processen. Dette omfatter samarbejde om vedvarende energi, energieffektivitet og besparelser og om den cirkulære økonomi, grøn vækst, beskyttelse af naturressourcer, kritiske råstoffer, rene teknologier og fremtidssikret infrastruktur. </w:t>
      </w:r>
    </w:p>
    <w:p w14:paraId="4C88A88B" w14:textId="3F279C16" w:rsidR="00393CC7" w:rsidRDefault="007E0EE2" w:rsidP="004D771A">
      <w:pPr>
        <w:jc w:val="both"/>
        <w:rPr>
          <w:rFonts w:ascii="Times New Roman" w:hAnsi="Times New Roman" w:cs="Times New Roman"/>
          <w:noProof/>
          <w:sz w:val="24"/>
          <w:szCs w:val="24"/>
        </w:rPr>
      </w:pPr>
      <w:r>
        <w:rPr>
          <w:rFonts w:ascii="Times New Roman" w:hAnsi="Times New Roman"/>
          <w:noProof/>
          <w:sz w:val="24"/>
          <w:szCs w:val="24"/>
        </w:rPr>
        <w:t xml:space="preserve">Kommissionen og EU's højtstående repræsentant har lanceret </w:t>
      </w:r>
      <w:r>
        <w:rPr>
          <w:rFonts w:ascii="Times New Roman" w:hAnsi="Times New Roman"/>
          <w:b/>
          <w:noProof/>
          <w:sz w:val="24"/>
          <w:szCs w:val="24"/>
        </w:rPr>
        <w:t>Global Gateway</w:t>
      </w:r>
      <w:r>
        <w:rPr>
          <w:rFonts w:ascii="Times New Roman" w:hAnsi="Times New Roman"/>
          <w:noProof/>
          <w:sz w:val="24"/>
          <w:szCs w:val="24"/>
        </w:rPr>
        <w:t xml:space="preserve">, en ny europæisk strategi til fremme at intelligente, rene og sikre forbindelser i den digitale sektor og i energi- og transportsektoren og til styrkelse af sundheds-, uddannelses- og forskningssystemerne i hele verden i overensstemmelse med FN's 2030-dagsorden og Parisaftalen. Global Gateway — som i høj grad vil sætte skub i omstillingen til grøn energi — vil blive gennemført ved hjælp af en </w:t>
      </w:r>
      <w:r>
        <w:rPr>
          <w:rFonts w:ascii="Times New Roman" w:hAnsi="Times New Roman"/>
          <w:b/>
          <w:noProof/>
          <w:sz w:val="24"/>
          <w:szCs w:val="24"/>
        </w:rPr>
        <w:t>Team Europe</w:t>
      </w:r>
      <w:r>
        <w:rPr>
          <w:rFonts w:ascii="Times New Roman" w:hAnsi="Times New Roman"/>
          <w:noProof/>
          <w:sz w:val="24"/>
          <w:szCs w:val="24"/>
        </w:rPr>
        <w:t>-tilgang, hvor EU og medlemsstaterne samles med deres finansielle institutioner og udviklingsinstitutioner, herunder EIB og EBRD, med henblik på at mobilisere investeringer på op til 300 mia. EUR i perioden 2021-2027.</w:t>
      </w:r>
    </w:p>
    <w:p w14:paraId="6A4ACC23" w14:textId="6D9BD114" w:rsidR="00C05765" w:rsidRDefault="00C05765" w:rsidP="0066231E">
      <w:pPr>
        <w:jc w:val="both"/>
        <w:rPr>
          <w:rFonts w:ascii="Times New Roman" w:hAnsi="Times New Roman" w:cs="Times New Roman"/>
          <w:noProof/>
          <w:sz w:val="24"/>
          <w:szCs w:val="24"/>
        </w:rPr>
      </w:pPr>
      <w:r>
        <w:rPr>
          <w:rFonts w:ascii="Times New Roman" w:hAnsi="Times New Roman"/>
          <w:noProof/>
          <w:sz w:val="24"/>
          <w:szCs w:val="24"/>
        </w:rPr>
        <w:t>EU støtter den globale grønne omstilling gennem klimafinansiering. 30 % af EU's udviklingsbistand anvendes til at bekæmpe klimaændringer, herunder i energisektoren. EU er formentlig den største bidragyder til de mest udviklede landes tilsagn om hvert år at yde 100 mia. USD til klimafinansiering og vil fortsat arbejde for at få andre partnere til at følge trop.</w:t>
      </w:r>
    </w:p>
    <w:p w14:paraId="31B6BD14" w14:textId="3F63B77D" w:rsidR="002F3B4B" w:rsidRPr="0012081A" w:rsidRDefault="00AD552B" w:rsidP="00527911">
      <w:pPr>
        <w:spacing w:after="240"/>
        <w:jc w:val="both"/>
        <w:rPr>
          <w:rFonts w:ascii="Times New Roman" w:hAnsi="Times New Roman" w:cs="Times New Roman"/>
          <w:noProof/>
          <w:sz w:val="24"/>
          <w:szCs w:val="24"/>
        </w:rPr>
      </w:pPr>
      <w:r>
        <w:rPr>
          <w:rFonts w:ascii="Times New Roman" w:hAnsi="Times New Roman"/>
          <w:b/>
          <w:bCs/>
          <w:noProof/>
          <w:sz w:val="24"/>
          <w:szCs w:val="24"/>
        </w:rPr>
        <w:t>Hvis den grønne omstilling skal lykkes, skal den fair og socialt retfærdig</w:t>
      </w:r>
      <w:r>
        <w:rPr>
          <w:rFonts w:ascii="Times New Roman" w:hAnsi="Times New Roman"/>
          <w:noProof/>
          <w:sz w:val="24"/>
          <w:szCs w:val="24"/>
        </w:rPr>
        <w:t xml:space="preserve">. Navnlig i en situation med langsom genopretning, økonomisk turbulens og de globale konsekvenser af den russiske aggression mod Ukraine skal der ved omstillingen tages hensyn til de sociale aspekter af omlægningen af energisystemerne. Dette er en prioritet for EU og en integreret del af EU's eksterne energipolitik. Det betyder på den ene side, at de sociale og økonomiske virkninger af udfasningen af fossile brændstoffer (navnlig kul) skal begrænses, og på den anden side, at der skal skabes nye muligheder via grønne teknologier (kapitel 4.1), samtidig med at der skal tages fat på spørgsmål som adgang til energi, subsidier til fossile brændstoffer, kompetenceudvikling og fordelingsmæssige virkninger af omstillingen. </w:t>
      </w:r>
    </w:p>
    <w:p w14:paraId="4A808746" w14:textId="77777777" w:rsidR="008A6570" w:rsidRPr="00527911" w:rsidRDefault="008A6570" w:rsidP="00527911">
      <w:pPr>
        <w:spacing w:after="240"/>
        <w:jc w:val="both"/>
        <w:rPr>
          <w:rFonts w:ascii="Times New Roman" w:hAnsi="Times New Roman" w:cs="Times New Roman"/>
          <w:noProof/>
          <w:color w:val="000000"/>
          <w:sz w:val="24"/>
          <w:szCs w:val="24"/>
        </w:rPr>
      </w:pPr>
      <w:r>
        <w:rPr>
          <w:rFonts w:ascii="Times New Roman" w:hAnsi="Times New Roman"/>
          <w:noProof/>
          <w:sz w:val="24"/>
          <w:szCs w:val="24"/>
        </w:rPr>
        <w:t xml:space="preserve">Selv om kul ikke er det eneste fossile brændstof, er det det mest forurenende og tegner sig for 40 % af verdens drivhusgasemissioner. Det er derfor kernen i EU's indsats for en retfærdig omstilling, der især fokuserer på de største kulforbrugende lande. </w:t>
      </w:r>
    </w:p>
    <w:p w14:paraId="3FD26E8F" w14:textId="222104AB" w:rsidR="008A6570" w:rsidRDefault="008A6570" w:rsidP="00A02CC1">
      <w:pPr>
        <w:spacing w:after="240"/>
        <w:jc w:val="both"/>
        <w:rPr>
          <w:rFonts w:ascii="Times New Roman" w:hAnsi="Times New Roman" w:cs="Times New Roman"/>
          <w:noProof/>
          <w:sz w:val="24"/>
          <w:szCs w:val="24"/>
        </w:rPr>
      </w:pPr>
      <w:r>
        <w:rPr>
          <w:rFonts w:ascii="Times New Roman" w:hAnsi="Times New Roman"/>
          <w:noProof/>
          <w:sz w:val="24"/>
          <w:szCs w:val="24"/>
        </w:rPr>
        <w:t>Som opfølgning på COP26 gennemfører EU sammen med medlemsstaterne Frankrig og Tyskland samt de internationale partnere USA og Det Forenede Kongerige et</w:t>
      </w:r>
      <w:r>
        <w:rPr>
          <w:rFonts w:ascii="Times New Roman" w:hAnsi="Times New Roman"/>
          <w:b/>
          <w:noProof/>
          <w:sz w:val="24"/>
          <w:szCs w:val="24"/>
        </w:rPr>
        <w:t xml:space="preserve"> partnerskab med Sydafrika om en retfærdig energiomstilling</w:t>
      </w:r>
      <w:r>
        <w:rPr>
          <w:rFonts w:ascii="Times New Roman" w:hAnsi="Times New Roman"/>
          <w:noProof/>
          <w:sz w:val="24"/>
          <w:szCs w:val="24"/>
        </w:rPr>
        <w:t xml:space="preserve"> med et budget på 8,5 mia. USD, som har til formål at fremskynde dekarboniseringen af økonomien med vægt på udfasning af kul og minimering af landets sociale tilpasningsomkostninger. EU undersøger muligheden for at indgå partnerskaber om retfærdig omstilling med andre partnere som Vietnam, Indonesien og Indien.</w:t>
      </w:r>
    </w:p>
    <w:p w14:paraId="06E82D88" w14:textId="26DFD317" w:rsidR="008A6570" w:rsidRPr="004E49C5" w:rsidRDefault="008A6570" w:rsidP="008A6570">
      <w:pPr>
        <w:spacing w:after="240"/>
        <w:jc w:val="both"/>
        <w:rPr>
          <w:rFonts w:ascii="Times New Roman" w:hAnsi="Times New Roman" w:cs="Times New Roman"/>
          <w:noProof/>
          <w:sz w:val="24"/>
          <w:szCs w:val="24"/>
        </w:rPr>
      </w:pPr>
      <w:r>
        <w:rPr>
          <w:rFonts w:ascii="Times New Roman" w:hAnsi="Times New Roman"/>
          <w:noProof/>
          <w:sz w:val="24"/>
          <w:szCs w:val="24"/>
        </w:rPr>
        <w:t xml:space="preserve">I overensstemmelse med Kinas erklærede ambitioner om at reducere landets afhængighed af kul og gøre fremskridt hen imod målet om at blive kulstofneutral inden 2060 fokuserer platformen for energisamarbejde mellem EU og Kina og den årlige energidialog på højt plan mellem EU og Kina på kulstofmarkeder, energisystemer, vedvarende energi, energieffektivitet og erhvervssamarbejde. EU har også etableret arbejdsmarkeds- og socialpolitiske dialoger med Indien, Kina og de sydlige nabolande inden for rammerne af Middelhavsunionens sektorpolitiske dialog om beskæftigelse og arbejdskraft. </w:t>
      </w:r>
      <w:r>
        <w:rPr>
          <w:rFonts w:ascii="Times New Roman" w:hAnsi="Times New Roman"/>
          <w:noProof/>
          <w:color w:val="000000"/>
          <w:sz w:val="24"/>
          <w:szCs w:val="24"/>
        </w:rPr>
        <w:t>EU yder også støtte til udfasningen af kul i det vestlige Balkan og Ukraine via initiativet for kulregioner under omstilling.</w:t>
      </w:r>
    </w:p>
    <w:p w14:paraId="0EE550FB" w14:textId="186E7909" w:rsidR="00CC199B" w:rsidRPr="003C49E5" w:rsidRDefault="008A6570" w:rsidP="00F156DE">
      <w:pPr>
        <w:rPr>
          <w:rFonts w:ascii="Times New Roman" w:hAnsi="Times New Roman" w:cs="Times New Roman"/>
          <w:b/>
          <w:bCs/>
          <w:noProof/>
          <w:sz w:val="24"/>
          <w:szCs w:val="24"/>
        </w:rPr>
      </w:pPr>
      <w:r>
        <w:rPr>
          <w:rFonts w:ascii="Times New Roman" w:hAnsi="Times New Roman"/>
          <w:b/>
          <w:bCs/>
          <w:noProof/>
          <w:sz w:val="24"/>
          <w:szCs w:val="24"/>
        </w:rPr>
        <w:t>Vigtige tiltag:</w:t>
      </w:r>
    </w:p>
    <w:p w14:paraId="0642AA37" w14:textId="3E0140D5" w:rsidR="000A4291" w:rsidRDefault="000A4291" w:rsidP="000A4291">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fremskynde den globale omstilling til grøn energi ved at fremme bæredygtige investeringer og konnektivitet gennem Global Gateway</w:t>
      </w:r>
    </w:p>
    <w:p w14:paraId="49D17034" w14:textId="40AA18F7" w:rsidR="00F2457F" w:rsidRPr="003C49E5" w:rsidRDefault="00205C0B" w:rsidP="005655C1">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samarbejde om retfærdig omstilling og udfasning af kul med EU's partnerlande, herunder i EU's nabolande</w:t>
      </w:r>
    </w:p>
    <w:p w14:paraId="07047FB7" w14:textId="1845E0C3" w:rsidR="00C05765" w:rsidRPr="00705BCF" w:rsidRDefault="00205C0B" w:rsidP="00205C0B">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arbejde på at sikre opfyldelsen af det globale tilsagn om 100 mia. EUR årligt til klimafinansiering og anvende EU's bidrag til at støtte den grønne, retfærdige omstilling</w:t>
      </w:r>
    </w:p>
    <w:p w14:paraId="02CA448D" w14:textId="14BC2422" w:rsidR="00F2457F" w:rsidRDefault="00205C0B" w:rsidP="00F2457F">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gennemføre det fælles partnerskab om energiomstilling med Sydafrika og undersøge mulighederne for at etablere andre globale partnerskaber efter denne model</w:t>
      </w:r>
    </w:p>
    <w:p w14:paraId="24B4778B" w14:textId="2082F912" w:rsidR="00113F12" w:rsidRPr="00F2457F" w:rsidRDefault="00205C0B" w:rsidP="00F2457F">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gennemføre initiativet for kulregioner under omstilling i Ukraine og det vestlige Balkan</w:t>
      </w:r>
    </w:p>
    <w:p w14:paraId="3A5ACA51" w14:textId="4B92E1AF" w:rsidR="006E58B7" w:rsidRDefault="00205C0B" w:rsidP="00205C0B">
      <w:pPr>
        <w:pStyle w:val="ListParagraph"/>
        <w:numPr>
          <w:ilvl w:val="0"/>
          <w:numId w:val="10"/>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tilpasse og gennemføre globale initiativer for at sætte en stopper for subsidier til fossile brændstoffer og samarbejde med lande, der er meget afhængige af kulfyret kraft, for at opnå dette </w:t>
      </w:r>
    </w:p>
    <w:p w14:paraId="383778F6" w14:textId="6D614AFE" w:rsidR="008A6570" w:rsidRPr="006E58B7" w:rsidRDefault="000B13E1" w:rsidP="007C0283">
      <w:pPr>
        <w:pStyle w:val="ListParagraph"/>
        <w:numPr>
          <w:ilvl w:val="0"/>
          <w:numId w:val="10"/>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samarbejde med IEA, IRENA og ILO for at fremme en retfærdig og inklusiv omstilling i hele verden. </w:t>
      </w:r>
    </w:p>
    <w:p w14:paraId="432842C5" w14:textId="77777777" w:rsidR="0066231E" w:rsidRPr="00C571AB" w:rsidRDefault="00F350E7" w:rsidP="00AA5D14">
      <w:pPr>
        <w:pStyle w:val="Heading1"/>
        <w:numPr>
          <w:ilvl w:val="1"/>
          <w:numId w:val="1"/>
        </w:numPr>
        <w:spacing w:after="240"/>
        <w:jc w:val="both"/>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Fremme af vedvarende teknologier og energieffektivitet i partnerlande</w:t>
      </w:r>
    </w:p>
    <w:p w14:paraId="7A964B64" w14:textId="77777777" w:rsidR="00F350E7" w:rsidRDefault="00642B5B" w:rsidP="00A733FD">
      <w:pPr>
        <w:jc w:val="both"/>
        <w:rPr>
          <w:rFonts w:ascii="Times New Roman" w:hAnsi="Times New Roman" w:cs="Times New Roman"/>
          <w:noProof/>
          <w:sz w:val="24"/>
          <w:szCs w:val="24"/>
        </w:rPr>
      </w:pPr>
      <w:r>
        <w:rPr>
          <w:rFonts w:ascii="Times New Roman" w:hAnsi="Times New Roman"/>
          <w:noProof/>
          <w:sz w:val="24"/>
          <w:szCs w:val="24"/>
        </w:rPr>
        <w:t>Elektricitet baseret på vind- og solenergi er nu den billigste energimulighed i de fleste regioner i verden. Under 1,5-grader-scenariet kan vedvarende energikilder udgøre 90 % af den globale energiproduktion inden 2050. De globale markeder skønnes at have en værdi af 24 bio. EUR for vedvarende energi og 33 bio. EUR for energieffektivitet frem til 2050</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Dette repræsenterer en stor mulighed for verdensøkonomien. </w:t>
      </w:r>
    </w:p>
    <w:p w14:paraId="72D734A2" w14:textId="06E04000" w:rsidR="00003F9A" w:rsidRDefault="00003F9A" w:rsidP="00BB2A59">
      <w:pPr>
        <w:spacing w:after="240"/>
        <w:jc w:val="both"/>
        <w:rPr>
          <w:rFonts w:ascii="Times New Roman" w:hAnsi="Times New Roman" w:cs="Times New Roman"/>
          <w:noProof/>
          <w:sz w:val="24"/>
          <w:szCs w:val="24"/>
        </w:rPr>
      </w:pPr>
      <w:r>
        <w:rPr>
          <w:rFonts w:ascii="Times New Roman" w:hAnsi="Times New Roman"/>
          <w:b/>
          <w:bCs/>
          <w:noProof/>
          <w:sz w:val="24"/>
          <w:szCs w:val="24"/>
        </w:rPr>
        <w:t>Stigningen i vedvarende energi vil ændre dynamikken i det globale energisystem.</w:t>
      </w:r>
      <w:r>
        <w:rPr>
          <w:rFonts w:ascii="Times New Roman" w:hAnsi="Times New Roman"/>
          <w:noProof/>
          <w:sz w:val="24"/>
          <w:szCs w:val="24"/>
        </w:rPr>
        <w:t xml:space="preserve"> Kulbrinteressourcerne var koncentreret i nogle få lande, men alle lande har potentiale til at udvikle vedvarende energikilder og deltage i energihandel. I dag lever omkring 80 % af verdens befolkning i lande, som er nettoenergiimportører. Dette vil uden tvivl ændre sig.</w:t>
      </w:r>
    </w:p>
    <w:p w14:paraId="450B2E0D" w14:textId="3BB4C18F" w:rsidR="00003F9A" w:rsidRDefault="00003F9A" w:rsidP="00F350E7">
      <w:pPr>
        <w:spacing w:after="240"/>
        <w:jc w:val="both"/>
        <w:rPr>
          <w:rFonts w:ascii="Times New Roman" w:hAnsi="Times New Roman" w:cs="Times New Roman"/>
          <w:noProof/>
          <w:sz w:val="24"/>
          <w:szCs w:val="24"/>
        </w:rPr>
      </w:pPr>
      <w:r>
        <w:rPr>
          <w:rFonts w:ascii="Times New Roman" w:hAnsi="Times New Roman"/>
          <w:noProof/>
          <w:sz w:val="24"/>
          <w:szCs w:val="24"/>
        </w:rPr>
        <w:t xml:space="preserve">EU, som tegner sig for 9 % af de globale emissioner, har en </w:t>
      </w:r>
      <w:r>
        <w:rPr>
          <w:rFonts w:ascii="Times New Roman" w:hAnsi="Times New Roman"/>
          <w:b/>
          <w:bCs/>
          <w:noProof/>
          <w:sz w:val="24"/>
          <w:szCs w:val="24"/>
        </w:rPr>
        <w:t>stærk interesse i at fremme udbredelsen af vedvarende energi og forbedre energieffektiviteten i hele verden</w:t>
      </w:r>
      <w:r>
        <w:rPr>
          <w:rFonts w:ascii="Times New Roman" w:hAnsi="Times New Roman"/>
          <w:noProof/>
          <w:sz w:val="24"/>
          <w:szCs w:val="24"/>
        </w:rPr>
        <w:t xml:space="preserve">. For at fremskynde udrulningen af solceller offentliggør Kommissionen </w:t>
      </w:r>
      <w:r>
        <w:rPr>
          <w:rFonts w:ascii="Times New Roman" w:hAnsi="Times New Roman"/>
          <w:b/>
          <w:bCs/>
          <w:noProof/>
          <w:sz w:val="24"/>
          <w:szCs w:val="24"/>
        </w:rPr>
        <w:t>EU's strategi for solenergi</w:t>
      </w:r>
      <w:r>
        <w:rPr>
          <w:rStyle w:val="FootnoteReference"/>
          <w:rFonts w:ascii="Times New Roman" w:hAnsi="Times New Roman" w:cs="Times New Roman"/>
          <w:b/>
          <w:bCs/>
          <w:noProof/>
          <w:sz w:val="24"/>
          <w:szCs w:val="24"/>
        </w:rPr>
        <w:footnoteReference w:id="18"/>
      </w:r>
      <w:r>
        <w:rPr>
          <w:rFonts w:ascii="Times New Roman" w:hAnsi="Times New Roman"/>
          <w:b/>
          <w:bCs/>
          <w:noProof/>
          <w:sz w:val="24"/>
          <w:szCs w:val="24"/>
        </w:rPr>
        <w:t xml:space="preserve"> </w:t>
      </w:r>
      <w:r>
        <w:rPr>
          <w:rFonts w:ascii="Times New Roman" w:hAnsi="Times New Roman"/>
          <w:noProof/>
          <w:sz w:val="24"/>
          <w:szCs w:val="24"/>
        </w:rPr>
        <w:t>sammen med denne strategi.</w:t>
      </w:r>
    </w:p>
    <w:p w14:paraId="58F284A9" w14:textId="5241E36C" w:rsidR="00E84972" w:rsidRDefault="00E84972" w:rsidP="00E84972">
      <w:pPr>
        <w:spacing w:after="240"/>
        <w:jc w:val="both"/>
        <w:rPr>
          <w:rFonts w:ascii="Times New Roman" w:hAnsi="Times New Roman" w:cs="Times New Roman"/>
          <w:noProof/>
          <w:sz w:val="24"/>
          <w:szCs w:val="24"/>
        </w:rPr>
      </w:pPr>
      <w:r>
        <w:rPr>
          <w:rFonts w:ascii="Times New Roman" w:hAnsi="Times New Roman"/>
          <w:noProof/>
          <w:sz w:val="24"/>
          <w:szCs w:val="24"/>
        </w:rPr>
        <w:t xml:space="preserve">En effektiv udrulning af vedvarende energikilder og øget energieffektivitet kræver en </w:t>
      </w:r>
      <w:r>
        <w:rPr>
          <w:rFonts w:ascii="Times New Roman" w:hAnsi="Times New Roman"/>
          <w:b/>
          <w:bCs/>
          <w:noProof/>
          <w:sz w:val="24"/>
          <w:szCs w:val="24"/>
        </w:rPr>
        <w:t>bredere "systemtilgang"</w:t>
      </w:r>
      <w:r>
        <w:rPr>
          <w:rFonts w:ascii="Times New Roman" w:hAnsi="Times New Roman"/>
          <w:noProof/>
          <w:sz w:val="24"/>
          <w:szCs w:val="24"/>
        </w:rPr>
        <w:t>, der tager hensyn til elproduktion, -transmission og -forbrug som helhed. Installation af kapacitet til vedvarende energi er mest effektiv, når den er integreret i åbne og fleksible regionale markeder. EU var den første til at skabe et stort integreret energimarked, og vores erfaringer kan hjælpe internationale partnere med at fremskynde deres omstilling.</w:t>
      </w:r>
    </w:p>
    <w:p w14:paraId="6AD81C5C" w14:textId="77777777" w:rsidR="00E84972" w:rsidRDefault="00621140" w:rsidP="00E84972">
      <w:pPr>
        <w:spacing w:after="240"/>
        <w:jc w:val="both"/>
        <w:rPr>
          <w:rFonts w:ascii="Times New Roman" w:hAnsi="Times New Roman" w:cs="Times New Roman"/>
          <w:noProof/>
          <w:sz w:val="24"/>
          <w:szCs w:val="24"/>
        </w:rPr>
      </w:pPr>
      <w:r>
        <w:rPr>
          <w:rFonts w:ascii="Times New Roman" w:hAnsi="Times New Roman"/>
          <w:noProof/>
          <w:sz w:val="24"/>
          <w:szCs w:val="24"/>
        </w:rPr>
        <w:t xml:space="preserve">Mange lande i det vestlige Balkan, det østlige partnerskab og de sydlige nabolande øger gradvist anvendelsen af vedvarende energi i deres region. Lande som Indien og Marokko har allerede sat sig ambitiøse mål for udbredelsen af vedvarende energi, som gennemføres og yderligere styrkes under partnerskabet om ren energi og klima mellem EU og Indien og det grønne partnerskab mellem EU og Marokko. Lignende tiltag gennemføres under EU's partnerskab med Kina (herunder om emissionshandelssystemer baseret på EU's system). </w:t>
      </w:r>
    </w:p>
    <w:p w14:paraId="7FC4F4DF" w14:textId="77777777" w:rsidR="0007456F" w:rsidRDefault="00AE4B4D" w:rsidP="00B3704A">
      <w:pPr>
        <w:spacing w:after="240"/>
        <w:jc w:val="both"/>
        <w:rPr>
          <w:rFonts w:ascii="Times New Roman" w:hAnsi="Times New Roman" w:cs="Times New Roman"/>
          <w:noProof/>
          <w:sz w:val="24"/>
          <w:szCs w:val="24"/>
        </w:rPr>
      </w:pPr>
      <w:r>
        <w:rPr>
          <w:rFonts w:ascii="Times New Roman" w:hAnsi="Times New Roman"/>
          <w:noProof/>
          <w:sz w:val="24"/>
          <w:szCs w:val="24"/>
        </w:rPr>
        <w:t xml:space="preserve">Et retfærdigt og gensidigt energisamarbejde med Afrika er en vigtig prioritet — både for at sikre adgang til energi for 570 millioner mennesker uden elektricitet i Afrika syd for Sahara og for at støtte investeringer i bæredygtige energisystemer og handel med vedvarende brint, når de lokale behov er dækket. Senest i 2030 sigter </w:t>
      </w:r>
      <w:r>
        <w:rPr>
          <w:rFonts w:ascii="Times New Roman" w:hAnsi="Times New Roman"/>
          <w:b/>
          <w:bCs/>
          <w:noProof/>
          <w:sz w:val="24"/>
          <w:szCs w:val="24"/>
        </w:rPr>
        <w:t>initiativet om grøn energi i Afrika</w:t>
      </w:r>
      <w:r>
        <w:rPr>
          <w:rFonts w:ascii="Times New Roman" w:hAnsi="Times New Roman"/>
          <w:noProof/>
          <w:sz w:val="24"/>
          <w:szCs w:val="24"/>
        </w:rPr>
        <w:t xml:space="preserve"> mod at støtte udbredelsen af mindst 50 GW vedvarende elektricitet, som kan forsyne mindst </w:t>
      </w:r>
      <w:r>
        <w:rPr>
          <w:rFonts w:ascii="Times New Roman" w:hAnsi="Times New Roman"/>
          <w:b/>
          <w:bCs/>
          <w:noProof/>
          <w:sz w:val="24"/>
          <w:szCs w:val="24"/>
        </w:rPr>
        <w:t>100 millioner mennesker</w:t>
      </w:r>
      <w:r>
        <w:rPr>
          <w:rFonts w:ascii="Times New Roman" w:hAnsi="Times New Roman"/>
          <w:noProof/>
          <w:sz w:val="24"/>
          <w:szCs w:val="24"/>
        </w:rPr>
        <w:t xml:space="preserve"> med elektricitet. For at nå dette skal mobilisere investeringer fra den private sektor. </w:t>
      </w:r>
    </w:p>
    <w:p w14:paraId="41F30E2A" w14:textId="5D3E13D0" w:rsidR="00B3704A" w:rsidRPr="00985092" w:rsidRDefault="00B3704A" w:rsidP="002F7BCF">
      <w:pPr>
        <w:spacing w:after="240"/>
        <w:jc w:val="both"/>
        <w:rPr>
          <w:rFonts w:ascii="Times New Roman" w:hAnsi="Times New Roman" w:cs="Times New Roman"/>
          <w:noProof/>
          <w:sz w:val="24"/>
          <w:szCs w:val="24"/>
        </w:rPr>
      </w:pPr>
      <w:r>
        <w:rPr>
          <w:rFonts w:ascii="Times New Roman" w:hAnsi="Times New Roman"/>
          <w:b/>
          <w:bCs/>
          <w:noProof/>
          <w:sz w:val="24"/>
          <w:szCs w:val="24"/>
        </w:rPr>
        <w:t>Under Global Gateway-initiativet vil EU mobilisere 2,4 mia. EUR i tilskud til Afrika syd for Sahara og 1,08 mia. EUR til Nordafrika</w:t>
      </w:r>
      <w:r>
        <w:rPr>
          <w:rFonts w:ascii="Times New Roman" w:hAnsi="Times New Roman"/>
          <w:noProof/>
          <w:sz w:val="24"/>
          <w:szCs w:val="24"/>
        </w:rPr>
        <w:t xml:space="preserve"> til støtte for vedvarende energi, energieffektivitet, retfærdig omstilling og grønnere lokale værdikæder. Dette vil også støtte Den Afrikanske Unions grønne genopretningsplan, som har til formål at øge produktionskapaciteten for vedvarende energi med mindst 300 GW senest i 2030.</w:t>
      </w:r>
    </w:p>
    <w:p w14:paraId="2473448A" w14:textId="1A973672" w:rsidR="00B71AA2" w:rsidRDefault="00003F9A" w:rsidP="00B71AA2">
      <w:pPr>
        <w:spacing w:after="240"/>
        <w:jc w:val="both"/>
        <w:rPr>
          <w:rFonts w:ascii="Times New Roman" w:hAnsi="Times New Roman" w:cs="Times New Roman"/>
          <w:noProof/>
          <w:color w:val="000000"/>
          <w:sz w:val="24"/>
          <w:szCs w:val="24"/>
        </w:rPr>
      </w:pPr>
      <w:r>
        <w:rPr>
          <w:rFonts w:ascii="Times New Roman" w:hAnsi="Times New Roman"/>
          <w:noProof/>
          <w:sz w:val="24"/>
          <w:szCs w:val="24"/>
        </w:rPr>
        <w:t>Fremskyndelsen af udbredelsen af vedvarende energi på verdensplan giver også</w:t>
      </w:r>
      <w:r>
        <w:rPr>
          <w:rFonts w:ascii="Times New Roman" w:hAnsi="Times New Roman"/>
          <w:b/>
          <w:bCs/>
          <w:noProof/>
          <w:sz w:val="24"/>
          <w:szCs w:val="24"/>
        </w:rPr>
        <w:t xml:space="preserve"> mulighed for at styrke handelsforbindelserne</w:t>
      </w:r>
      <w:r>
        <w:rPr>
          <w:rFonts w:ascii="Times New Roman" w:hAnsi="Times New Roman"/>
          <w:noProof/>
          <w:sz w:val="24"/>
          <w:szCs w:val="24"/>
        </w:rPr>
        <w:t>. For at udvikle deres potentiale for indenlandske vedvarende energikilder har de fleste lande i verden brug for adgang til innovative teknologier, viden og kapital, og EU's grønne teknologiindustri er godt placeret til at være en partner i disse bestræbelser. Halvdelen af verdens vindkraft kommer fra vindmøller, der fremstilles i Europa. EU's virksomheder er førende inden for vigtige segmenter af solcelle-, brint- og varmepumpeindustrien og er ved at indhente Asien om batteriteknologier takket være den europæiske batterialliance.</w:t>
      </w:r>
    </w:p>
    <w:p w14:paraId="75192F75" w14:textId="318AEF8D" w:rsidR="00003F9A" w:rsidRDefault="00F350E7" w:rsidP="00B71AA2">
      <w:pPr>
        <w:spacing w:after="240"/>
        <w:jc w:val="both"/>
        <w:rPr>
          <w:rFonts w:ascii="Times New Roman" w:hAnsi="Times New Roman" w:cs="Times New Roman"/>
          <w:noProof/>
          <w:sz w:val="24"/>
          <w:szCs w:val="24"/>
        </w:rPr>
      </w:pPr>
      <w:r>
        <w:rPr>
          <w:rFonts w:ascii="Times New Roman" w:hAnsi="Times New Roman"/>
          <w:noProof/>
          <w:sz w:val="24"/>
          <w:szCs w:val="24"/>
        </w:rPr>
        <w:t xml:space="preserve">For at kunne trives og vokse yderligere skal industrien for grøn teknologi kunne regne med stabile </w:t>
      </w:r>
      <w:r>
        <w:rPr>
          <w:rFonts w:ascii="Times New Roman" w:hAnsi="Times New Roman"/>
          <w:b/>
          <w:bCs/>
          <w:noProof/>
          <w:sz w:val="24"/>
          <w:szCs w:val="24"/>
        </w:rPr>
        <w:t>lovgivningsmæssige rammer, fair konkurrence, tilstrækkelige investeringer og lige konkurrencevilkår på skatteområdet</w:t>
      </w:r>
      <w:r>
        <w:rPr>
          <w:rFonts w:ascii="Times New Roman" w:hAnsi="Times New Roman"/>
          <w:noProof/>
          <w:sz w:val="24"/>
          <w:szCs w:val="24"/>
        </w:rPr>
        <w:t xml:space="preserve"> — dette er vigtigt og til fordel for både EU og lokale aktører. Den eksterne energipolitik skal gennemføres hånd i hånd med EU's industri- og handelspolitik, sikre markedsadgang for vores industri og tackle udfordringer gennem frihandelsaftaler og håndhævelsesforanstaltninger.</w:t>
      </w:r>
    </w:p>
    <w:p w14:paraId="623E86B9" w14:textId="77777777" w:rsidR="00003F9A" w:rsidRDefault="00E46615" w:rsidP="00F350E7">
      <w:pPr>
        <w:jc w:val="both"/>
        <w:rPr>
          <w:rFonts w:ascii="Times New Roman" w:hAnsi="Times New Roman" w:cs="Times New Roman"/>
          <w:noProof/>
          <w:sz w:val="24"/>
          <w:szCs w:val="24"/>
        </w:rPr>
      </w:pPr>
      <w:r>
        <w:rPr>
          <w:rFonts w:ascii="Times New Roman" w:hAnsi="Times New Roman"/>
          <w:noProof/>
          <w:color w:val="141414"/>
          <w:sz w:val="24"/>
          <w:szCs w:val="24"/>
        </w:rPr>
        <w:t xml:space="preserve">Udviklingen af </w:t>
      </w:r>
      <w:r>
        <w:rPr>
          <w:rFonts w:ascii="Times New Roman" w:hAnsi="Times New Roman"/>
          <w:b/>
          <w:bCs/>
          <w:noProof/>
          <w:color w:val="141414"/>
          <w:sz w:val="24"/>
          <w:szCs w:val="24"/>
        </w:rPr>
        <w:t>relationer mellem virksomheder</w:t>
      </w:r>
      <w:r>
        <w:rPr>
          <w:rFonts w:ascii="Times New Roman" w:hAnsi="Times New Roman"/>
          <w:noProof/>
          <w:color w:val="141414"/>
          <w:sz w:val="24"/>
          <w:szCs w:val="24"/>
        </w:rPr>
        <w:t xml:space="preserve"> kræver konstant opmærksomhed: De erhvervsnetværksarrangementer, der blev gennemført under EU's og USA's Energiråd, senest om offshorevindkraft, er en model, der skal udbredes. </w:t>
      </w:r>
      <w:r>
        <w:rPr>
          <w:rFonts w:ascii="Times New Roman" w:hAnsi="Times New Roman"/>
          <w:noProof/>
          <w:sz w:val="24"/>
          <w:szCs w:val="24"/>
        </w:rPr>
        <w:t>I hele Asien</w:t>
      </w:r>
      <w:r>
        <w:rPr>
          <w:rFonts w:ascii="Times New Roman" w:hAnsi="Times New Roman"/>
          <w:noProof/>
          <w:color w:val="141414"/>
          <w:sz w:val="24"/>
          <w:szCs w:val="24"/>
        </w:rPr>
        <w:t xml:space="preserve"> (f.eks. i Republikken Korea og Taiwan) skabes der nye forretningsmuligheder for EU's virksomheder inden for grøn teknologi.</w:t>
      </w:r>
      <w:r>
        <w:rPr>
          <w:rFonts w:ascii="Times New Roman" w:hAnsi="Times New Roman"/>
          <w:noProof/>
          <w:sz w:val="24"/>
          <w:szCs w:val="24"/>
        </w:rPr>
        <w:t xml:space="preserve"> </w:t>
      </w:r>
    </w:p>
    <w:p w14:paraId="160D804E" w14:textId="3FB46663" w:rsidR="0009606D" w:rsidRDefault="00E84972" w:rsidP="002F7BCF">
      <w:pPr>
        <w:jc w:val="both"/>
        <w:rPr>
          <w:rFonts w:ascii="Times New Roman" w:hAnsi="Times New Roman" w:cs="Times New Roman"/>
          <w:noProof/>
          <w:sz w:val="24"/>
          <w:szCs w:val="24"/>
        </w:rPr>
      </w:pPr>
      <w:r>
        <w:rPr>
          <w:rFonts w:ascii="Times New Roman" w:hAnsi="Times New Roman"/>
          <w:noProof/>
          <w:sz w:val="24"/>
          <w:szCs w:val="24"/>
        </w:rPr>
        <w:t>Risikoreducerende instrumenter og krediteksportinstrumenter er også afgørende for, at virksomheder kan komme ind på nye markeder. EU's virksomheder inden for ren teknologi konkurrerer i stigende grad med udenlandske virksomheder, der modtager direkte finansiel støtte fra deres regeringer. Kommissionen vil udvikle en</w:t>
      </w:r>
      <w:r>
        <w:rPr>
          <w:rFonts w:ascii="Times New Roman" w:hAnsi="Times New Roman"/>
          <w:b/>
          <w:bCs/>
          <w:noProof/>
          <w:sz w:val="24"/>
          <w:szCs w:val="24"/>
        </w:rPr>
        <w:t xml:space="preserve"> EU-strategi for eksportkreditter</w:t>
      </w:r>
      <w:r>
        <w:rPr>
          <w:rFonts w:ascii="Times New Roman" w:hAnsi="Times New Roman"/>
          <w:noProof/>
          <w:sz w:val="24"/>
          <w:szCs w:val="24"/>
        </w:rPr>
        <w:t xml:space="preserve"> til virksomheder inden for grøn teknologi med henblik på at forbedre konkurrencevilkårene for EU's virksomheder på markeder uden for EU. Kommissionen arbejder også på at få ændret OECD's regler, så der kan skabes yderligere incitamenter til eksportkreditstøtte til klimavenlige teknologier.</w:t>
      </w:r>
    </w:p>
    <w:p w14:paraId="49FB7D79" w14:textId="5193C005" w:rsidR="00B343AD" w:rsidRPr="00B343AD" w:rsidRDefault="00B343AD" w:rsidP="00B343AD">
      <w:pPr>
        <w:jc w:val="both"/>
        <w:rPr>
          <w:rFonts w:ascii="Times New Roman" w:hAnsi="Times New Roman" w:cs="Times New Roman"/>
          <w:b/>
          <w:bCs/>
          <w:noProof/>
          <w:sz w:val="24"/>
          <w:szCs w:val="24"/>
        </w:rPr>
      </w:pPr>
      <w:r>
        <w:rPr>
          <w:rFonts w:ascii="Times New Roman" w:hAnsi="Times New Roman"/>
          <w:b/>
          <w:bCs/>
          <w:noProof/>
          <w:sz w:val="24"/>
          <w:szCs w:val="24"/>
        </w:rPr>
        <w:t xml:space="preserve">Vigtige tiltag: </w:t>
      </w:r>
    </w:p>
    <w:p w14:paraId="50095F40" w14:textId="609B031A" w:rsidR="00E46615" w:rsidRPr="00E46615" w:rsidRDefault="002F7BCF" w:rsidP="00E46615">
      <w:pPr>
        <w:pStyle w:val="ListParagraph"/>
        <w:numPr>
          <w:ilvl w:val="0"/>
          <w:numId w:val="7"/>
        </w:numPr>
        <w:jc w:val="both"/>
        <w:rPr>
          <w:rFonts w:ascii="Times New Roman" w:hAnsi="Times New Roman" w:cs="Times New Roman"/>
          <w:b/>
          <w:bCs/>
          <w:noProof/>
          <w:sz w:val="24"/>
          <w:szCs w:val="24"/>
        </w:rPr>
      </w:pPr>
      <w:r>
        <w:rPr>
          <w:rFonts w:ascii="Times New Roman" w:hAnsi="Times New Roman"/>
          <w:b/>
          <w:bCs/>
          <w:noProof/>
          <w:sz w:val="24"/>
          <w:szCs w:val="24"/>
        </w:rPr>
        <w:t>fremskynde udbredelsen af vedvarende energi og energieffektivitet i hele verden, herunder i det vestlige Balkan, Afrika, Middelhavsområdet og Indo-Stillehavsregionen</w:t>
      </w:r>
    </w:p>
    <w:p w14:paraId="1298015B" w14:textId="07D0D930" w:rsidR="004A7FC4" w:rsidRPr="00740A0B" w:rsidRDefault="002F7BCF" w:rsidP="00E46615">
      <w:pPr>
        <w:pStyle w:val="ListParagraph"/>
        <w:numPr>
          <w:ilvl w:val="0"/>
          <w:numId w:val="7"/>
        </w:numPr>
        <w:jc w:val="both"/>
        <w:rPr>
          <w:rFonts w:ascii="Times New Roman" w:hAnsi="Times New Roman" w:cs="Times New Roman"/>
          <w:b/>
          <w:bCs/>
          <w:noProof/>
          <w:sz w:val="24"/>
          <w:szCs w:val="24"/>
        </w:rPr>
      </w:pPr>
      <w:r>
        <w:rPr>
          <w:rFonts w:ascii="Times New Roman" w:hAnsi="Times New Roman"/>
          <w:b/>
          <w:bCs/>
          <w:noProof/>
          <w:sz w:val="24"/>
          <w:szCs w:val="24"/>
        </w:rPr>
        <w:t>gennemføre det gensidigt fordelagtige grønne energiinitiativ mellem EU og Afrika</w:t>
      </w:r>
    </w:p>
    <w:p w14:paraId="6C78B122" w14:textId="1FCD138B" w:rsidR="006B39EC" w:rsidRPr="008F228B" w:rsidRDefault="002F7BCF" w:rsidP="00E46615">
      <w:pPr>
        <w:pStyle w:val="ListParagraph"/>
        <w:numPr>
          <w:ilvl w:val="0"/>
          <w:numId w:val="22"/>
        </w:numPr>
        <w:spacing w:before="100" w:beforeAutospacing="1" w:after="100" w:afterAutospacing="1" w:line="240" w:lineRule="auto"/>
        <w:jc w:val="both"/>
        <w:rPr>
          <w:rFonts w:ascii="Times New Roman" w:hAnsi="Times New Roman" w:cs="Times New Roman"/>
          <w:b/>
          <w:noProof/>
          <w:sz w:val="24"/>
          <w:szCs w:val="24"/>
        </w:rPr>
      </w:pPr>
      <w:r>
        <w:rPr>
          <w:rFonts w:ascii="Times New Roman" w:hAnsi="Times New Roman"/>
          <w:b/>
          <w:noProof/>
          <w:sz w:val="24"/>
          <w:szCs w:val="24"/>
        </w:rPr>
        <w:t>støtte den grønne omstilling i Centralasien gennem et regionalt Team Europe-initiativ om miljø/energi/vand</w:t>
      </w:r>
    </w:p>
    <w:p w14:paraId="748F6C16" w14:textId="4C4F2E23" w:rsidR="006726EF" w:rsidRDefault="002F7BCF" w:rsidP="00E46615">
      <w:pPr>
        <w:pStyle w:val="ListParagraph"/>
        <w:numPr>
          <w:ilvl w:val="0"/>
          <w:numId w:val="7"/>
        </w:numPr>
        <w:jc w:val="both"/>
        <w:rPr>
          <w:rFonts w:ascii="Times New Roman" w:hAnsi="Times New Roman" w:cs="Times New Roman"/>
          <w:b/>
          <w:bCs/>
          <w:noProof/>
          <w:sz w:val="24"/>
          <w:szCs w:val="24"/>
        </w:rPr>
      </w:pPr>
      <w:r>
        <w:rPr>
          <w:rFonts w:ascii="Times New Roman" w:hAnsi="Times New Roman"/>
          <w:b/>
          <w:bCs/>
          <w:noProof/>
          <w:sz w:val="24"/>
          <w:szCs w:val="24"/>
        </w:rPr>
        <w:t>øge udbredelsen af vedvarende energi i byer og landdistrikter, f.eks. gennem missionen "Urban Transition" under Mission Innovation</w:t>
      </w:r>
    </w:p>
    <w:p w14:paraId="552FC877" w14:textId="52B08062" w:rsidR="00B71AA2" w:rsidRPr="00E46615" w:rsidRDefault="002F7BCF" w:rsidP="00E46615">
      <w:pPr>
        <w:pStyle w:val="ListParagraph"/>
        <w:numPr>
          <w:ilvl w:val="0"/>
          <w:numId w:val="7"/>
        </w:numPr>
        <w:spacing w:after="240"/>
        <w:jc w:val="both"/>
        <w:rPr>
          <w:rFonts w:ascii="Times New Roman" w:hAnsi="Times New Roman" w:cs="Times New Roman"/>
          <w:b/>
          <w:bCs/>
          <w:noProof/>
          <w:sz w:val="24"/>
          <w:szCs w:val="24"/>
        </w:rPr>
      </w:pPr>
      <w:r>
        <w:rPr>
          <w:rFonts w:ascii="Times New Roman" w:hAnsi="Times New Roman"/>
          <w:b/>
          <w:bCs/>
          <w:noProof/>
          <w:sz w:val="24"/>
          <w:szCs w:val="24"/>
        </w:rPr>
        <w:t>fremme rene teknologier inden for rammerne af Handels- og Teknologirådet mellem EU og USA</w:t>
      </w:r>
    </w:p>
    <w:p w14:paraId="252A5400" w14:textId="492F3BB1" w:rsidR="00505331" w:rsidRPr="00527911" w:rsidRDefault="002F7BCF" w:rsidP="00E46615">
      <w:pPr>
        <w:pStyle w:val="ListParagraph"/>
        <w:numPr>
          <w:ilvl w:val="0"/>
          <w:numId w:val="7"/>
        </w:numPr>
        <w:spacing w:after="240"/>
        <w:jc w:val="both"/>
        <w:rPr>
          <w:rFonts w:ascii="Times New Roman" w:hAnsi="Times New Roman" w:cs="Times New Roman"/>
          <w:b/>
          <w:bCs/>
          <w:noProof/>
          <w:sz w:val="24"/>
          <w:szCs w:val="24"/>
        </w:rPr>
      </w:pPr>
      <w:r>
        <w:rPr>
          <w:rFonts w:ascii="Times New Roman" w:hAnsi="Times New Roman"/>
          <w:b/>
          <w:bCs/>
          <w:noProof/>
          <w:sz w:val="24"/>
          <w:szCs w:val="24"/>
        </w:rPr>
        <w:t>udvikle en EU-strategi for eksportkreditter.</w:t>
      </w:r>
    </w:p>
    <w:p w14:paraId="63E54483" w14:textId="6A53E5E0" w:rsidR="00914241" w:rsidRPr="00E46615" w:rsidRDefault="00E61CF2" w:rsidP="00AA5D14">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 xml:space="preserve">Samarbejde om forskning og teknologi </w:t>
      </w:r>
    </w:p>
    <w:p w14:paraId="6D823E7D" w14:textId="182E368D" w:rsidR="00914241" w:rsidRPr="00562B81" w:rsidRDefault="00E61CF2" w:rsidP="00914241">
      <w:pPr>
        <w:jc w:val="both"/>
        <w:rPr>
          <w:rFonts w:ascii="Times New Roman" w:hAnsi="Times New Roman" w:cs="Times New Roman"/>
          <w:noProof/>
          <w:sz w:val="24"/>
          <w:szCs w:val="24"/>
        </w:rPr>
      </w:pPr>
      <w:r>
        <w:rPr>
          <w:rFonts w:ascii="Times New Roman" w:hAnsi="Times New Roman"/>
          <w:noProof/>
          <w:sz w:val="24"/>
          <w:szCs w:val="24"/>
        </w:rPr>
        <w:t xml:space="preserve">Mange af de teknologier, der er nødvendige for at opnå fuld dekarbonisering af den globale økonomi, er endnu ikke modne eller konkurrencedygtige med varme og elektricitet baseret på fossile brændstoffer. Internationalt samarbejde er afgørende for at øge tempoet for innovation og udrulning af grøn energi, samtidig med at omkostningerne herved sænkes, navnlig for </w:t>
      </w:r>
      <w:r>
        <w:rPr>
          <w:rFonts w:ascii="Times New Roman" w:hAnsi="Times New Roman"/>
          <w:b/>
          <w:bCs/>
          <w:noProof/>
          <w:sz w:val="24"/>
          <w:szCs w:val="24"/>
        </w:rPr>
        <w:t>vedvarende energi og brint.</w:t>
      </w:r>
      <w:r>
        <w:rPr>
          <w:rFonts w:ascii="Times New Roman" w:hAnsi="Times New Roman"/>
          <w:noProof/>
          <w:sz w:val="24"/>
          <w:szCs w:val="24"/>
        </w:rPr>
        <w:t xml:space="preserve"> Andre vigtige forskningsområder for en innovationsdrevet omstilling omfatter udvikling af </w:t>
      </w:r>
      <w:r>
        <w:rPr>
          <w:rFonts w:ascii="Times New Roman" w:hAnsi="Times New Roman"/>
          <w:b/>
          <w:bCs/>
          <w:noProof/>
          <w:sz w:val="24"/>
          <w:szCs w:val="24"/>
        </w:rPr>
        <w:t>intelligente, cybersikre og fleksible elnet, langvarig energilagring, bæredygtige råstoffer, små modulære reaktorer og bæredygtige brændstoffer til industri og transport</w:t>
      </w:r>
      <w:r>
        <w:rPr>
          <w:rFonts w:ascii="Times New Roman" w:hAnsi="Times New Roman"/>
          <w:noProof/>
          <w:sz w:val="24"/>
          <w:szCs w:val="24"/>
        </w:rPr>
        <w:t xml:space="preserve">. </w:t>
      </w:r>
    </w:p>
    <w:p w14:paraId="38A426A4" w14:textId="30360A11" w:rsidR="008571D4" w:rsidRDefault="00914241" w:rsidP="00914241">
      <w:pPr>
        <w:spacing w:after="240"/>
        <w:jc w:val="both"/>
        <w:rPr>
          <w:rFonts w:ascii="Times New Roman" w:hAnsi="Times New Roman" w:cs="Times New Roman"/>
          <w:noProof/>
          <w:sz w:val="24"/>
          <w:szCs w:val="24"/>
        </w:rPr>
      </w:pPr>
      <w:r>
        <w:rPr>
          <w:rFonts w:ascii="Times New Roman" w:hAnsi="Times New Roman"/>
          <w:noProof/>
          <w:sz w:val="24"/>
          <w:szCs w:val="24"/>
        </w:rPr>
        <w:t>Da vedvarende energi og brint ikke vil kunne erstatte alle fossile brændstoffer i energimikset, vil der også være behov for kulstofoptag, navnlig i industrisektorer, hvor elektrificering eller brintbaserede løsninger ikke er omkostningseffektive. EU vil samarbejde med sine naboer og andre lande om at bringe innovative løsninger til nulforbrug af energieffektivitet samt teknologier såsom anvendelse og lagring af CO</w:t>
      </w:r>
      <w:r>
        <w:rPr>
          <w:rFonts w:ascii="Times New Roman" w:hAnsi="Times New Roman"/>
          <w:noProof/>
          <w:sz w:val="24"/>
          <w:szCs w:val="24"/>
          <w:vertAlign w:val="subscript"/>
        </w:rPr>
        <w:t>2</w:t>
      </w:r>
      <w:r>
        <w:rPr>
          <w:rFonts w:ascii="Times New Roman" w:hAnsi="Times New Roman"/>
          <w:noProof/>
          <w:sz w:val="24"/>
          <w:szCs w:val="24"/>
        </w:rPr>
        <w:t xml:space="preserve"> på de globale markeder.</w:t>
      </w:r>
    </w:p>
    <w:p w14:paraId="0C6B2458" w14:textId="1BE46F40" w:rsidR="008571D4" w:rsidRDefault="008571D4" w:rsidP="00C0670B">
      <w:pPr>
        <w:spacing w:after="240"/>
        <w:jc w:val="both"/>
        <w:rPr>
          <w:rFonts w:ascii="Times New Roman" w:hAnsi="Times New Roman" w:cs="Times New Roman"/>
          <w:noProof/>
          <w:sz w:val="24"/>
          <w:szCs w:val="24"/>
        </w:rPr>
      </w:pPr>
      <w:r>
        <w:rPr>
          <w:rFonts w:ascii="Times New Roman" w:hAnsi="Times New Roman"/>
          <w:noProof/>
          <w:sz w:val="24"/>
          <w:szCs w:val="24"/>
        </w:rPr>
        <w:t>EU vil fortsat støtte internationalt samarbejde og multilaterale initiativer i overensstemmelse med sin globale tilgang til forskning og innovation</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Kommissionen vil stille midler til rådighed for internationalt samarbejde under Horisont Europa, EU's offentlige finansieringsprogram for forskning og innovation. EU vil også styrke sit engagement i vigtige internationale initiativer, f.eks. Mission Innovation og Clean Energy Ministerial, for i fællesskab at udvikle fremtidens grønne energiløsninger. </w:t>
      </w:r>
    </w:p>
    <w:p w14:paraId="2125C0A4" w14:textId="29400BF0" w:rsidR="00CC199B" w:rsidRPr="003C49E5" w:rsidRDefault="00B343AD" w:rsidP="003C49E5">
      <w:pPr>
        <w:spacing w:after="240"/>
        <w:jc w:val="both"/>
        <w:rPr>
          <w:rFonts w:ascii="Times New Roman" w:hAnsi="Times New Roman" w:cs="Times New Roman"/>
          <w:b/>
          <w:bCs/>
          <w:noProof/>
          <w:sz w:val="24"/>
          <w:szCs w:val="24"/>
        </w:rPr>
      </w:pPr>
      <w:r>
        <w:rPr>
          <w:rFonts w:ascii="Times New Roman" w:hAnsi="Times New Roman"/>
          <w:b/>
          <w:bCs/>
          <w:noProof/>
          <w:sz w:val="24"/>
          <w:szCs w:val="24"/>
        </w:rPr>
        <w:t>Vigtige tiltag:</w:t>
      </w:r>
    </w:p>
    <w:p w14:paraId="0001CC91" w14:textId="1F6BF028" w:rsidR="00AE4B4D" w:rsidRPr="003C49E5" w:rsidRDefault="00C0670B" w:rsidP="003C49E5">
      <w:pPr>
        <w:pStyle w:val="ListParagraph"/>
        <w:numPr>
          <w:ilvl w:val="0"/>
          <w:numId w:val="8"/>
        </w:numPr>
        <w:jc w:val="both"/>
        <w:rPr>
          <w:rFonts w:ascii="Times New Roman" w:hAnsi="Times New Roman" w:cs="Times New Roman"/>
          <w:b/>
          <w:bCs/>
          <w:noProof/>
          <w:sz w:val="24"/>
          <w:szCs w:val="24"/>
        </w:rPr>
      </w:pPr>
      <w:r>
        <w:rPr>
          <w:rFonts w:ascii="Times New Roman" w:hAnsi="Times New Roman"/>
          <w:b/>
          <w:bCs/>
          <w:noProof/>
          <w:sz w:val="24"/>
          <w:szCs w:val="24"/>
        </w:rPr>
        <w:t>udvikle teknikker til kulstofbinding og -lagring til markedsmodenhed, herunder i samarbejde med Norge</w:t>
      </w:r>
    </w:p>
    <w:p w14:paraId="0EF619BF" w14:textId="26B4100D" w:rsidR="008571D4" w:rsidRPr="00C403A4" w:rsidRDefault="00C0670B" w:rsidP="007C0283">
      <w:pPr>
        <w:pStyle w:val="ListParagraph"/>
        <w:numPr>
          <w:ilvl w:val="0"/>
          <w:numId w:val="8"/>
        </w:numPr>
        <w:jc w:val="both"/>
        <w:rPr>
          <w:rFonts w:ascii="Times New Roman" w:hAnsi="Times New Roman" w:cs="Times New Roman"/>
          <w:b/>
          <w:bCs/>
          <w:noProof/>
          <w:sz w:val="24"/>
          <w:szCs w:val="24"/>
        </w:rPr>
      </w:pPr>
      <w:r>
        <w:rPr>
          <w:rFonts w:ascii="Times New Roman" w:hAnsi="Times New Roman"/>
          <w:b/>
          <w:bCs/>
          <w:noProof/>
          <w:sz w:val="24"/>
          <w:szCs w:val="24"/>
        </w:rPr>
        <w:t>fortsætte det langsigtede fælles forsknings- og innovationspartnerskab om vedvarende energi mellem EU og Den Afrikanske Union og udvide dets arbejdsområde til vedvarende brint.</w:t>
      </w:r>
    </w:p>
    <w:p w14:paraId="12465E33" w14:textId="77777777" w:rsidR="00EE359C" w:rsidRDefault="003778D1" w:rsidP="003C49E5">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Sikring af adgang til kritiske råstoffer</w:t>
      </w:r>
    </w:p>
    <w:p w14:paraId="30988BA4" w14:textId="64D88854" w:rsidR="007E0EE2" w:rsidRDefault="007F57C4" w:rsidP="007E0EE2">
      <w:pPr>
        <w:spacing w:after="240"/>
        <w:jc w:val="both"/>
        <w:rPr>
          <w:rFonts w:ascii="Times New Roman" w:hAnsi="Times New Roman" w:cs="Times New Roman"/>
          <w:noProof/>
          <w:sz w:val="24"/>
          <w:szCs w:val="24"/>
        </w:rPr>
      </w:pPr>
      <w:r>
        <w:rPr>
          <w:rFonts w:ascii="Times New Roman" w:hAnsi="Times New Roman"/>
          <w:noProof/>
          <w:sz w:val="24"/>
          <w:szCs w:val="24"/>
        </w:rPr>
        <w:t xml:space="preserve">Selv om EU er fast besluttet på at bringe sin afhængighed af russisk energi til ophør, er det lige så fast besluttet på at </w:t>
      </w:r>
      <w:r>
        <w:rPr>
          <w:rFonts w:ascii="Times New Roman" w:hAnsi="Times New Roman"/>
          <w:b/>
          <w:bCs/>
          <w:noProof/>
          <w:sz w:val="24"/>
          <w:szCs w:val="24"/>
        </w:rPr>
        <w:t>undgå ny afhængighed i fremtiden.</w:t>
      </w:r>
      <w:r>
        <w:rPr>
          <w:rFonts w:ascii="Times New Roman" w:hAnsi="Times New Roman"/>
          <w:noProof/>
          <w:sz w:val="24"/>
          <w:szCs w:val="24"/>
        </w:rPr>
        <w:t xml:space="preserve"> Efterhånden som efterspørgslen efter fossile brændstoffer falder, kan en øget efterspørgsel efter råstoffer, herunder sjældne jordarter og metaller, føre til nye forsyningsudfordringer i løbet af energiomstillingen. Ifølge fremsynsundersøgelsen "Critical Raw Materials in Technologies and Sectors" vil efterspørgslen efter kritiske råstoffer, som skal bruges i sektoren for lavemissionsenergi, og deres omkostninger stige betydeligt frem til 2050. EU er i denne sektor primært afhængigt af sjældne jordarter, lithium, magnesium, niobium, germanium, borater og scandium, hvoraf nogle ikke kan indkøbes på hjemmemarkedet</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w:t>
      </w:r>
    </w:p>
    <w:p w14:paraId="6731E67F" w14:textId="7886EAA1" w:rsidR="007E0EE2" w:rsidRDefault="007E0EE2" w:rsidP="007E0EE2">
      <w:pPr>
        <w:spacing w:after="240"/>
        <w:jc w:val="both"/>
        <w:rPr>
          <w:rFonts w:ascii="Times New Roman" w:hAnsi="Times New Roman" w:cs="Times New Roman"/>
          <w:noProof/>
          <w:sz w:val="24"/>
          <w:szCs w:val="24"/>
        </w:rPr>
      </w:pPr>
      <w:r>
        <w:rPr>
          <w:rFonts w:ascii="Times New Roman" w:hAnsi="Times New Roman"/>
          <w:noProof/>
          <w:sz w:val="24"/>
          <w:szCs w:val="24"/>
        </w:rPr>
        <w:t xml:space="preserve">For at fortsætte med at gøre fremskridt med energiomstillingen vil EU's virksomheder være nødt til at købe disse råstoffer på markeder, der er præget af knaphed, eller på længere sigt erstatte dem med nye industrielle processer. Mulige løsninger til at minimere EU's fremtidige afhængighed på dette strategiske område omfatter yderligere diversificering af de globale forsyningskæder, prioritering af energieffektivitetsforanstaltninger, tilskyndelse til langsigtede investeringer i nye minedrifts- og raffineringsaktiviteter i EU samt intensivering af bestræbelserne på cirkularitet for at sikre, at materialer bevares i økonomien så længe som muligt, og at affald genanvendes. </w:t>
      </w:r>
    </w:p>
    <w:p w14:paraId="25F9205C" w14:textId="0DFE2953" w:rsidR="00005711" w:rsidRDefault="00F17346" w:rsidP="007E0EE2">
      <w:pPr>
        <w:spacing w:after="240"/>
        <w:jc w:val="both"/>
        <w:rPr>
          <w:rFonts w:ascii="Times New Roman" w:hAnsi="Times New Roman" w:cs="Times New Roman"/>
          <w:noProof/>
          <w:sz w:val="24"/>
          <w:szCs w:val="24"/>
        </w:rPr>
      </w:pPr>
      <w:r>
        <w:rPr>
          <w:rFonts w:ascii="Times New Roman" w:hAnsi="Times New Roman"/>
          <w:noProof/>
          <w:sz w:val="24"/>
          <w:szCs w:val="24"/>
        </w:rPr>
        <w:t>Kommissionen vil optrappe arbejdet med forsyningen af kritiske råstoffer og udarbejde et lovgivningsforslag. Dette initiativ har til formål at styrke den europæiske værdikæde ved at identificere mineralressourcer og råvareprojekter af europæisk strategisk interesse og samtidig sikre et højt miljøbeskyttelsesniveau.</w:t>
      </w:r>
      <w:bookmarkStart w:id="12" w:name="_Hlk103328299"/>
      <w:r>
        <w:rPr>
          <w:rStyle w:val="FootnoteReference"/>
          <w:rFonts w:ascii="Times New Roman" w:hAnsi="Times New Roman" w:cs="Times New Roman"/>
          <w:noProof/>
          <w:sz w:val="24"/>
          <w:szCs w:val="24"/>
        </w:rPr>
        <w:footnoteReference w:id="21"/>
      </w:r>
    </w:p>
    <w:p w14:paraId="006480C4" w14:textId="1C23D6EE" w:rsidR="00EE359C" w:rsidRDefault="00EE359C" w:rsidP="007E0EE2">
      <w:pPr>
        <w:spacing w:after="240"/>
        <w:jc w:val="both"/>
        <w:rPr>
          <w:rFonts w:ascii="Times New Roman" w:hAnsi="Times New Roman" w:cs="Times New Roman"/>
          <w:noProof/>
          <w:sz w:val="24"/>
          <w:szCs w:val="24"/>
        </w:rPr>
      </w:pPr>
      <w:r>
        <w:rPr>
          <w:rFonts w:ascii="Times New Roman" w:hAnsi="Times New Roman"/>
          <w:noProof/>
          <w:sz w:val="24"/>
          <w:szCs w:val="24"/>
        </w:rPr>
        <w:t xml:space="preserve">EU har allerede etableret </w:t>
      </w:r>
      <w:r>
        <w:rPr>
          <w:rFonts w:ascii="Times New Roman" w:hAnsi="Times New Roman"/>
          <w:b/>
          <w:noProof/>
          <w:sz w:val="24"/>
          <w:szCs w:val="24"/>
        </w:rPr>
        <w:t>partnerskaber om bæredygtige råstofværdikæder</w:t>
      </w:r>
      <w:r>
        <w:rPr>
          <w:rFonts w:ascii="Times New Roman" w:hAnsi="Times New Roman"/>
          <w:noProof/>
          <w:sz w:val="24"/>
          <w:szCs w:val="24"/>
        </w:rPr>
        <w:t xml:space="preserve"> med Canada og Ukraine. For at diversificere forsyningskæderne yderligere arbejder Kommissionen på at etablere yderligere </w:t>
      </w:r>
      <w:r>
        <w:rPr>
          <w:rFonts w:ascii="Times New Roman" w:hAnsi="Times New Roman"/>
          <w:b/>
          <w:noProof/>
          <w:sz w:val="24"/>
          <w:szCs w:val="24"/>
        </w:rPr>
        <w:t>gensidigt fordelagtige</w:t>
      </w:r>
      <w:r>
        <w:rPr>
          <w:rFonts w:ascii="Times New Roman" w:hAnsi="Times New Roman"/>
          <w:noProof/>
          <w:sz w:val="24"/>
          <w:szCs w:val="24"/>
        </w:rPr>
        <w:t xml:space="preserve"> partnerskaber om bæredygtige råstofværdikæder i </w:t>
      </w:r>
      <w:r>
        <w:rPr>
          <w:rFonts w:ascii="Times New Roman" w:hAnsi="Times New Roman"/>
          <w:b/>
          <w:noProof/>
          <w:sz w:val="24"/>
          <w:szCs w:val="24"/>
        </w:rPr>
        <w:t xml:space="preserve">Afrika (f.eks. Namibia), Latinamerika, Vestbalkan </w:t>
      </w:r>
      <w:r>
        <w:rPr>
          <w:rFonts w:ascii="Times New Roman" w:hAnsi="Times New Roman"/>
          <w:noProof/>
          <w:sz w:val="24"/>
          <w:szCs w:val="24"/>
        </w:rPr>
        <w:t xml:space="preserve">og </w:t>
      </w:r>
      <w:r>
        <w:rPr>
          <w:rFonts w:ascii="Times New Roman" w:hAnsi="Times New Roman"/>
          <w:b/>
          <w:noProof/>
          <w:sz w:val="24"/>
          <w:szCs w:val="24"/>
        </w:rPr>
        <w:t>Australien</w:t>
      </w:r>
      <w:r>
        <w:rPr>
          <w:rFonts w:ascii="Times New Roman" w:hAnsi="Times New Roman"/>
          <w:noProof/>
          <w:sz w:val="24"/>
          <w:szCs w:val="24"/>
        </w:rPr>
        <w:t xml:space="preserve"> via handelsaftaler eller aftalememoranda. </w:t>
      </w:r>
    </w:p>
    <w:bookmarkEnd w:id="12"/>
    <w:p w14:paraId="76CF3921" w14:textId="38D934BC" w:rsidR="00CC199B" w:rsidRDefault="001D22B6" w:rsidP="007E0EE2">
      <w:pPr>
        <w:spacing w:after="240"/>
        <w:jc w:val="both"/>
        <w:rPr>
          <w:rFonts w:ascii="Times New Roman" w:hAnsi="Times New Roman" w:cs="Times New Roman"/>
          <w:noProof/>
          <w:sz w:val="24"/>
          <w:szCs w:val="24"/>
        </w:rPr>
      </w:pPr>
      <w:r>
        <w:rPr>
          <w:rFonts w:ascii="Times New Roman" w:hAnsi="Times New Roman"/>
          <w:noProof/>
          <w:sz w:val="24"/>
          <w:szCs w:val="24"/>
        </w:rPr>
        <w:t>I det mindste på mellemlang sigt vil adgang til veldiversificerede forsyninger fra internationale markeder være afgørende for at sikre modstandsdygtighed. EU's handelspolitik spiller en central rolle i denne henseende ved at sikre åben adgang til forsyninger og ved at undgå markedsforvridninger gennem udvikling og gennemførelse af handelsaftaler. I denne forbindelse spiller kapitlerne om energi og råstoffer i EU's frihandelsaftaler en vigtig rolle.</w:t>
      </w:r>
    </w:p>
    <w:p w14:paraId="367EB1AC" w14:textId="7795AC23" w:rsidR="00B343AD" w:rsidRPr="00B343AD" w:rsidRDefault="00B343AD" w:rsidP="003C49E5">
      <w:pPr>
        <w:spacing w:after="240"/>
        <w:jc w:val="both"/>
        <w:rPr>
          <w:rFonts w:ascii="Times New Roman" w:hAnsi="Times New Roman" w:cs="Times New Roman"/>
          <w:b/>
          <w:bCs/>
          <w:noProof/>
          <w:sz w:val="24"/>
          <w:szCs w:val="24"/>
        </w:rPr>
      </w:pPr>
      <w:r>
        <w:rPr>
          <w:rFonts w:ascii="Times New Roman" w:hAnsi="Times New Roman"/>
          <w:b/>
          <w:bCs/>
          <w:noProof/>
          <w:sz w:val="24"/>
          <w:szCs w:val="24"/>
        </w:rPr>
        <w:t>Vigtige tiltag:</w:t>
      </w:r>
    </w:p>
    <w:p w14:paraId="3572F74A" w14:textId="58556333" w:rsidR="00342F17" w:rsidRPr="00342F17" w:rsidRDefault="00E80417" w:rsidP="00291D43">
      <w:pPr>
        <w:numPr>
          <w:ilvl w:val="0"/>
          <w:numId w:val="9"/>
        </w:numPr>
        <w:contextualSpacing/>
        <w:jc w:val="both"/>
        <w:rPr>
          <w:rFonts w:ascii="Times New Roman" w:hAnsi="Times New Roman" w:cs="Times New Roman"/>
          <w:b/>
          <w:bCs/>
          <w:noProof/>
          <w:sz w:val="24"/>
          <w:szCs w:val="24"/>
        </w:rPr>
      </w:pPr>
      <w:r>
        <w:rPr>
          <w:rFonts w:ascii="Times New Roman" w:hAnsi="Times New Roman"/>
          <w:b/>
          <w:bCs/>
          <w:noProof/>
          <w:sz w:val="24"/>
          <w:szCs w:val="24"/>
        </w:rPr>
        <w:t>etablere gensidigt fordelagtige partnerskaber om råstofværdikæder med andre lande end Ukraine og Canada</w:t>
      </w:r>
    </w:p>
    <w:p w14:paraId="1685A9A0" w14:textId="09C22C4E" w:rsidR="00342F17" w:rsidRPr="00342F17" w:rsidRDefault="00E80417" w:rsidP="00342F17">
      <w:pPr>
        <w:numPr>
          <w:ilvl w:val="0"/>
          <w:numId w:val="9"/>
        </w:numPr>
        <w:contextualSpacing/>
        <w:jc w:val="both"/>
        <w:rPr>
          <w:rFonts w:ascii="Times New Roman" w:hAnsi="Times New Roman" w:cs="Times New Roman"/>
          <w:b/>
          <w:bCs/>
          <w:noProof/>
          <w:sz w:val="24"/>
          <w:szCs w:val="24"/>
        </w:rPr>
      </w:pPr>
      <w:r>
        <w:rPr>
          <w:rFonts w:ascii="Times New Roman" w:hAnsi="Times New Roman"/>
          <w:b/>
          <w:bCs/>
          <w:noProof/>
          <w:sz w:val="24"/>
          <w:szCs w:val="24"/>
        </w:rPr>
        <w:t>styrke samarbejdet om råstofværdikæder med Norge inden for rammerne af den grønne alliance mellem EU og Norge</w:t>
      </w:r>
    </w:p>
    <w:p w14:paraId="20C92D81" w14:textId="64365F59" w:rsidR="00342F17" w:rsidRDefault="00E80417" w:rsidP="00342F17">
      <w:pPr>
        <w:numPr>
          <w:ilvl w:val="0"/>
          <w:numId w:val="9"/>
        </w:numPr>
        <w:contextualSpacing/>
        <w:jc w:val="both"/>
        <w:rPr>
          <w:rFonts w:ascii="Times New Roman" w:hAnsi="Times New Roman" w:cs="Times New Roman"/>
          <w:b/>
          <w:bCs/>
          <w:noProof/>
          <w:sz w:val="24"/>
          <w:szCs w:val="24"/>
        </w:rPr>
      </w:pPr>
      <w:r>
        <w:rPr>
          <w:rFonts w:ascii="Times New Roman" w:hAnsi="Times New Roman"/>
          <w:b/>
          <w:bCs/>
          <w:noProof/>
          <w:sz w:val="24"/>
          <w:szCs w:val="24"/>
        </w:rPr>
        <w:t>styrke anvendelsen af EU's økonomiske og handelspolitiske redskaber for at sikre uhindret adgang til internationale markeder</w:t>
      </w:r>
    </w:p>
    <w:p w14:paraId="60E36130" w14:textId="0BA9E3BA" w:rsidR="00342F17" w:rsidRDefault="00E80417" w:rsidP="00342F17">
      <w:pPr>
        <w:numPr>
          <w:ilvl w:val="0"/>
          <w:numId w:val="9"/>
        </w:numPr>
        <w:contextualSpacing/>
        <w:jc w:val="both"/>
        <w:rPr>
          <w:rFonts w:ascii="Times New Roman" w:hAnsi="Times New Roman" w:cs="Times New Roman"/>
          <w:b/>
          <w:bCs/>
          <w:noProof/>
          <w:sz w:val="24"/>
          <w:szCs w:val="24"/>
        </w:rPr>
      </w:pPr>
      <w:r>
        <w:rPr>
          <w:rFonts w:ascii="Times New Roman" w:hAnsi="Times New Roman"/>
          <w:b/>
          <w:bCs/>
          <w:noProof/>
          <w:sz w:val="24"/>
          <w:szCs w:val="24"/>
        </w:rPr>
        <w:t>fremme global ressourceeffektivitet og cirkularitet, navnlig gennem foranstaltninger vedrørende produktdesign</w:t>
      </w:r>
      <w:r>
        <w:rPr>
          <w:rStyle w:val="FootnoteReference"/>
          <w:rFonts w:ascii="Times New Roman" w:hAnsi="Times New Roman" w:cs="Times New Roman"/>
          <w:b/>
          <w:bCs/>
          <w:noProof/>
          <w:sz w:val="24"/>
          <w:szCs w:val="24"/>
        </w:rPr>
        <w:footnoteReference w:id="22"/>
      </w:r>
    </w:p>
    <w:p w14:paraId="2B83A3B8" w14:textId="434636DC" w:rsidR="00CC199B" w:rsidRPr="003C49E5" w:rsidRDefault="00E80417" w:rsidP="0008780D">
      <w:pPr>
        <w:numPr>
          <w:ilvl w:val="0"/>
          <w:numId w:val="9"/>
        </w:numPr>
        <w:contextualSpacing/>
        <w:jc w:val="both"/>
        <w:rPr>
          <w:rFonts w:ascii="Times New Roman" w:eastAsia="Times New Roman" w:hAnsi="Times New Roman" w:cs="Times New Roman"/>
          <w:b/>
          <w:noProof/>
          <w:sz w:val="24"/>
          <w:szCs w:val="24"/>
        </w:rPr>
      </w:pPr>
      <w:r>
        <w:rPr>
          <w:rFonts w:ascii="Times New Roman" w:hAnsi="Times New Roman"/>
          <w:b/>
          <w:bCs/>
          <w:noProof/>
          <w:sz w:val="24"/>
          <w:szCs w:val="24"/>
        </w:rPr>
        <w:t>samarbejde med internationale organisationer, f.eks. OECD, IEA og IRENA, om forsyningskæder for kritiske råstoffer, der skal anvendes i energiomstillingen.</w:t>
      </w:r>
    </w:p>
    <w:p w14:paraId="3D956167" w14:textId="05C6825B" w:rsidR="00A36BB5" w:rsidRPr="00C571AB" w:rsidRDefault="00F71CE0" w:rsidP="00180972">
      <w:pPr>
        <w:pStyle w:val="Heading1"/>
        <w:numPr>
          <w:ilvl w:val="0"/>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 xml:space="preserve">Etablering af grundlaget for det nye globale energisystem </w:t>
      </w:r>
    </w:p>
    <w:p w14:paraId="26C679E5" w14:textId="77777777" w:rsidR="00F71CE0" w:rsidRPr="008F2D2C" w:rsidRDefault="00F71CE0" w:rsidP="00AA5D14">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Styrkelse af etablerede alliancer og opbygning af nye partnerskaber</w:t>
      </w:r>
    </w:p>
    <w:p w14:paraId="273F18FD" w14:textId="77777777" w:rsidR="00F71CE0" w:rsidRDefault="00A2279F" w:rsidP="00F23281">
      <w:pPr>
        <w:jc w:val="both"/>
        <w:rPr>
          <w:rFonts w:ascii="Times New Roman" w:hAnsi="Times New Roman" w:cs="Times New Roman"/>
          <w:noProof/>
          <w:sz w:val="24"/>
          <w:szCs w:val="24"/>
        </w:rPr>
      </w:pPr>
      <w:r>
        <w:rPr>
          <w:rFonts w:ascii="Times New Roman" w:hAnsi="Times New Roman"/>
          <w:noProof/>
          <w:sz w:val="24"/>
          <w:szCs w:val="24"/>
        </w:rPr>
        <w:t>Det nye globale energisystem betyder ikke blot, at fossile brændstoffer vil blive erstattet af vedvarende energikilder — det vil blive grundlæggende og strukturelt forskelligt fra det nuværende system. Samarbejde og partnerskaber vil være afgørende for, hvordan det fungerer. I indsatsen for at virkeliggøre den globale grønne omstilling vil EU række ud mod, lytte til og arbejde sammen med hele verden.</w:t>
      </w:r>
    </w:p>
    <w:p w14:paraId="3AAE70BC" w14:textId="4E1174BF" w:rsidR="001E6E74" w:rsidRDefault="008E1211" w:rsidP="00F23281">
      <w:pPr>
        <w:jc w:val="both"/>
        <w:rPr>
          <w:rFonts w:ascii="Times New Roman" w:hAnsi="Times New Roman" w:cs="Times New Roman"/>
          <w:noProof/>
          <w:sz w:val="24"/>
          <w:szCs w:val="24"/>
        </w:rPr>
      </w:pPr>
      <w:r>
        <w:rPr>
          <w:noProof/>
          <w:lang w:val="en-GB" w:eastAsia="en-GB"/>
        </w:rPr>
        <w:drawing>
          <wp:inline distT="0" distB="0" distL="0" distR="0" wp14:anchorId="0EB8AA0B" wp14:editId="0DFEDD27">
            <wp:extent cx="5760720" cy="28771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2877185"/>
                    </a:xfrm>
                    <a:prstGeom prst="rect">
                      <a:avLst/>
                    </a:prstGeom>
                  </pic:spPr>
                </pic:pic>
              </a:graphicData>
            </a:graphic>
          </wp:inline>
        </w:drawing>
      </w:r>
    </w:p>
    <w:p w14:paraId="5127B96F" w14:textId="77777777" w:rsidR="001E6E74" w:rsidRPr="00E46615" w:rsidRDefault="001E6E74" w:rsidP="001E6E74">
      <w:pPr>
        <w:jc w:val="both"/>
        <w:rPr>
          <w:rFonts w:ascii="Times New Roman" w:hAnsi="Times New Roman" w:cs="Times New Roman"/>
          <w:noProof/>
          <w:sz w:val="18"/>
          <w:szCs w:val="24"/>
        </w:rPr>
      </w:pPr>
      <w:r>
        <w:rPr>
          <w:rFonts w:ascii="Times New Roman" w:hAnsi="Times New Roman"/>
          <w:noProof/>
          <w:sz w:val="18"/>
          <w:szCs w:val="24"/>
        </w:rPr>
        <w:t>IRENA: Ændringer i værdien af handel med energiprodukter, 2020-2050</w:t>
      </w:r>
    </w:p>
    <w:p w14:paraId="21F0D469" w14:textId="5E96E59F" w:rsidR="007D7A5C" w:rsidRDefault="009F393D" w:rsidP="00136687">
      <w:pPr>
        <w:spacing w:after="240"/>
        <w:jc w:val="both"/>
        <w:rPr>
          <w:rFonts w:ascii="Times New Roman" w:hAnsi="Times New Roman" w:cs="Times New Roman"/>
          <w:noProof/>
          <w:sz w:val="24"/>
          <w:szCs w:val="24"/>
        </w:rPr>
      </w:pPr>
      <w:r>
        <w:rPr>
          <w:rFonts w:ascii="Times New Roman" w:hAnsi="Times New Roman"/>
          <w:b/>
          <w:bCs/>
          <w:noProof/>
          <w:sz w:val="24"/>
          <w:szCs w:val="24"/>
        </w:rPr>
        <w:t>EU vil fortsat arbejde sammen med USA</w:t>
      </w:r>
      <w:r>
        <w:rPr>
          <w:rFonts w:ascii="Times New Roman" w:hAnsi="Times New Roman"/>
          <w:noProof/>
          <w:sz w:val="24"/>
          <w:szCs w:val="24"/>
        </w:rPr>
        <w:t xml:space="preserve">, med hvem prioriteterne på tværs af hele det energipolitiske spektrum er velafstemte. Gennem Energirådet EU-USA og i internationale fora vil EU bestræbe sig på at påvirke de positive forandringer i det globale energilandskab. Energiforbindelserne med </w:t>
      </w:r>
      <w:r>
        <w:rPr>
          <w:rFonts w:ascii="Times New Roman" w:hAnsi="Times New Roman"/>
          <w:b/>
          <w:bCs/>
          <w:noProof/>
          <w:sz w:val="24"/>
          <w:szCs w:val="24"/>
        </w:rPr>
        <w:t>Canada</w:t>
      </w:r>
      <w:r>
        <w:rPr>
          <w:rFonts w:ascii="Times New Roman" w:hAnsi="Times New Roman"/>
          <w:noProof/>
          <w:sz w:val="24"/>
          <w:szCs w:val="24"/>
        </w:rPr>
        <w:t xml:space="preserve"> er blevet væsentligt fremskyndet på grundlag af den eksisterende energidialog på højt plan.</w:t>
      </w:r>
    </w:p>
    <w:p w14:paraId="7C01A8B1" w14:textId="38FEA715" w:rsidR="00136687" w:rsidRPr="00EE4C6B" w:rsidRDefault="00136687" w:rsidP="00136687">
      <w:pPr>
        <w:spacing w:after="240"/>
        <w:jc w:val="both"/>
        <w:rPr>
          <w:rFonts w:ascii="Times New Roman" w:hAnsi="Times New Roman" w:cs="Times New Roman"/>
          <w:noProof/>
          <w:sz w:val="24"/>
          <w:szCs w:val="24"/>
        </w:rPr>
      </w:pPr>
      <w:r>
        <w:rPr>
          <w:rFonts w:ascii="Times New Roman" w:hAnsi="Times New Roman"/>
          <w:noProof/>
          <w:sz w:val="24"/>
          <w:szCs w:val="24"/>
        </w:rPr>
        <w:t xml:space="preserve">Både de </w:t>
      </w:r>
      <w:r>
        <w:rPr>
          <w:rFonts w:ascii="Times New Roman" w:hAnsi="Times New Roman"/>
          <w:b/>
          <w:bCs/>
          <w:noProof/>
          <w:sz w:val="24"/>
          <w:szCs w:val="24"/>
        </w:rPr>
        <w:t>østlige og de sydlige nabolande</w:t>
      </w:r>
      <w:r>
        <w:rPr>
          <w:rFonts w:ascii="Times New Roman" w:hAnsi="Times New Roman"/>
          <w:noProof/>
          <w:sz w:val="24"/>
          <w:szCs w:val="24"/>
        </w:rPr>
        <w:t xml:space="preserve"> vil fortsat være afgørende for EU. Energiforbindelserne med landene i Det Østlige Partnerskab skal styrkes og revideres, samtidig med at der fortsat fokuseres på bæredygtig energisikkerhed og omstilling til grøn energi efter tilsagnene på det sjette topmøde i Det Østlige Partnerskab i december 2021. </w:t>
      </w:r>
      <w:r>
        <w:rPr>
          <w:rFonts w:ascii="Times New Roman" w:hAnsi="Times New Roman"/>
          <w:b/>
          <w:bCs/>
          <w:noProof/>
          <w:sz w:val="24"/>
          <w:szCs w:val="24"/>
        </w:rPr>
        <w:t>Ukraines, Moldovas og Vestbalkans</w:t>
      </w:r>
      <w:r>
        <w:rPr>
          <w:rFonts w:ascii="Times New Roman" w:hAnsi="Times New Roman"/>
          <w:noProof/>
          <w:sz w:val="24"/>
          <w:szCs w:val="24"/>
        </w:rPr>
        <w:t xml:space="preserve"> modstandsdygtighed, energisikkerhed og grønne omstilling er knyttet til EU's og derfor en central prioritet. Samarbejdet med </w:t>
      </w:r>
      <w:r>
        <w:rPr>
          <w:rFonts w:ascii="Times New Roman" w:hAnsi="Times New Roman"/>
          <w:b/>
          <w:bCs/>
          <w:noProof/>
          <w:sz w:val="24"/>
          <w:szCs w:val="24"/>
        </w:rPr>
        <w:t xml:space="preserve">Tyrkiet </w:t>
      </w:r>
      <w:r>
        <w:rPr>
          <w:rFonts w:ascii="Times New Roman" w:hAnsi="Times New Roman"/>
          <w:noProof/>
          <w:sz w:val="24"/>
          <w:szCs w:val="24"/>
        </w:rPr>
        <w:t xml:space="preserve">om dekarbonisering bør videreføres for at sikre, at de tyrkiske retlige rammer tilpasses EU's retlige rammer, herunder gennem den tyrkiske investeringsplatform. </w:t>
      </w:r>
    </w:p>
    <w:p w14:paraId="66B1988B" w14:textId="00884976" w:rsidR="00E73030" w:rsidRDefault="007D7A5C" w:rsidP="006B4FD0">
      <w:pPr>
        <w:jc w:val="both"/>
        <w:rPr>
          <w:rFonts w:ascii="Times New Roman" w:hAnsi="Times New Roman" w:cs="Times New Roman"/>
          <w:noProof/>
          <w:sz w:val="24"/>
          <w:szCs w:val="24"/>
        </w:rPr>
      </w:pPr>
      <w:r>
        <w:rPr>
          <w:rFonts w:ascii="Times New Roman" w:hAnsi="Times New Roman"/>
          <w:noProof/>
          <w:sz w:val="24"/>
          <w:szCs w:val="24"/>
        </w:rPr>
        <w:t>I de sydlige nabolande bør der udvikles en fælles energipolitik i Middelhavsområdet på grundlag af Middelhavsunionens ministererklæring, der blev vedtaget i juni 2021.</w:t>
      </w:r>
      <w:r>
        <w:rPr>
          <w:rFonts w:ascii="Times New Roman" w:hAnsi="Times New Roman"/>
          <w:bCs/>
          <w:noProof/>
          <w:sz w:val="24"/>
          <w:szCs w:val="24"/>
        </w:rPr>
        <w:t xml:space="preserve"> </w:t>
      </w:r>
      <w:r>
        <w:rPr>
          <w:rFonts w:ascii="Times New Roman" w:hAnsi="Times New Roman"/>
          <w:noProof/>
          <w:sz w:val="24"/>
          <w:szCs w:val="24"/>
        </w:rPr>
        <w:t xml:space="preserve">EU vil støtte det regionale samarbejde i det østlige og sydlige Middelhavsområde om energiomstilling, herunder for at frigøre potentialet for vedvarende energi. EU vil fortsætte samarbejdet om dekarbonisering, herunder om methanemissioner, med alle leverandører af fossile brændstoffer i regionen, f.eks. </w:t>
      </w:r>
      <w:r>
        <w:rPr>
          <w:rFonts w:ascii="Times New Roman" w:hAnsi="Times New Roman"/>
          <w:b/>
          <w:bCs/>
          <w:noProof/>
          <w:sz w:val="24"/>
          <w:szCs w:val="24"/>
        </w:rPr>
        <w:t>Egypten, Israel og Algeriet.</w:t>
      </w:r>
    </w:p>
    <w:p w14:paraId="1D8FFA62" w14:textId="77777777" w:rsidR="00136687" w:rsidRDefault="00136687" w:rsidP="00136687">
      <w:pPr>
        <w:jc w:val="both"/>
        <w:rPr>
          <w:rFonts w:ascii="Times New Roman" w:hAnsi="Times New Roman" w:cs="Times New Roman"/>
          <w:noProof/>
          <w:sz w:val="24"/>
          <w:szCs w:val="24"/>
        </w:rPr>
      </w:pPr>
      <w:r>
        <w:rPr>
          <w:rFonts w:ascii="Times New Roman" w:hAnsi="Times New Roman"/>
          <w:b/>
          <w:bCs/>
          <w:noProof/>
          <w:sz w:val="24"/>
          <w:szCs w:val="24"/>
        </w:rPr>
        <w:t>Afrika er en vigtig partner for EU.</w:t>
      </w:r>
      <w:r>
        <w:rPr>
          <w:rFonts w:ascii="Times New Roman" w:hAnsi="Times New Roman"/>
          <w:noProof/>
          <w:sz w:val="24"/>
          <w:szCs w:val="24"/>
        </w:rPr>
        <w:t xml:space="preserve"> Ud over de samarbejdspolitiske mål forventes der en stærkere handels- og investeringsdialog med afrikanske lande, efterhånden som de udvikler sig til hurtigt voksende markeder for grønne energiteknologier. Afrikanske lande kan også bidrage til EU's energisikkerhed i dag med olie- og LNG-forsyninger og i fremtiden gennem grøn brint og vedvarende brændstoffer samt råstoffer, der er af afgørende betydning for omstillingen til grøn energi. </w:t>
      </w:r>
    </w:p>
    <w:p w14:paraId="3785312F" w14:textId="751D8917" w:rsidR="001F5E34" w:rsidRDefault="001F5E34" w:rsidP="00D74238">
      <w:pPr>
        <w:jc w:val="both"/>
        <w:rPr>
          <w:rFonts w:ascii="Times New Roman" w:hAnsi="Times New Roman" w:cs="Times New Roman"/>
          <w:noProof/>
          <w:sz w:val="24"/>
          <w:szCs w:val="24"/>
        </w:rPr>
      </w:pPr>
      <w:r>
        <w:rPr>
          <w:rFonts w:ascii="Times New Roman" w:hAnsi="Times New Roman"/>
          <w:noProof/>
          <w:sz w:val="24"/>
          <w:szCs w:val="24"/>
        </w:rPr>
        <w:t xml:space="preserve">EU vil fortsat arbejde sammen med partnere som </w:t>
      </w:r>
      <w:r>
        <w:rPr>
          <w:rFonts w:ascii="Times New Roman" w:hAnsi="Times New Roman"/>
          <w:b/>
          <w:bCs/>
          <w:noProof/>
          <w:sz w:val="24"/>
          <w:szCs w:val="24"/>
        </w:rPr>
        <w:t>Norge, Japan, Australien, Chile, Det Forenede Kongerige</w:t>
      </w:r>
      <w:r>
        <w:rPr>
          <w:rFonts w:ascii="Times New Roman" w:hAnsi="Times New Roman"/>
          <w:noProof/>
          <w:sz w:val="24"/>
          <w:szCs w:val="24"/>
        </w:rPr>
        <w:t xml:space="preserve"> og andre om energiomstilling og gensidigt relevante prioriteter. EU forhandler i øjeblikket om en frihandelsaftale med </w:t>
      </w:r>
      <w:r>
        <w:rPr>
          <w:rFonts w:ascii="Times New Roman" w:hAnsi="Times New Roman"/>
          <w:b/>
          <w:bCs/>
          <w:noProof/>
          <w:sz w:val="24"/>
          <w:szCs w:val="24"/>
        </w:rPr>
        <w:t>Australien</w:t>
      </w:r>
      <w:r>
        <w:rPr>
          <w:rFonts w:ascii="Times New Roman" w:hAnsi="Times New Roman"/>
          <w:noProof/>
          <w:sz w:val="24"/>
          <w:szCs w:val="24"/>
        </w:rPr>
        <w:t>. Australien er en vigtig fremtidig producent af grøn brint, og styrkelse af energiforbindelserne bør derfor prioriteres. Også Chile forventes at blive en stor producent af grøn brint i fremtiden og en vigtig leverandør af kritiske råstoffer såsom lithium.</w:t>
      </w:r>
    </w:p>
    <w:p w14:paraId="0BBC98AA" w14:textId="4F344D99" w:rsidR="00136687" w:rsidRDefault="00136687" w:rsidP="00136687">
      <w:pPr>
        <w:spacing w:after="240"/>
        <w:jc w:val="both"/>
        <w:rPr>
          <w:rFonts w:ascii="Times New Roman" w:hAnsi="Times New Roman" w:cs="Times New Roman"/>
          <w:noProof/>
          <w:sz w:val="24"/>
          <w:szCs w:val="24"/>
        </w:rPr>
      </w:pPr>
      <w:r>
        <w:rPr>
          <w:rFonts w:ascii="Times New Roman" w:hAnsi="Times New Roman"/>
          <w:noProof/>
          <w:sz w:val="24"/>
          <w:szCs w:val="24"/>
        </w:rPr>
        <w:t xml:space="preserve">Som led i </w:t>
      </w:r>
      <w:r>
        <w:rPr>
          <w:rFonts w:ascii="Times New Roman" w:hAnsi="Times New Roman"/>
          <w:b/>
          <w:bCs/>
          <w:noProof/>
          <w:sz w:val="24"/>
          <w:szCs w:val="24"/>
        </w:rPr>
        <w:t>partnerskabet om ren energi og klima mellem EU og Indien</w:t>
      </w:r>
      <w:r>
        <w:rPr>
          <w:rFonts w:ascii="Times New Roman" w:hAnsi="Times New Roman"/>
          <w:noProof/>
          <w:sz w:val="24"/>
          <w:szCs w:val="24"/>
        </w:rPr>
        <w:t xml:space="preserve"> vil EU intensivere sit energisamarbejde med Indien og støtte en fremskyndelse af den lokale udbredelse af vedvarende energi og hurtig dekarbonisering af landets industri. EU vil støtte fælles aktiviteter inden for offshorevind- og solenergi og deres integration gennem intelligente net. </w:t>
      </w:r>
    </w:p>
    <w:p w14:paraId="5D397B43" w14:textId="537F4E62" w:rsidR="00136687" w:rsidRDefault="00136687" w:rsidP="00136687">
      <w:pPr>
        <w:spacing w:after="240"/>
        <w:jc w:val="both"/>
        <w:rPr>
          <w:rFonts w:ascii="Times New Roman" w:hAnsi="Times New Roman" w:cs="Times New Roman"/>
          <w:noProof/>
          <w:sz w:val="24"/>
          <w:szCs w:val="24"/>
        </w:rPr>
      </w:pPr>
      <w:r>
        <w:rPr>
          <w:rFonts w:ascii="Times New Roman" w:hAnsi="Times New Roman"/>
          <w:noProof/>
          <w:sz w:val="24"/>
          <w:szCs w:val="24"/>
        </w:rPr>
        <w:t xml:space="preserve">EU fortsætter samarbejdet med </w:t>
      </w:r>
      <w:r>
        <w:rPr>
          <w:rFonts w:ascii="Times New Roman" w:hAnsi="Times New Roman"/>
          <w:b/>
          <w:bCs/>
          <w:noProof/>
          <w:sz w:val="24"/>
          <w:szCs w:val="24"/>
        </w:rPr>
        <w:t xml:space="preserve">Kina </w:t>
      </w:r>
      <w:r>
        <w:rPr>
          <w:rFonts w:ascii="Times New Roman" w:hAnsi="Times New Roman"/>
          <w:noProof/>
          <w:sz w:val="24"/>
          <w:szCs w:val="24"/>
        </w:rPr>
        <w:t xml:space="preserve">om dekarbonisering og reform af elmarkedet og om effektivisering af energisystemet. Samarbejdet vil fokusere på emissionshandelssystemer, elsystemer, netmodellering, finansiering af energieffektivitet og virksomhedssamarbejde. </w:t>
      </w:r>
    </w:p>
    <w:p w14:paraId="013A9A73" w14:textId="55EEF804" w:rsidR="00136687" w:rsidRPr="00CD775B" w:rsidRDefault="00136687" w:rsidP="00CD775B">
      <w:pPr>
        <w:spacing w:before="120" w:after="120"/>
        <w:jc w:val="both"/>
        <w:rPr>
          <w:rFonts w:ascii="Times New Roman" w:hAnsi="Times New Roman" w:cs="Times New Roman"/>
          <w:b/>
          <w:bCs/>
          <w:noProof/>
          <w:color w:val="1F497D"/>
          <w:sz w:val="24"/>
          <w:szCs w:val="24"/>
          <w:highlight w:val="yellow"/>
          <w:u w:val="single"/>
        </w:rPr>
      </w:pPr>
      <w:r>
        <w:rPr>
          <w:rFonts w:ascii="Times New Roman" w:hAnsi="Times New Roman"/>
          <w:noProof/>
          <w:sz w:val="24"/>
          <w:szCs w:val="24"/>
        </w:rPr>
        <w:t xml:space="preserve">Som anført i den </w:t>
      </w:r>
      <w:r>
        <w:rPr>
          <w:rFonts w:ascii="Times New Roman" w:hAnsi="Times New Roman"/>
          <w:b/>
          <w:bCs/>
          <w:noProof/>
          <w:sz w:val="24"/>
          <w:szCs w:val="24"/>
        </w:rPr>
        <w:t>fælles meddelelse om Golfen</w:t>
      </w:r>
      <w:r>
        <w:rPr>
          <w:rStyle w:val="FootnoteReference"/>
          <w:rFonts w:ascii="Times New Roman" w:hAnsi="Times New Roman" w:cs="Times New Roman"/>
          <w:b/>
          <w:bCs/>
          <w:noProof/>
          <w:sz w:val="24"/>
          <w:szCs w:val="24"/>
        </w:rPr>
        <w:footnoteReference w:id="23"/>
      </w:r>
      <w:r>
        <w:rPr>
          <w:rFonts w:ascii="Times New Roman" w:hAnsi="Times New Roman"/>
          <w:noProof/>
          <w:sz w:val="24"/>
          <w:szCs w:val="24"/>
        </w:rPr>
        <w:t xml:space="preserve"> vil EU arbejde tæt sammen med Golfstaterne om at fremme omstillingen til grøn energi, herunder investeringer i de sydlige nabolande. For bedre at strukturere sit samarbejde med Golfstaterne foreslog Kommissionen at afholde årlige ministermøder om den grønne omstilling suppleret med relaterede initiativer fra den private sektor.</w:t>
      </w:r>
    </w:p>
    <w:p w14:paraId="4043F0D7" w14:textId="5DDF15BC" w:rsidR="00136687" w:rsidRDefault="00136687" w:rsidP="007F7437">
      <w:pPr>
        <w:jc w:val="both"/>
        <w:rPr>
          <w:rFonts w:ascii="Times New Roman" w:hAnsi="Times New Roman" w:cs="Times New Roman"/>
          <w:noProof/>
          <w:sz w:val="24"/>
          <w:szCs w:val="24"/>
        </w:rPr>
      </w:pPr>
      <w:r>
        <w:rPr>
          <w:rFonts w:ascii="Times New Roman" w:hAnsi="Times New Roman"/>
          <w:b/>
          <w:bCs/>
          <w:noProof/>
          <w:sz w:val="24"/>
          <w:szCs w:val="24"/>
        </w:rPr>
        <w:t>Centralasien</w:t>
      </w:r>
      <w:r>
        <w:rPr>
          <w:rFonts w:ascii="Times New Roman" w:hAnsi="Times New Roman"/>
          <w:noProof/>
          <w:sz w:val="24"/>
          <w:szCs w:val="24"/>
        </w:rPr>
        <w:t xml:space="preserve"> er en vigtig region med mange ressourcer. Med udgangspunkt i regionens potentiale inden for sol-, vind- og vandkraft vil EU fremme Centralasiens reformer af energisektoren og omstilling til en lavemissionsøkonomi samt samarbejde om kritiske råstoffer med lande som f.eks. </w:t>
      </w:r>
      <w:r>
        <w:rPr>
          <w:rFonts w:ascii="Times New Roman" w:hAnsi="Times New Roman"/>
          <w:b/>
          <w:bCs/>
          <w:noProof/>
          <w:sz w:val="24"/>
          <w:szCs w:val="24"/>
        </w:rPr>
        <w:t>Kasakhstan</w:t>
      </w:r>
      <w:r>
        <w:rPr>
          <w:rFonts w:ascii="Times New Roman" w:hAnsi="Times New Roman"/>
          <w:noProof/>
          <w:sz w:val="24"/>
          <w:szCs w:val="24"/>
        </w:rPr>
        <w:t xml:space="preserve">. </w:t>
      </w:r>
    </w:p>
    <w:p w14:paraId="097B3164" w14:textId="79FDDCF0" w:rsidR="00F71CE0" w:rsidRPr="00E46615" w:rsidRDefault="00F71CE0" w:rsidP="00AA5D14">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Geopolitik og global energiarkitektur</w:t>
      </w:r>
    </w:p>
    <w:p w14:paraId="56227AA1" w14:textId="77777777" w:rsidR="009938BC" w:rsidRDefault="009938BC" w:rsidP="009938BC">
      <w:pPr>
        <w:spacing w:after="240"/>
        <w:jc w:val="both"/>
        <w:rPr>
          <w:rFonts w:ascii="Times New Roman" w:hAnsi="Times New Roman" w:cs="Times New Roman"/>
          <w:noProof/>
          <w:sz w:val="24"/>
          <w:szCs w:val="24"/>
        </w:rPr>
      </w:pPr>
      <w:r>
        <w:rPr>
          <w:rFonts w:ascii="Times New Roman" w:hAnsi="Times New Roman"/>
          <w:noProof/>
          <w:sz w:val="24"/>
          <w:szCs w:val="24"/>
        </w:rPr>
        <w:t>Ruslands invasion af Ukraine er en stærk påmindelse om, at verden er præget af store geopolitiske og økonomiske magtkampe. Hvis der ikke er modvægt til forbindelserne mellem stormagterne, kan de blive mere og mere konfronterende og unilateralistiske, og der kan opstå konkurrerende visioner og dagsordener.</w:t>
      </w:r>
    </w:p>
    <w:p w14:paraId="03C76043" w14:textId="77777777" w:rsidR="009938BC" w:rsidRPr="00CF1324" w:rsidRDefault="009938BC" w:rsidP="009938BC">
      <w:pPr>
        <w:spacing w:after="240"/>
        <w:jc w:val="both"/>
        <w:rPr>
          <w:rFonts w:ascii="Times New Roman" w:hAnsi="Times New Roman" w:cs="Times New Roman"/>
          <w:noProof/>
          <w:sz w:val="24"/>
          <w:szCs w:val="24"/>
        </w:rPr>
      </w:pPr>
      <w:r>
        <w:rPr>
          <w:rFonts w:ascii="Times New Roman" w:hAnsi="Times New Roman"/>
          <w:b/>
          <w:bCs/>
          <w:noProof/>
          <w:sz w:val="24"/>
          <w:szCs w:val="24"/>
        </w:rPr>
        <w:t>Den globale omstilling til grøn energi kan understøtte EU i indsatsen for at nå dets bredere geopolitiske mål og styrke modstandsdygtigheden og den åbne strategiske autonomi.</w:t>
      </w:r>
      <w:r>
        <w:rPr>
          <w:rFonts w:ascii="Times New Roman" w:hAnsi="Times New Roman"/>
          <w:noProof/>
          <w:sz w:val="24"/>
          <w:szCs w:val="24"/>
        </w:rPr>
        <w:t xml:space="preserve"> Kommissionen og den højtstående repræsentant vil fremme EU's energimål ved at styrke energidiplomatiets rolle i udenrigs- og sikkerhedspolitikken. Dette vil kræve styrkede overvågningsmekanismer, fremsyn og vurdering af de strategiske konsekvenser af den globale energiomstilling for partnerlandene.</w:t>
      </w:r>
    </w:p>
    <w:p w14:paraId="12C4A1CA" w14:textId="3CF4EEA1" w:rsidR="009938BC" w:rsidRPr="00562B81" w:rsidRDefault="00701F5F" w:rsidP="009938BC">
      <w:pPr>
        <w:spacing w:after="240"/>
        <w:jc w:val="both"/>
        <w:rPr>
          <w:rFonts w:ascii="Times New Roman" w:hAnsi="Times New Roman" w:cs="Times New Roman"/>
          <w:noProof/>
          <w:sz w:val="24"/>
          <w:szCs w:val="24"/>
        </w:rPr>
      </w:pPr>
      <w:r>
        <w:rPr>
          <w:rFonts w:ascii="Times New Roman" w:hAnsi="Times New Roman"/>
          <w:noProof/>
          <w:sz w:val="24"/>
          <w:szCs w:val="24"/>
        </w:rPr>
        <w:t>En effektiv håndtering af udfordringerne i forbindelse med den globale energiomstilling kræver tillid og samarbejde i det internationale samfund. EU vil intensivere den multilaterale indsats til støtte for EU's mål og globale forpligtelser baseret på principperne om regelbaseret og effektiv multilateralisme som fastsat i den fælles meddelelse fra 2021 om styrkelse af EU's bidrag til regelbaseret multilateralisme</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Dette kræver styrkede partnerskaber inden for FN, G20 og G7 og tættere samarbejde med internationale finansieringsinstitutioner. </w:t>
      </w:r>
    </w:p>
    <w:p w14:paraId="1C7F85BF" w14:textId="2D2160D9" w:rsidR="009938BC" w:rsidRDefault="009938BC" w:rsidP="009938BC">
      <w:pPr>
        <w:spacing w:after="240"/>
        <w:jc w:val="both"/>
        <w:rPr>
          <w:rFonts w:ascii="Times New Roman" w:hAnsi="Times New Roman" w:cs="Times New Roman"/>
          <w:noProof/>
          <w:sz w:val="24"/>
          <w:szCs w:val="24"/>
        </w:rPr>
      </w:pPr>
      <w:r>
        <w:rPr>
          <w:rFonts w:ascii="Times New Roman" w:hAnsi="Times New Roman"/>
          <w:noProof/>
          <w:sz w:val="24"/>
          <w:szCs w:val="24"/>
        </w:rPr>
        <w:t>Multilaterale energiorganisationer og -fora, f.eks. IRENA, IEA, Energifællesskabet, International Solar Alliance, Clean Energy Ministerial og Mission Innovation samt den globale borgmesterpagt for klima og energi, har alle et centralt ansvar for at fremme energiomstillingen på globalt plan. Der er behov for en gennemgribende modernisering af nogle organisationer, f.eks. Energy Charter, for at bringe dem i overensstemmelse med 2050-målene, og EU arbejder aktivt på dette. Hvis der ikke kan opnås en tilstrækkelig reform af energichartertraktaten, vil EU overveje at trække sit medlemskab tilbage.</w:t>
      </w:r>
    </w:p>
    <w:p w14:paraId="633AAF2D" w14:textId="145455E2" w:rsidR="009938BC" w:rsidRDefault="009938BC" w:rsidP="0041742C">
      <w:pPr>
        <w:spacing w:after="240"/>
        <w:jc w:val="both"/>
        <w:rPr>
          <w:rFonts w:ascii="Times New Roman" w:hAnsi="Times New Roman" w:cs="Times New Roman"/>
          <w:noProof/>
          <w:sz w:val="24"/>
          <w:szCs w:val="24"/>
        </w:rPr>
      </w:pPr>
      <w:r>
        <w:rPr>
          <w:rFonts w:ascii="Times New Roman" w:hAnsi="Times New Roman"/>
          <w:noProof/>
          <w:sz w:val="24"/>
          <w:szCs w:val="24"/>
        </w:rPr>
        <w:t>EU vil fortsat støtte en mere inklusiv repræsentation af vækstøkonomier og udviklingsøkonomier i internationale institutioner. EU vil sammen med medlemsstaterne som led i en Team Europe-tilgang i stigende grad bidrage til lederskab og inklusiv beslutningstagning gennem større deltagelse i relevante organisationers styrende organer. EU bør også afveje fordelene ved at opgradere sin kollektive tilstedeværelse til fuldt medlemskab i de energifora, der anses for at være centrale og strategiske for at fremme den europæiske grønne pagt og denne strategi.</w:t>
      </w:r>
    </w:p>
    <w:p w14:paraId="146C37D0" w14:textId="55F081DB" w:rsidR="00CC199B" w:rsidRDefault="009938BC" w:rsidP="009938BC">
      <w:pPr>
        <w:spacing w:after="240"/>
        <w:jc w:val="both"/>
        <w:rPr>
          <w:rFonts w:ascii="Times New Roman" w:hAnsi="Times New Roman" w:cs="Times New Roman"/>
          <w:noProof/>
          <w:sz w:val="24"/>
          <w:szCs w:val="24"/>
        </w:rPr>
      </w:pPr>
      <w:r>
        <w:rPr>
          <w:rFonts w:ascii="Times New Roman" w:hAnsi="Times New Roman"/>
          <w:noProof/>
          <w:sz w:val="24"/>
          <w:szCs w:val="24"/>
        </w:rPr>
        <w:t>EU vil desuden styrke samarbejdet inden for multilaterale og regionale organisationer og tilstræbe et tættere samarbejde med Middelhavsunionen, Den Afrikanske Union og dens agenturer, Den Latinamerikanske Energiorganisation (OLADE) og Sammenslutningen af Sydøstasiatiske Nationer (ASEAN) med henblik på at imødegå fælles udfordringer og arbejde sammen på internationalt plan.</w:t>
      </w:r>
    </w:p>
    <w:p w14:paraId="2844D3E3" w14:textId="65CF7B40" w:rsidR="008669E4" w:rsidRPr="00B343AD" w:rsidRDefault="008669E4" w:rsidP="00CC199B">
      <w:pPr>
        <w:spacing w:after="240"/>
        <w:jc w:val="both"/>
        <w:rPr>
          <w:rFonts w:ascii="Times New Roman" w:hAnsi="Times New Roman" w:cs="Times New Roman"/>
          <w:b/>
          <w:bCs/>
          <w:noProof/>
          <w:sz w:val="24"/>
          <w:szCs w:val="24"/>
        </w:rPr>
      </w:pPr>
      <w:r>
        <w:rPr>
          <w:rFonts w:ascii="Times New Roman" w:hAnsi="Times New Roman"/>
          <w:b/>
          <w:bCs/>
          <w:noProof/>
          <w:sz w:val="24"/>
          <w:szCs w:val="24"/>
        </w:rPr>
        <w:t>Vigtige tiltag:</w:t>
      </w:r>
    </w:p>
    <w:p w14:paraId="73816588" w14:textId="771F676A" w:rsidR="008669E4" w:rsidRDefault="008669E4" w:rsidP="008669E4">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regelmæssigt overvåge de geopolitiske virkninger af den grønne omstilling</w:t>
      </w:r>
    </w:p>
    <w:p w14:paraId="462109D8" w14:textId="09B14DFE" w:rsidR="008669E4" w:rsidRDefault="0041742C" w:rsidP="0041742C">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indlede en revision af EU's engagement i internationale energifora, der er afgørende for den globale energiomstilling</w:t>
      </w:r>
    </w:p>
    <w:p w14:paraId="7C836B9F" w14:textId="1BAD20EC" w:rsidR="008669E4" w:rsidRPr="006D5C36" w:rsidRDefault="0041742C" w:rsidP="006D5C36">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styrke energidiplomatiet i EU's og medlemsstaternes udenrigspolitik.</w:t>
      </w:r>
    </w:p>
    <w:p w14:paraId="7841C725" w14:textId="66C4591D" w:rsidR="00CC199B" w:rsidRDefault="00CC199B">
      <w:pPr>
        <w:rPr>
          <w:rFonts w:ascii="Times New Roman" w:eastAsia="Times New Roman" w:hAnsi="Times New Roman" w:cs="Times New Roman"/>
          <w:b/>
          <w:noProof/>
          <w:sz w:val="24"/>
          <w:szCs w:val="24"/>
        </w:rPr>
      </w:pPr>
    </w:p>
    <w:p w14:paraId="58C4AFE4" w14:textId="09EA300B" w:rsidR="00C33F66" w:rsidRPr="00C571AB" w:rsidRDefault="00C33F66" w:rsidP="00C33F66">
      <w:pPr>
        <w:pStyle w:val="Heading1"/>
        <w:numPr>
          <w:ilvl w:val="0"/>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Konklusion</w:t>
      </w:r>
    </w:p>
    <w:p w14:paraId="00624A0E" w14:textId="49246AF6" w:rsidR="009D38E8" w:rsidRDefault="00180972" w:rsidP="009D38E8">
      <w:pPr>
        <w:jc w:val="both"/>
        <w:rPr>
          <w:rFonts w:ascii="Times New Roman" w:hAnsi="Times New Roman" w:cs="Times New Roman"/>
          <w:noProof/>
          <w:sz w:val="24"/>
          <w:szCs w:val="24"/>
        </w:rPr>
      </w:pPr>
      <w:r>
        <w:rPr>
          <w:rFonts w:ascii="Times New Roman" w:hAnsi="Times New Roman"/>
          <w:noProof/>
          <w:sz w:val="24"/>
          <w:szCs w:val="24"/>
        </w:rPr>
        <w:t xml:space="preserve">Dette er et kritisk tidspunkt for den globale energipolitik. Klimaændringer, geopolitiske forandringer, teknologisk udvikling og øget global energiefterspørgsel skaber et udfordrende miljø i hastig forandring, som kræver tilpasning af EU's energisystemer og -forbindelser. </w:t>
      </w:r>
    </w:p>
    <w:p w14:paraId="706D3607" w14:textId="5C4DDF58" w:rsidR="008315CF" w:rsidRDefault="009D38E8" w:rsidP="009D38E8">
      <w:pPr>
        <w:jc w:val="both"/>
        <w:rPr>
          <w:rFonts w:ascii="Times New Roman" w:hAnsi="Times New Roman" w:cs="Times New Roman"/>
          <w:noProof/>
          <w:sz w:val="24"/>
          <w:szCs w:val="24"/>
        </w:rPr>
      </w:pPr>
      <w:r>
        <w:rPr>
          <w:rFonts w:ascii="Times New Roman" w:hAnsi="Times New Roman"/>
          <w:noProof/>
          <w:sz w:val="24"/>
          <w:szCs w:val="24"/>
        </w:rPr>
        <w:t xml:space="preserve">Hertil kommer, at </w:t>
      </w:r>
      <w:r>
        <w:rPr>
          <w:rFonts w:ascii="Times New Roman" w:hAnsi="Times New Roman"/>
          <w:b/>
          <w:bCs/>
          <w:noProof/>
          <w:sz w:val="24"/>
          <w:szCs w:val="24"/>
        </w:rPr>
        <w:t>Ruslands invasion af Ukraine har vidtrækkende konsekvenser for energisikkerheden</w:t>
      </w:r>
      <w:r>
        <w:rPr>
          <w:rFonts w:ascii="Times New Roman" w:hAnsi="Times New Roman"/>
          <w:noProof/>
          <w:sz w:val="24"/>
          <w:szCs w:val="24"/>
        </w:rPr>
        <w:t xml:space="preserve"> — ikke kun EU's, men hele verdens. Ruslands handlinger har udløst hidtil usete prisudsving på energimarkederne og understreget behovet for partnerskaber baseret på tillid og fælles langsigtede mål.</w:t>
      </w:r>
    </w:p>
    <w:p w14:paraId="28BEADE5" w14:textId="41C65792" w:rsidR="008315CF" w:rsidRDefault="008315CF" w:rsidP="008315CF">
      <w:pPr>
        <w:jc w:val="both"/>
        <w:rPr>
          <w:rFonts w:ascii="Times New Roman" w:hAnsi="Times New Roman" w:cs="Times New Roman"/>
          <w:noProof/>
          <w:sz w:val="24"/>
          <w:szCs w:val="24"/>
        </w:rPr>
      </w:pPr>
      <w:r>
        <w:rPr>
          <w:rFonts w:ascii="Times New Roman" w:hAnsi="Times New Roman"/>
          <w:b/>
          <w:bCs/>
          <w:noProof/>
          <w:sz w:val="24"/>
          <w:szCs w:val="24"/>
        </w:rPr>
        <w:t>Omstillingen til grøn energi er den eneste måde, hvorpå vi samtidig kan sikre bæredygtig, sikker og prismæssigt overkommelig energi i hele verden.</w:t>
      </w:r>
      <w:r>
        <w:rPr>
          <w:rFonts w:ascii="Times New Roman" w:hAnsi="Times New Roman"/>
          <w:noProof/>
          <w:sz w:val="24"/>
          <w:szCs w:val="24"/>
        </w:rPr>
        <w:t xml:space="preserve"> Hvis omstillingen skal lykkes, skal den være socialt retfærdig og retfærdig, så ingen lades i stikken. Det betyder ikke kun udfasning af fossile brændstoffer og forældede praksisser, men indfasning af grøn energi, innovativ teknologi, bedre markeder og cirkulær økonomi. Det kræver, at der allerede nu tages hånd om de potentielle risici og afhængighedsforhold. </w:t>
      </w:r>
    </w:p>
    <w:p w14:paraId="3621EDB4" w14:textId="39243CE7" w:rsidR="00365200" w:rsidRDefault="008315CF" w:rsidP="000028B6">
      <w:pPr>
        <w:jc w:val="both"/>
        <w:rPr>
          <w:rFonts w:ascii="Times New Roman" w:hAnsi="Times New Roman" w:cs="Times New Roman"/>
          <w:noProof/>
          <w:sz w:val="24"/>
          <w:szCs w:val="24"/>
        </w:rPr>
      </w:pPr>
      <w:r>
        <w:rPr>
          <w:rFonts w:ascii="Times New Roman" w:hAnsi="Times New Roman"/>
          <w:noProof/>
          <w:sz w:val="24"/>
          <w:szCs w:val="24"/>
        </w:rPr>
        <w:t xml:space="preserve">Omstillingen giver EU og dets partnere mulighed for sammen at opbygge </w:t>
      </w:r>
      <w:r>
        <w:rPr>
          <w:rFonts w:ascii="Times New Roman" w:hAnsi="Times New Roman"/>
          <w:b/>
          <w:bCs/>
          <w:noProof/>
          <w:sz w:val="24"/>
          <w:szCs w:val="24"/>
        </w:rPr>
        <w:t>et nyt energisystem, der er mere bæredygtigt, mere ligeværdigt og mere samarbejdsorienteret</w:t>
      </w:r>
      <w:r>
        <w:rPr>
          <w:rFonts w:ascii="Times New Roman" w:hAnsi="Times New Roman"/>
          <w:noProof/>
          <w:sz w:val="24"/>
          <w:szCs w:val="24"/>
        </w:rPr>
        <w:t xml:space="preserve">. I denne meddelelse beskrives EU's strategi for at nå dette mål. </w:t>
      </w:r>
    </w:p>
    <w:sectPr w:rsidR="00365200" w:rsidSect="00CA53F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46CEA" w14:textId="77777777" w:rsidR="00982440" w:rsidRDefault="00982440" w:rsidP="00CA53FB">
      <w:pPr>
        <w:spacing w:after="0" w:line="240" w:lineRule="auto"/>
      </w:pPr>
      <w:r>
        <w:separator/>
      </w:r>
    </w:p>
  </w:endnote>
  <w:endnote w:type="continuationSeparator" w:id="0">
    <w:p w14:paraId="66272369" w14:textId="77777777" w:rsidR="00982440" w:rsidRDefault="00982440" w:rsidP="00CA53FB">
      <w:pPr>
        <w:spacing w:after="0" w:line="240" w:lineRule="auto"/>
      </w:pPr>
      <w:r>
        <w:continuationSeparator/>
      </w:r>
    </w:p>
  </w:endnote>
  <w:endnote w:type="continuationNotice" w:id="1">
    <w:p w14:paraId="6D12A560" w14:textId="77777777" w:rsidR="00982440" w:rsidRDefault="00982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873C5" w14:textId="77777777" w:rsidR="000D323C" w:rsidRPr="000D323C" w:rsidRDefault="000D323C" w:rsidP="000D3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0D5EE" w14:textId="4F419451" w:rsidR="007D1B51" w:rsidRPr="000D323C" w:rsidRDefault="000D323C" w:rsidP="000D323C">
    <w:pPr>
      <w:pStyle w:val="FooterCoverPage"/>
      <w:rPr>
        <w:rFonts w:ascii="Arial" w:hAnsi="Arial" w:cs="Arial"/>
        <w:b/>
        <w:sz w:val="48"/>
      </w:rPr>
    </w:pPr>
    <w:r w:rsidRPr="000D323C">
      <w:rPr>
        <w:rFonts w:ascii="Arial" w:hAnsi="Arial" w:cs="Arial"/>
        <w:b/>
        <w:sz w:val="48"/>
      </w:rPr>
      <w:t>DA</w:t>
    </w:r>
    <w:r w:rsidRPr="000D323C">
      <w:rPr>
        <w:rFonts w:ascii="Arial" w:hAnsi="Arial" w:cs="Arial"/>
        <w:b/>
        <w:sz w:val="48"/>
      </w:rPr>
      <w:tab/>
    </w:r>
    <w:r w:rsidRPr="000D323C">
      <w:rPr>
        <w:rFonts w:ascii="Arial" w:hAnsi="Arial" w:cs="Arial"/>
        <w:b/>
        <w:sz w:val="48"/>
      </w:rPr>
      <w:tab/>
    </w:r>
    <w:r w:rsidRPr="000D323C">
      <w:tab/>
    </w:r>
    <w:r w:rsidRPr="000D323C">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F8AA" w14:textId="77777777" w:rsidR="000D323C" w:rsidRPr="000D323C" w:rsidRDefault="000D323C" w:rsidP="000D323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6A37" w14:textId="77777777" w:rsidR="00CC199B" w:rsidRDefault="00CC19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04085"/>
      <w:docPartObj>
        <w:docPartGallery w:val="Page Numbers (Bottom of Page)"/>
        <w:docPartUnique/>
      </w:docPartObj>
    </w:sdtPr>
    <w:sdtEndPr>
      <w:rPr>
        <w:noProof/>
      </w:rPr>
    </w:sdtEndPr>
    <w:sdtContent>
      <w:p w14:paraId="63055207" w14:textId="1DF92FA1" w:rsidR="00CC199B" w:rsidRDefault="00CC199B">
        <w:pPr>
          <w:pStyle w:val="Footer"/>
          <w:jc w:val="right"/>
        </w:pPr>
        <w:r>
          <w:fldChar w:fldCharType="begin"/>
        </w:r>
        <w:r>
          <w:instrText xml:space="preserve"> PAGE   \* MERGEFORMAT </w:instrText>
        </w:r>
        <w:r>
          <w:fldChar w:fldCharType="separate"/>
        </w:r>
        <w:r w:rsidR="000D323C">
          <w:rPr>
            <w:noProof/>
          </w:rPr>
          <w:t>1</w:t>
        </w:r>
        <w:r>
          <w:fldChar w:fldCharType="end"/>
        </w:r>
      </w:p>
    </w:sdtContent>
  </w:sdt>
  <w:p w14:paraId="5E28B9D2" w14:textId="77777777" w:rsidR="00CC199B" w:rsidRDefault="00CC19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BD34" w14:textId="77777777" w:rsidR="00CC199B" w:rsidRDefault="00CC1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963A0" w14:textId="77777777" w:rsidR="00982440" w:rsidRDefault="00982440" w:rsidP="00CA53FB">
      <w:pPr>
        <w:spacing w:after="0" w:line="240" w:lineRule="auto"/>
      </w:pPr>
      <w:r>
        <w:separator/>
      </w:r>
    </w:p>
  </w:footnote>
  <w:footnote w:type="continuationSeparator" w:id="0">
    <w:p w14:paraId="7C4AF418" w14:textId="77777777" w:rsidR="00982440" w:rsidRDefault="00982440" w:rsidP="00CA53FB">
      <w:pPr>
        <w:spacing w:after="0" w:line="240" w:lineRule="auto"/>
      </w:pPr>
      <w:r>
        <w:continuationSeparator/>
      </w:r>
    </w:p>
  </w:footnote>
  <w:footnote w:type="continuationNotice" w:id="1">
    <w:p w14:paraId="5DD3B1EE" w14:textId="77777777" w:rsidR="00982440" w:rsidRDefault="00982440">
      <w:pPr>
        <w:spacing w:after="0" w:line="240" w:lineRule="auto"/>
      </w:pPr>
    </w:p>
  </w:footnote>
  <w:footnote w:id="2">
    <w:p w14:paraId="283F7C96" w14:textId="77777777" w:rsidR="00CC199B" w:rsidRPr="003A3B03" w:rsidRDefault="00CC199B">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I 2021 blev mere end 40 % af EU's samlede gasforbrug dækket af Rusland: Dette svarer til ca. 155 mia. m</w:t>
      </w:r>
      <w:r>
        <w:rPr>
          <w:rFonts w:asciiTheme="majorBidi" w:hAnsiTheme="majorBidi"/>
          <w:sz w:val="18"/>
          <w:szCs w:val="18"/>
          <w:vertAlign w:val="superscript"/>
        </w:rPr>
        <w:t>3</w:t>
      </w:r>
      <w:r>
        <w:rPr>
          <w:rFonts w:asciiTheme="majorBidi" w:hAnsiTheme="majorBidi"/>
          <w:sz w:val="18"/>
          <w:szCs w:val="18"/>
        </w:rPr>
        <w:t>, hvor 15 mia. m</w:t>
      </w:r>
      <w:r>
        <w:rPr>
          <w:rFonts w:asciiTheme="majorBidi" w:hAnsiTheme="majorBidi"/>
          <w:sz w:val="18"/>
          <w:szCs w:val="18"/>
          <w:vertAlign w:val="superscript"/>
        </w:rPr>
        <w:t>3</w:t>
      </w:r>
      <w:r>
        <w:rPr>
          <w:rFonts w:asciiTheme="majorBidi" w:hAnsiTheme="majorBidi"/>
          <w:sz w:val="18"/>
          <w:szCs w:val="18"/>
        </w:rPr>
        <w:t xml:space="preserve"> leveres i form af flydende naturgas (LNG).</w:t>
      </w:r>
    </w:p>
  </w:footnote>
  <w:footnote w:id="3">
    <w:p w14:paraId="269B4882" w14:textId="77777777" w:rsidR="00CC199B" w:rsidRPr="003A3B03" w:rsidRDefault="00CC199B" w:rsidP="00705665">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1" w:history="1">
        <w:r>
          <w:rPr>
            <w:rStyle w:val="Hyperlink"/>
            <w:rFonts w:asciiTheme="majorBidi" w:hAnsiTheme="majorBidi"/>
            <w:color w:val="auto"/>
            <w:sz w:val="18"/>
            <w:szCs w:val="18"/>
          </w:rPr>
          <w:t>Fælles erklæring fra Europa-Kommissionen og USA om europæisk og USA om europæisk energisikkerhed</w:t>
        </w:r>
      </w:hyperlink>
      <w:r>
        <w:t>.</w:t>
      </w:r>
    </w:p>
  </w:footnote>
  <w:footnote w:id="4">
    <w:p w14:paraId="2E3957AE" w14:textId="77777777" w:rsidR="00CC199B" w:rsidRPr="00CA014D" w:rsidRDefault="00CC199B">
      <w:pPr>
        <w:pStyle w:val="FootnoteText"/>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2" w:history="1">
        <w:r>
          <w:rPr>
            <w:rStyle w:val="Hyperlink"/>
            <w:rFonts w:asciiTheme="majorBidi" w:hAnsiTheme="majorBidi"/>
            <w:color w:val="auto"/>
            <w:sz w:val="18"/>
            <w:szCs w:val="18"/>
          </w:rPr>
          <w:t>Fælles erklæring fra Kommissionens formand Ursula von der Leyen og premierminister Trudeau</w:t>
        </w:r>
      </w:hyperlink>
      <w:r>
        <w:t>.</w:t>
      </w:r>
    </w:p>
  </w:footnote>
  <w:footnote w:id="5">
    <w:p w14:paraId="7366F4F7" w14:textId="5E9C07DE" w:rsidR="00CC199B" w:rsidRPr="006939C2" w:rsidRDefault="00CC199B" w:rsidP="00776973">
      <w:pPr>
        <w:pStyle w:val="FootnoteText"/>
      </w:pPr>
      <w:r>
        <w:rPr>
          <w:rStyle w:val="FootnoteReference"/>
        </w:rPr>
        <w:footnoteRef/>
      </w:r>
      <w:r>
        <w:t xml:space="preserve"> </w:t>
      </w:r>
      <w:r>
        <w:rPr>
          <w:rFonts w:asciiTheme="majorBidi" w:hAnsiTheme="majorBidi"/>
          <w:sz w:val="18"/>
        </w:rPr>
        <w:t>46 mia. m</w:t>
      </w:r>
      <w:r>
        <w:rPr>
          <w:rFonts w:asciiTheme="majorBidi" w:hAnsiTheme="majorBidi"/>
          <w:sz w:val="18"/>
          <w:vertAlign w:val="superscript"/>
        </w:rPr>
        <w:t>3</w:t>
      </w:r>
      <w:r>
        <w:rPr>
          <w:rFonts w:asciiTheme="majorBidi" w:hAnsiTheme="majorBidi"/>
          <w:sz w:val="18"/>
        </w:rPr>
        <w:t xml:space="preserve"> om året er IEA's skøn baseret på bedste praksis.</w:t>
      </w:r>
    </w:p>
  </w:footnote>
  <w:footnote w:id="6">
    <w:p w14:paraId="1A449FC1" w14:textId="77777777" w:rsidR="00CC199B" w:rsidRPr="006939C2" w:rsidRDefault="00CC199B" w:rsidP="0098638B">
      <w:pPr>
        <w:pStyle w:val="FootnoteText"/>
        <w:rPr>
          <w:rFonts w:asciiTheme="majorBidi" w:hAnsiTheme="majorBidi"/>
        </w:rPr>
      </w:pPr>
      <w:r>
        <w:rPr>
          <w:rStyle w:val="FootnoteReference"/>
        </w:rPr>
        <w:footnoteRef/>
      </w:r>
      <w:r>
        <w:t xml:space="preserve"> </w:t>
      </w:r>
      <w:hyperlink r:id="rId3" w:history="1">
        <w:r>
          <w:rPr>
            <w:rStyle w:val="Hyperlink"/>
            <w:rFonts w:asciiTheme="majorBidi" w:hAnsiTheme="majorBidi"/>
            <w:color w:val="auto"/>
            <w:sz w:val="18"/>
          </w:rPr>
          <w:t>Forordningen om den transeuropæiske energiinfrastruktur</w:t>
        </w:r>
      </w:hyperlink>
      <w:r>
        <w:t>.</w:t>
      </w:r>
    </w:p>
  </w:footnote>
  <w:footnote w:id="7">
    <w:p w14:paraId="55B17372" w14:textId="475AA2B6" w:rsidR="00CC199B" w:rsidRPr="00044538" w:rsidRDefault="00CC199B">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Den russiske forkortelse VVER står for "vand-vand-energireaktor".</w:t>
      </w:r>
    </w:p>
  </w:footnote>
  <w:footnote w:id="8">
    <w:p w14:paraId="13A6CF6F" w14:textId="7B2101AC" w:rsidR="00CC199B" w:rsidRPr="00CA75AD" w:rsidRDefault="00CC199B" w:rsidP="00DB12C3">
      <w:pPr>
        <w:pStyle w:val="FootnoteText"/>
      </w:pPr>
      <w:r>
        <w:rPr>
          <w:rStyle w:val="FootnoteReference"/>
          <w:rFonts w:asciiTheme="majorBidi" w:hAnsiTheme="majorBidi" w:cstheme="majorBidi"/>
          <w:sz w:val="18"/>
          <w:szCs w:val="18"/>
        </w:rPr>
        <w:footnoteRef/>
      </w:r>
      <w:r>
        <w:rPr>
          <w:rFonts w:asciiTheme="majorBidi" w:hAnsiTheme="majorBidi"/>
          <w:sz w:val="18"/>
          <w:szCs w:val="18"/>
        </w:rPr>
        <w:t xml:space="preserve"> Et nyt tiltag vil indgå i ændringen af Euratoms arbejdsprogram 2021-2022 med det formål at øge EU's forsyningssikkerhed ved at undersøge alternative brændsler fra andre lande end Rusland til russisk konstruerede reaktorer i EU og Ukraine.</w:t>
      </w:r>
    </w:p>
  </w:footnote>
  <w:footnote w:id="9">
    <w:p w14:paraId="017081D6" w14:textId="77777777" w:rsidR="00CC199B" w:rsidRPr="008D443E" w:rsidRDefault="00CC199B" w:rsidP="00CD794A">
      <w:pPr>
        <w:pStyle w:val="FootnoteText"/>
      </w:pPr>
      <w:r>
        <w:rPr>
          <w:rStyle w:val="FootnoteReference"/>
        </w:rPr>
        <w:footnoteRef/>
      </w:r>
      <w:r>
        <w:t xml:space="preserve"> </w:t>
      </w:r>
      <w:hyperlink r:id="rId4" w:history="1">
        <w:r>
          <w:rPr>
            <w:rStyle w:val="Hyperlink"/>
            <w:rFonts w:ascii="Times New Roman" w:hAnsi="Times New Roman"/>
            <w:color w:val="auto"/>
            <w:sz w:val="18"/>
            <w:szCs w:val="18"/>
          </w:rPr>
          <w:t>IEA anslår</w:t>
        </w:r>
      </w:hyperlink>
      <w:r>
        <w:t xml:space="preserve">, </w:t>
      </w:r>
      <w:r>
        <w:rPr>
          <w:rFonts w:ascii="Times New Roman" w:hAnsi="Times New Roman"/>
          <w:sz w:val="18"/>
          <w:szCs w:val="18"/>
        </w:rPr>
        <w:t>"at det er teknisk muligt at undgå omkring tre fjerdedele af de nuværende methanemissioner fra globale olie- og gasaktiviteter. Endnu vigtigere er det, at ca. 40 % af de nuværende methanemissioner kan undgås uden nettoomkostninger".</w:t>
      </w:r>
    </w:p>
  </w:footnote>
  <w:footnote w:id="10">
    <w:p w14:paraId="54319E2C" w14:textId="77777777" w:rsidR="006A4CD9" w:rsidRPr="008D443E" w:rsidRDefault="006A4CD9">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5" w:history="1">
        <w:r>
          <w:rPr>
            <w:rStyle w:val="Hyperlink"/>
            <w:rFonts w:asciiTheme="majorBidi" w:hAnsiTheme="majorBidi"/>
            <w:color w:val="auto"/>
            <w:sz w:val="18"/>
            <w:szCs w:val="18"/>
          </w:rPr>
          <w:t>En EU-strategi for reduktion af methanemissioner (COM/2020/663).</w:t>
        </w:r>
      </w:hyperlink>
    </w:p>
  </w:footnote>
  <w:footnote w:id="11">
    <w:p w14:paraId="0E8DD701" w14:textId="77777777" w:rsidR="006A4CD9" w:rsidRPr="005F0A3E" w:rsidRDefault="006A4CD9">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6" w:history="1">
        <w:r>
          <w:rPr>
            <w:rStyle w:val="Hyperlink"/>
            <w:rFonts w:asciiTheme="majorBidi" w:hAnsiTheme="majorBidi"/>
            <w:color w:val="auto"/>
            <w:sz w:val="18"/>
            <w:szCs w:val="18"/>
          </w:rPr>
          <w:t>Global Methane Pledge</w:t>
        </w:r>
      </w:hyperlink>
      <w:r>
        <w:t>.</w:t>
      </w:r>
    </w:p>
  </w:footnote>
  <w:footnote w:id="12">
    <w:p w14:paraId="7A4621D5" w14:textId="77777777" w:rsidR="006A4CD9" w:rsidRPr="008D443E" w:rsidRDefault="006A4CD9" w:rsidP="00DD11D8">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7" w:history="1">
        <w:r>
          <w:rPr>
            <w:rStyle w:val="Hyperlink"/>
            <w:rFonts w:asciiTheme="majorBidi" w:hAnsiTheme="majorBidi"/>
            <w:color w:val="auto"/>
            <w:sz w:val="18"/>
            <w:szCs w:val="18"/>
          </w:rPr>
          <w:t>FN's Konference om Handel og Udvikling (2022), Trade and Development Report 2021, ajourføring fra marts</w:t>
        </w:r>
      </w:hyperlink>
      <w:r>
        <w:t>.</w:t>
      </w:r>
    </w:p>
  </w:footnote>
  <w:footnote w:id="13">
    <w:p w14:paraId="6F8CF4CB" w14:textId="77777777" w:rsidR="006A4CD9" w:rsidRPr="00F7738E" w:rsidRDefault="006A4CD9" w:rsidP="00DD11D8">
      <w:pPr>
        <w:pStyle w:val="FootnoteText"/>
        <w:rPr>
          <w:rFonts w:asciiTheme="majorBidi" w:hAnsiTheme="majorBidi" w:cstheme="majorBidi"/>
          <w:sz w:val="18"/>
          <w:szCs w:val="18"/>
          <w:lang w:val="en-IE"/>
        </w:rPr>
      </w:pPr>
      <w:r>
        <w:rPr>
          <w:rStyle w:val="FootnoteReference"/>
          <w:rFonts w:asciiTheme="majorBidi" w:hAnsiTheme="majorBidi" w:cstheme="majorBidi"/>
          <w:sz w:val="18"/>
          <w:szCs w:val="18"/>
        </w:rPr>
        <w:footnoteRef/>
      </w:r>
      <w:r w:rsidRPr="00F7738E">
        <w:rPr>
          <w:rFonts w:asciiTheme="majorBidi" w:hAnsiTheme="majorBidi"/>
          <w:sz w:val="18"/>
          <w:szCs w:val="18"/>
          <w:lang w:val="en-IE"/>
        </w:rPr>
        <w:t xml:space="preserve"> </w:t>
      </w:r>
      <w:hyperlink r:id="rId8" w:history="1">
        <w:r w:rsidRPr="00F7738E">
          <w:rPr>
            <w:rStyle w:val="Hyperlink"/>
            <w:rFonts w:asciiTheme="majorBidi" w:hAnsiTheme="majorBidi"/>
            <w:color w:val="auto"/>
            <w:sz w:val="18"/>
            <w:szCs w:val="18"/>
            <w:lang w:val="en-IE"/>
          </w:rPr>
          <w:t>FN: Global impact of war in Ukraine on food, energy and finance systems</w:t>
        </w:r>
      </w:hyperlink>
      <w:r w:rsidRPr="00F7738E">
        <w:rPr>
          <w:rFonts w:asciiTheme="majorBidi" w:hAnsiTheme="majorBidi"/>
          <w:sz w:val="18"/>
          <w:szCs w:val="18"/>
          <w:lang w:val="en-IE"/>
        </w:rPr>
        <w:t>, april 2022.</w:t>
      </w:r>
    </w:p>
  </w:footnote>
  <w:footnote w:id="14">
    <w:p w14:paraId="0D97F8E0" w14:textId="77777777" w:rsidR="00CC199B" w:rsidRPr="00F7738E" w:rsidRDefault="006A4CD9">
      <w:pPr>
        <w:pStyle w:val="FootnoteText"/>
        <w:rPr>
          <w:lang w:val="en-IE"/>
        </w:rPr>
      </w:pPr>
      <w:r>
        <w:rPr>
          <w:rStyle w:val="FootnoteReference"/>
          <w:rFonts w:asciiTheme="majorBidi" w:hAnsiTheme="majorBidi" w:cstheme="majorBidi"/>
          <w:sz w:val="18"/>
          <w:szCs w:val="18"/>
        </w:rPr>
        <w:footnoteRef/>
      </w:r>
      <w:r w:rsidRPr="00F7738E">
        <w:rPr>
          <w:rFonts w:asciiTheme="majorBidi" w:hAnsiTheme="majorBidi"/>
          <w:sz w:val="18"/>
          <w:szCs w:val="18"/>
          <w:lang w:val="en-IE"/>
        </w:rPr>
        <w:t xml:space="preserve"> </w:t>
      </w:r>
      <w:hyperlink r:id="rId9" w:history="1">
        <w:r w:rsidRPr="00F7738E">
          <w:rPr>
            <w:rStyle w:val="Hyperlink"/>
            <w:rFonts w:asciiTheme="majorBidi" w:hAnsiTheme="majorBidi"/>
            <w:color w:val="auto"/>
            <w:sz w:val="18"/>
            <w:szCs w:val="18"/>
            <w:lang w:val="en-IE"/>
          </w:rPr>
          <w:t>FN — Global Crisis Response Group</w:t>
        </w:r>
      </w:hyperlink>
      <w:r w:rsidRPr="00F7738E">
        <w:rPr>
          <w:lang w:val="en-IE"/>
        </w:rPr>
        <w:t>.</w:t>
      </w:r>
    </w:p>
  </w:footnote>
  <w:footnote w:id="15">
    <w:p w14:paraId="338FFFEC" w14:textId="1A3416F2" w:rsidR="00B86A78" w:rsidRPr="00B86A78" w:rsidRDefault="00B86A78">
      <w:pPr>
        <w:pStyle w:val="FootnoteText"/>
      </w:pPr>
      <w:r>
        <w:rPr>
          <w:rStyle w:val="FootnoteReference"/>
        </w:rPr>
        <w:footnoteRef/>
      </w:r>
      <w:r>
        <w:rPr>
          <w:rFonts w:ascii="Times New Roman" w:hAnsi="Times New Roman"/>
          <w:sz w:val="18"/>
          <w:szCs w:val="18"/>
        </w:rPr>
        <w:t>Meddelelse fra Kommissionen til Europa-Parlamentet, til Rådet, Det Økonomiske og Sociale Udvalg og Regionsudvalget: Støtte til og genopbygning af Ukraine, COM/2022/233.</w:t>
      </w:r>
    </w:p>
  </w:footnote>
  <w:footnote w:id="16">
    <w:p w14:paraId="3E97F337" w14:textId="77777777" w:rsidR="00CC199B" w:rsidRPr="00F7738E" w:rsidRDefault="00CC199B">
      <w:pPr>
        <w:pStyle w:val="FootnoteText"/>
        <w:rPr>
          <w:rFonts w:asciiTheme="majorBidi" w:hAnsiTheme="majorBidi" w:cstheme="majorBidi"/>
          <w:sz w:val="18"/>
          <w:szCs w:val="18"/>
          <w:lang w:val="en-IE"/>
        </w:rPr>
      </w:pPr>
      <w:r>
        <w:rPr>
          <w:rStyle w:val="FootnoteReference"/>
          <w:rFonts w:asciiTheme="majorBidi" w:hAnsiTheme="majorBidi" w:cstheme="majorBidi"/>
          <w:sz w:val="18"/>
          <w:szCs w:val="18"/>
        </w:rPr>
        <w:footnoteRef/>
      </w:r>
      <w:r w:rsidRPr="00F7738E">
        <w:rPr>
          <w:rFonts w:asciiTheme="majorBidi" w:hAnsiTheme="majorBidi"/>
          <w:sz w:val="18"/>
          <w:szCs w:val="18"/>
          <w:lang w:val="en-IE"/>
        </w:rPr>
        <w:t xml:space="preserve"> </w:t>
      </w:r>
      <w:hyperlink r:id="rId10" w:history="1">
        <w:r w:rsidRPr="00F7738E">
          <w:rPr>
            <w:rStyle w:val="Hyperlink"/>
            <w:rFonts w:asciiTheme="majorBidi" w:hAnsiTheme="majorBidi"/>
            <w:color w:val="auto"/>
            <w:sz w:val="18"/>
            <w:szCs w:val="18"/>
            <w:lang w:val="en-IE"/>
          </w:rPr>
          <w:t>World Energy Transitions Outlook:</w:t>
        </w:r>
      </w:hyperlink>
      <w:hyperlink r:id="rId11" w:history="1">
        <w:r w:rsidRPr="00F7738E">
          <w:rPr>
            <w:rStyle w:val="Hyperlink"/>
            <w:rFonts w:asciiTheme="majorBidi" w:hAnsiTheme="majorBidi"/>
            <w:color w:val="auto"/>
            <w:sz w:val="18"/>
            <w:szCs w:val="18"/>
            <w:lang w:val="en-IE"/>
          </w:rPr>
          <w:t xml:space="preserve"> 1.5°C Pathway</w:t>
        </w:r>
      </w:hyperlink>
      <w:r w:rsidRPr="00F7738E">
        <w:rPr>
          <w:lang w:val="en-IE"/>
        </w:rPr>
        <w:t>.</w:t>
      </w:r>
    </w:p>
  </w:footnote>
  <w:footnote w:id="17">
    <w:p w14:paraId="665A4EC8" w14:textId="77777777" w:rsidR="00CC199B" w:rsidRPr="00F7738E" w:rsidRDefault="00CC199B" w:rsidP="00F350E7">
      <w:pPr>
        <w:pStyle w:val="FootnoteText"/>
        <w:rPr>
          <w:rFonts w:asciiTheme="majorBidi" w:hAnsiTheme="majorBidi" w:cstheme="majorBidi"/>
          <w:sz w:val="18"/>
          <w:szCs w:val="18"/>
          <w:lang w:val="en-IE"/>
        </w:rPr>
      </w:pPr>
      <w:r>
        <w:rPr>
          <w:rStyle w:val="FootnoteReference"/>
          <w:rFonts w:asciiTheme="majorBidi" w:hAnsiTheme="majorBidi" w:cstheme="majorBidi"/>
          <w:sz w:val="18"/>
          <w:szCs w:val="18"/>
        </w:rPr>
        <w:footnoteRef/>
      </w:r>
      <w:r w:rsidRPr="00F7738E">
        <w:rPr>
          <w:rFonts w:asciiTheme="majorBidi" w:hAnsiTheme="majorBidi"/>
          <w:sz w:val="18"/>
          <w:szCs w:val="18"/>
          <w:lang w:val="en-IE"/>
        </w:rPr>
        <w:t xml:space="preserve"> </w:t>
      </w:r>
      <w:hyperlink r:id="rId12" w:history="1">
        <w:r w:rsidRPr="00F7738E">
          <w:rPr>
            <w:rStyle w:val="Hyperlink"/>
            <w:rFonts w:asciiTheme="majorBidi" w:hAnsiTheme="majorBidi"/>
            <w:color w:val="0070C0"/>
            <w:sz w:val="18"/>
            <w:szCs w:val="18"/>
            <w:lang w:val="en-IE"/>
          </w:rPr>
          <w:t>IRENA, Global energy transformation:</w:t>
        </w:r>
      </w:hyperlink>
      <w:hyperlink r:id="rId13" w:history="1">
        <w:r w:rsidRPr="00F7738E">
          <w:rPr>
            <w:rStyle w:val="Hyperlink"/>
            <w:rFonts w:asciiTheme="majorBidi" w:hAnsiTheme="majorBidi"/>
            <w:color w:val="0070C0"/>
            <w:sz w:val="18"/>
            <w:szCs w:val="18"/>
            <w:lang w:val="en-IE"/>
          </w:rPr>
          <w:t xml:space="preserve"> a roadmap to 2050, 2019</w:t>
        </w:r>
      </w:hyperlink>
      <w:r w:rsidRPr="00F7738E">
        <w:rPr>
          <w:lang w:val="en-IE"/>
        </w:rPr>
        <w:t>.</w:t>
      </w:r>
    </w:p>
  </w:footnote>
  <w:footnote w:id="18">
    <w:p w14:paraId="20724FA9" w14:textId="17E127FA" w:rsidR="003D74A2" w:rsidRPr="003D74A2" w:rsidRDefault="003D74A2">
      <w:pPr>
        <w:pStyle w:val="FootnoteText"/>
      </w:pPr>
      <w:r>
        <w:rPr>
          <w:rStyle w:val="FootnoteReference"/>
        </w:rPr>
        <w:footnoteRef/>
      </w:r>
      <w:r>
        <w:rPr>
          <w:rFonts w:ascii="Times New Roman" w:hAnsi="Times New Roman"/>
          <w:sz w:val="18"/>
          <w:szCs w:val="18"/>
        </w:rPr>
        <w:t xml:space="preserve"> </w:t>
      </w:r>
      <w:r w:rsidRPr="00686DF7">
        <w:rPr>
          <w:rFonts w:ascii="Times New Roman" w:hAnsi="Times New Roman"/>
          <w:iCs/>
          <w:sz w:val="18"/>
          <w:szCs w:val="18"/>
        </w:rPr>
        <w:t>EU Solar Energy Strategy</w:t>
      </w:r>
      <w:r>
        <w:rPr>
          <w:rFonts w:ascii="Times New Roman" w:hAnsi="Times New Roman"/>
          <w:sz w:val="18"/>
          <w:szCs w:val="18"/>
        </w:rPr>
        <w:t xml:space="preserve"> (foreligger pt. ikke på dansk), COM/2022/221</w:t>
      </w:r>
    </w:p>
  </w:footnote>
  <w:footnote w:id="19">
    <w:p w14:paraId="318D4BA3" w14:textId="77777777" w:rsidR="00CC199B" w:rsidRPr="003C49E5" w:rsidRDefault="00CC199B" w:rsidP="008571D4">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14" w:history="1">
        <w:r>
          <w:rPr>
            <w:rStyle w:val="Hyperlink"/>
            <w:rFonts w:asciiTheme="majorBidi" w:hAnsiTheme="majorBidi"/>
            <w:color w:val="auto"/>
            <w:sz w:val="18"/>
            <w:szCs w:val="18"/>
          </w:rPr>
          <w:t>Meddelelse fra Kommissionen: Den globale tilgang til forskning og innovation (COM/2021/252 final)</w:t>
        </w:r>
      </w:hyperlink>
      <w:r>
        <w:t>.</w:t>
      </w:r>
    </w:p>
  </w:footnote>
  <w:footnote w:id="20">
    <w:p w14:paraId="149B8528" w14:textId="77777777" w:rsidR="00CC199B" w:rsidRPr="00F7738E" w:rsidRDefault="00CC199B" w:rsidP="007E0EE2">
      <w:pPr>
        <w:pStyle w:val="FootnoteText"/>
        <w:rPr>
          <w:lang w:val="en-IE"/>
        </w:rPr>
      </w:pPr>
      <w:r>
        <w:rPr>
          <w:rStyle w:val="FootnoteReference"/>
          <w:rFonts w:asciiTheme="majorBidi" w:hAnsiTheme="majorBidi" w:cstheme="majorBidi"/>
          <w:sz w:val="18"/>
          <w:szCs w:val="18"/>
        </w:rPr>
        <w:footnoteRef/>
      </w:r>
      <w:r w:rsidRPr="00F7738E">
        <w:rPr>
          <w:rFonts w:asciiTheme="majorBidi" w:hAnsiTheme="majorBidi"/>
          <w:sz w:val="18"/>
          <w:szCs w:val="18"/>
          <w:lang w:val="en-IE"/>
        </w:rPr>
        <w:t xml:space="preserve"> </w:t>
      </w:r>
      <w:hyperlink r:id="rId15" w:history="1">
        <w:r w:rsidRPr="00F7738E">
          <w:rPr>
            <w:rStyle w:val="Hyperlink"/>
            <w:rFonts w:asciiTheme="majorBidi" w:hAnsiTheme="majorBidi"/>
            <w:color w:val="auto"/>
            <w:sz w:val="18"/>
            <w:szCs w:val="18"/>
            <w:lang w:val="en-IE"/>
          </w:rPr>
          <w:t>Critical Raw Materials in Technologies and Sectors foresight, 2020</w:t>
        </w:r>
      </w:hyperlink>
      <w:r w:rsidRPr="00F7738E">
        <w:rPr>
          <w:lang w:val="en-IE"/>
        </w:rPr>
        <w:t>.</w:t>
      </w:r>
    </w:p>
  </w:footnote>
  <w:footnote w:id="21">
    <w:p w14:paraId="6A83FBF7" w14:textId="27587AFA" w:rsidR="00B86A78" w:rsidRPr="00B86A78" w:rsidRDefault="00B86A78">
      <w:pPr>
        <w:pStyle w:val="FootnoteText"/>
      </w:pPr>
      <w:r>
        <w:rPr>
          <w:rStyle w:val="FootnoteReference"/>
        </w:rPr>
        <w:footnoteRef/>
      </w:r>
      <w:r>
        <w:t xml:space="preserve"> </w:t>
      </w:r>
      <w:r>
        <w:rPr>
          <w:rFonts w:ascii="Times New Roman" w:hAnsi="Times New Roman"/>
          <w:sz w:val="18"/>
          <w:szCs w:val="18"/>
        </w:rPr>
        <w:t>Meddelelse fra Kommissionen til Europa-Parlamentet, Det Europæiske Råd, Rådet, Det Økonomiske og Sociale Udvalg og Regionsudvalget: REPowerEU-planen, COM/2022/230.</w:t>
      </w:r>
    </w:p>
  </w:footnote>
  <w:footnote w:id="22">
    <w:p w14:paraId="2D501A50" w14:textId="77777777" w:rsidR="00CC199B" w:rsidRPr="0008780D" w:rsidRDefault="00CC199B" w:rsidP="00700D06">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16" w:history="1">
        <w:r>
          <w:rPr>
            <w:rStyle w:val="Hyperlink"/>
            <w:rFonts w:asciiTheme="majorBidi" w:hAnsiTheme="majorBidi"/>
            <w:color w:val="auto"/>
            <w:sz w:val="18"/>
            <w:szCs w:val="18"/>
          </w:rPr>
          <w:t>Oversigt over EU's foranstaltninger, der skal gøre bæredygtige produkter til normen i EU</w:t>
        </w:r>
      </w:hyperlink>
      <w:r>
        <w:t>.</w:t>
      </w:r>
    </w:p>
    <w:p w14:paraId="750E2D2D" w14:textId="6DCAFD6E" w:rsidR="00CC199B" w:rsidRPr="0008700E" w:rsidRDefault="00CC199B" w:rsidP="00700D06">
      <w:pPr>
        <w:pStyle w:val="FootnoteText"/>
      </w:pPr>
    </w:p>
  </w:footnote>
  <w:footnote w:id="23">
    <w:p w14:paraId="3BE80771" w14:textId="1D564AB2" w:rsidR="00CC199B" w:rsidRPr="0008780D" w:rsidRDefault="00CC199B" w:rsidP="00136687">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Fælles meddelelse til Europa-Parlamentet og Rådet om et strategisk partnerskab med Golfstaterne (JOIN/13/2/2022).</w:t>
      </w:r>
    </w:p>
  </w:footnote>
  <w:footnote w:id="24">
    <w:p w14:paraId="4F7249B3" w14:textId="77777777" w:rsidR="00CC199B" w:rsidRPr="00831FCC" w:rsidRDefault="00CC199B">
      <w:pPr>
        <w:pStyle w:val="FootnoteText"/>
        <w:rPr>
          <w:rFonts w:cstheme="minorHAnsi"/>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17" w:history="1">
        <w:r>
          <w:rPr>
            <w:rStyle w:val="Hyperlink"/>
            <w:rFonts w:asciiTheme="majorBidi" w:hAnsiTheme="majorBidi"/>
            <w:color w:val="auto"/>
            <w:sz w:val="18"/>
            <w:szCs w:val="18"/>
          </w:rPr>
          <w:t>Fælles meddelelse til Europa-Parlamentet og Rådet om styrkelse af EU's bidrag til regelbaseret multilateralisme</w:t>
        </w:r>
      </w:hyperlink>
      <w:r>
        <w:rPr>
          <w:rFonts w:asciiTheme="majorBidi" w:hAnsiTheme="majorBidi"/>
          <w:sz w:val="18"/>
          <w:szCs w:val="18"/>
        </w:rPr>
        <w:t xml:space="preserve"> (JOIN/2021/3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32A1F" w14:textId="77777777" w:rsidR="000D323C" w:rsidRPr="000D323C" w:rsidRDefault="000D323C" w:rsidP="000D3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8AFFB" w14:textId="77777777" w:rsidR="000D323C" w:rsidRPr="000D323C" w:rsidRDefault="000D323C" w:rsidP="000D323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D740" w14:textId="77777777" w:rsidR="000D323C" w:rsidRPr="000D323C" w:rsidRDefault="000D323C" w:rsidP="000D323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83A83" w14:textId="77777777" w:rsidR="00CC199B" w:rsidRDefault="00CC1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2D6E" w14:textId="77777777" w:rsidR="00CC199B" w:rsidRDefault="00CC19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820C" w14:textId="77777777" w:rsidR="00CC199B" w:rsidRDefault="00CC1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4971"/>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F6E"/>
    <w:multiLevelType w:val="hybridMultilevel"/>
    <w:tmpl w:val="E14A8CC0"/>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B7624B"/>
    <w:multiLevelType w:val="hybridMultilevel"/>
    <w:tmpl w:val="AD04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D7842"/>
    <w:multiLevelType w:val="multilevel"/>
    <w:tmpl w:val="A2BE0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B0C16"/>
    <w:multiLevelType w:val="hybridMultilevel"/>
    <w:tmpl w:val="A3486C18"/>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073D9"/>
    <w:multiLevelType w:val="hybridMultilevel"/>
    <w:tmpl w:val="17347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C405E5"/>
    <w:multiLevelType w:val="hybridMultilevel"/>
    <w:tmpl w:val="92CAC1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E22DEC"/>
    <w:multiLevelType w:val="hybridMultilevel"/>
    <w:tmpl w:val="16FABCCC"/>
    <w:lvl w:ilvl="0" w:tplc="E45A126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B7D068E"/>
    <w:multiLevelType w:val="hybridMultilevel"/>
    <w:tmpl w:val="F126F4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73A95"/>
    <w:multiLevelType w:val="hybridMultilevel"/>
    <w:tmpl w:val="2E6A0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0D7195"/>
    <w:multiLevelType w:val="hybridMultilevel"/>
    <w:tmpl w:val="535C73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5E4D67"/>
    <w:multiLevelType w:val="hybridMultilevel"/>
    <w:tmpl w:val="390E4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E90CFC"/>
    <w:multiLevelType w:val="hybridMultilevel"/>
    <w:tmpl w:val="A0AC64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822417"/>
    <w:multiLevelType w:val="hybridMultilevel"/>
    <w:tmpl w:val="4E78C4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68A38C6"/>
    <w:multiLevelType w:val="hybridMultilevel"/>
    <w:tmpl w:val="2264A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D21D2"/>
    <w:multiLevelType w:val="hybridMultilevel"/>
    <w:tmpl w:val="7A2C9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A84850"/>
    <w:multiLevelType w:val="hybridMultilevel"/>
    <w:tmpl w:val="DC3A2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5C16CC9"/>
    <w:multiLevelType w:val="hybridMultilevel"/>
    <w:tmpl w:val="F5F8DF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A0167E"/>
    <w:multiLevelType w:val="hybridMultilevel"/>
    <w:tmpl w:val="25FA62EC"/>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A528F3"/>
    <w:multiLevelType w:val="hybridMultilevel"/>
    <w:tmpl w:val="3DC8A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6C007B"/>
    <w:multiLevelType w:val="hybridMultilevel"/>
    <w:tmpl w:val="1D5E24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7B4F6B87"/>
    <w:multiLevelType w:val="hybridMultilevel"/>
    <w:tmpl w:val="BE38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F435F"/>
    <w:multiLevelType w:val="multilevel"/>
    <w:tmpl w:val="BF8CDDBC"/>
    <w:lvl w:ilvl="0">
      <w:start w:val="2"/>
      <w:numFmt w:val="decimal"/>
      <w:lvlText w:val="%1"/>
      <w:lvlJc w:val="left"/>
      <w:pPr>
        <w:ind w:left="360" w:hanging="360"/>
      </w:pPr>
      <w:rPr>
        <w:rFonts w:asciiTheme="minorHAnsi" w:eastAsiaTheme="minorHAnsi" w:hAnsiTheme="minorHAnsi" w:cstheme="minorBidi" w:hint="default"/>
        <w:color w:val="auto"/>
      </w:rPr>
    </w:lvl>
    <w:lvl w:ilvl="1">
      <w:start w:val="4"/>
      <w:numFmt w:val="decimal"/>
      <w:lvlText w:val="%1.%2"/>
      <w:lvlJc w:val="left"/>
      <w:pPr>
        <w:ind w:left="360" w:hanging="360"/>
      </w:pPr>
      <w:rPr>
        <w:rFonts w:asciiTheme="minorHAnsi" w:eastAsiaTheme="minorHAnsi" w:hAnsiTheme="minorHAnsi" w:cstheme="minorBidi"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720" w:hanging="720"/>
      </w:pPr>
      <w:rPr>
        <w:rFonts w:asciiTheme="minorHAnsi" w:eastAsiaTheme="minorHAnsi" w:hAnsiTheme="minorHAnsi" w:cstheme="minorBidi" w:hint="default"/>
        <w:color w:val="auto"/>
      </w:rPr>
    </w:lvl>
    <w:lvl w:ilvl="4">
      <w:start w:val="1"/>
      <w:numFmt w:val="decimal"/>
      <w:lvlText w:val="%1.%2.%3.%4.%5"/>
      <w:lvlJc w:val="left"/>
      <w:pPr>
        <w:ind w:left="1080" w:hanging="1080"/>
      </w:pPr>
      <w:rPr>
        <w:rFonts w:asciiTheme="minorHAnsi" w:eastAsiaTheme="minorHAnsi" w:hAnsiTheme="minorHAnsi" w:cstheme="minorBidi" w:hint="default"/>
        <w:color w:val="auto"/>
      </w:rPr>
    </w:lvl>
    <w:lvl w:ilvl="5">
      <w:start w:val="1"/>
      <w:numFmt w:val="decimal"/>
      <w:lvlText w:val="%1.%2.%3.%4.%5.%6"/>
      <w:lvlJc w:val="left"/>
      <w:pPr>
        <w:ind w:left="1080" w:hanging="1080"/>
      </w:pPr>
      <w:rPr>
        <w:rFonts w:asciiTheme="minorHAnsi" w:eastAsiaTheme="minorHAnsi" w:hAnsiTheme="minorHAnsi" w:cstheme="minorBidi" w:hint="default"/>
        <w:color w:val="auto"/>
      </w:rPr>
    </w:lvl>
    <w:lvl w:ilvl="6">
      <w:start w:val="1"/>
      <w:numFmt w:val="decimal"/>
      <w:lvlText w:val="%1.%2.%3.%4.%5.%6.%7"/>
      <w:lvlJc w:val="left"/>
      <w:pPr>
        <w:ind w:left="1440" w:hanging="1440"/>
      </w:pPr>
      <w:rPr>
        <w:rFonts w:asciiTheme="minorHAnsi" w:eastAsiaTheme="minorHAnsi" w:hAnsiTheme="minorHAnsi" w:cstheme="minorBidi" w:hint="default"/>
        <w:color w:val="auto"/>
      </w:rPr>
    </w:lvl>
    <w:lvl w:ilvl="7">
      <w:start w:val="1"/>
      <w:numFmt w:val="decimal"/>
      <w:lvlText w:val="%1.%2.%3.%4.%5.%6.%7.%8"/>
      <w:lvlJc w:val="left"/>
      <w:pPr>
        <w:ind w:left="1440" w:hanging="1440"/>
      </w:pPr>
      <w:rPr>
        <w:rFonts w:asciiTheme="minorHAnsi" w:eastAsiaTheme="minorHAnsi" w:hAnsiTheme="minorHAnsi" w:cstheme="minorBidi" w:hint="default"/>
        <w:color w:val="auto"/>
      </w:rPr>
    </w:lvl>
    <w:lvl w:ilvl="8">
      <w:start w:val="1"/>
      <w:numFmt w:val="decimal"/>
      <w:lvlText w:val="%1.%2.%3.%4.%5.%6.%7.%8.%9"/>
      <w:lvlJc w:val="left"/>
      <w:pPr>
        <w:ind w:left="1800" w:hanging="1800"/>
      </w:pPr>
      <w:rPr>
        <w:rFonts w:asciiTheme="minorHAnsi" w:eastAsiaTheme="minorHAnsi" w:hAnsiTheme="minorHAnsi" w:cstheme="minorBidi" w:hint="default"/>
        <w:color w:val="auto"/>
      </w:rPr>
    </w:lvl>
  </w:abstractNum>
  <w:num w:numId="1">
    <w:abstractNumId w:val="0"/>
  </w:num>
  <w:num w:numId="2">
    <w:abstractNumId w:val="3"/>
  </w:num>
  <w:num w:numId="3">
    <w:abstractNumId w:val="17"/>
  </w:num>
  <w:num w:numId="4">
    <w:abstractNumId w:val="13"/>
  </w:num>
  <w:num w:numId="5">
    <w:abstractNumId w:val="15"/>
  </w:num>
  <w:num w:numId="6">
    <w:abstractNumId w:val="9"/>
  </w:num>
  <w:num w:numId="7">
    <w:abstractNumId w:val="10"/>
  </w:num>
  <w:num w:numId="8">
    <w:abstractNumId w:val="6"/>
  </w:num>
  <w:num w:numId="9">
    <w:abstractNumId w:val="20"/>
  </w:num>
  <w:num w:numId="10">
    <w:abstractNumId w:val="16"/>
  </w:num>
  <w:num w:numId="11">
    <w:abstractNumId w:val="11"/>
  </w:num>
  <w:num w:numId="12">
    <w:abstractNumId w:val="4"/>
  </w:num>
  <w:num w:numId="13">
    <w:abstractNumId w:val="21"/>
  </w:num>
  <w:num w:numId="14">
    <w:abstractNumId w:val="22"/>
  </w:num>
  <w:num w:numId="15">
    <w:abstractNumId w:val="5"/>
  </w:num>
  <w:num w:numId="16">
    <w:abstractNumId w:val="8"/>
  </w:num>
  <w:num w:numId="17">
    <w:abstractNumId w:val="2"/>
  </w:num>
  <w:num w:numId="18">
    <w:abstractNumId w:val="18"/>
  </w:num>
  <w:num w:numId="19">
    <w:abstractNumId w:val="1"/>
  </w:num>
  <w:num w:numId="20">
    <w:abstractNumId w:val="12"/>
  </w:num>
  <w:num w:numId="21">
    <w:abstractNumId w:val="7"/>
  </w:num>
  <w:num w:numId="22">
    <w:abstractNumId w:val="14"/>
  </w:num>
  <w:num w:numId="23">
    <w:abstractNumId w:val="13"/>
  </w:num>
  <w:num w:numId="2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de-DE"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de-AT" w:vendorID="64" w:dllVersion="6" w:nlCheck="1" w:checkStyle="0"/>
  <w:activeWritingStyle w:appName="MSWord" w:lang="de-D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a-DK" w:vendorID="64" w:dllVersion="131078" w:nlCheck="1" w:checkStyle="0"/>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E1FF2FE-E910-4150-A01C-643721DBA93C"/>
    <w:docVar w:name="LW_COVERPAGE_TYPE" w:val="1"/>
    <w:docVar w:name="LW_CROSSREFERENCE" w:val="{SWD(2022) 152 final}"/>
    <w:docVar w:name="LW_DocType" w:val="NORMAL"/>
    <w:docVar w:name="LW_EMISSION" w:val="18.5.2022"/>
    <w:docVar w:name="LW_EMISSION_ISODATE" w:val="2022-05-18"/>
    <w:docVar w:name="LW_EMISSION_LOCATION" w:val="BRX"/>
    <w:docVar w:name="LW_EMISSION_PREFIX" w:val="Bruxelles, den "/>
    <w:docVar w:name="LW_EMISSION_SUFFIX" w:val=" "/>
    <w:docVar w:name="LW_ID_DOCTYPE_NONLW" w:val="CP-016"/>
    <w:docVar w:name="LW_LANGUE" w:val="DA"/>
    <w:docVar w:name="LW_LEVEL_OF_SENSITIVITY" w:val="Standard treatment"/>
    <w:docVar w:name="LW_NOM.INST" w:val="EUROPA-KOMMISSIONEN"/>
    <w:docVar w:name="LW_NOM.INST_JOINTDOC" w:val="UNIONENS HØJTSTÅENDE _x000b_REPRÆSENTANT FOR _x000b_ UDENRIGSANLIGGENDER_x000b_OG SIKKERHEDSPOLITIK"/>
    <w:docVar w:name="LW_PART_NBR" w:val="1"/>
    <w:docVar w:name="LW_PART_NBR_TOTAL" w:val="1"/>
    <w:docVar w:name="LW_REF.INST.NEW" w:val="JOIN"/>
    <w:docVar w:name="LW_REF.INST.NEW_ADOPTED" w:val="final"/>
    <w:docVar w:name="LW_REF.INST.NEW_TEXT" w:val="(2022) 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s eksterne engagement på energiområdet i en verden i forandring"/>
    <w:docVar w:name="LW_TYPE.DOC.CP" w:val="FÆLLES MEDDELELSE TIL EUROPA-PARLAMENTET, RÅDET, DET EUROPÆISKE ØKONOMISKE OG SOCIALE UDVALG OG REGIONSUDVALGET"/>
    <w:docVar w:name="LW_TYPE.DOC.CP.USERTEXT" w:val="&lt;EMPTY&gt;"/>
    <w:docVar w:name="LwApiVersions" w:val="LW4CoDe 1.23.2.0; LW 8.0, Build 20211117"/>
  </w:docVars>
  <w:rsids>
    <w:rsidRoot w:val="00CA53FB"/>
    <w:rsid w:val="000028B6"/>
    <w:rsid w:val="00002C9A"/>
    <w:rsid w:val="00003F9A"/>
    <w:rsid w:val="0000485D"/>
    <w:rsid w:val="00005711"/>
    <w:rsid w:val="00005747"/>
    <w:rsid w:val="000057F0"/>
    <w:rsid w:val="000065FD"/>
    <w:rsid w:val="00006D6E"/>
    <w:rsid w:val="00006E69"/>
    <w:rsid w:val="00007CBB"/>
    <w:rsid w:val="00012005"/>
    <w:rsid w:val="000130C5"/>
    <w:rsid w:val="0001420F"/>
    <w:rsid w:val="000151D8"/>
    <w:rsid w:val="00015B9E"/>
    <w:rsid w:val="00016855"/>
    <w:rsid w:val="00021D51"/>
    <w:rsid w:val="00021EBE"/>
    <w:rsid w:val="0002414F"/>
    <w:rsid w:val="00024618"/>
    <w:rsid w:val="0002574F"/>
    <w:rsid w:val="00026460"/>
    <w:rsid w:val="00027B3A"/>
    <w:rsid w:val="00030742"/>
    <w:rsid w:val="0003136C"/>
    <w:rsid w:val="00031DCC"/>
    <w:rsid w:val="000327CC"/>
    <w:rsid w:val="00032FBE"/>
    <w:rsid w:val="000337BD"/>
    <w:rsid w:val="00034144"/>
    <w:rsid w:val="00034E06"/>
    <w:rsid w:val="00035AC5"/>
    <w:rsid w:val="00035BD5"/>
    <w:rsid w:val="00035E17"/>
    <w:rsid w:val="00037475"/>
    <w:rsid w:val="00040695"/>
    <w:rsid w:val="00044538"/>
    <w:rsid w:val="000447F5"/>
    <w:rsid w:val="00044ACB"/>
    <w:rsid w:val="0004535C"/>
    <w:rsid w:val="00047CEE"/>
    <w:rsid w:val="00050ECC"/>
    <w:rsid w:val="00051D28"/>
    <w:rsid w:val="00054CEE"/>
    <w:rsid w:val="00055287"/>
    <w:rsid w:val="00055C48"/>
    <w:rsid w:val="00055DE7"/>
    <w:rsid w:val="0005670C"/>
    <w:rsid w:val="000571E2"/>
    <w:rsid w:val="00057DC4"/>
    <w:rsid w:val="000618C8"/>
    <w:rsid w:val="00062DE9"/>
    <w:rsid w:val="00062EBF"/>
    <w:rsid w:val="0007226A"/>
    <w:rsid w:val="000730AD"/>
    <w:rsid w:val="0007456F"/>
    <w:rsid w:val="00074992"/>
    <w:rsid w:val="000751F9"/>
    <w:rsid w:val="00075F77"/>
    <w:rsid w:val="00076541"/>
    <w:rsid w:val="000769B3"/>
    <w:rsid w:val="00076B1E"/>
    <w:rsid w:val="00077249"/>
    <w:rsid w:val="0007724C"/>
    <w:rsid w:val="000775F9"/>
    <w:rsid w:val="00080747"/>
    <w:rsid w:val="00080A98"/>
    <w:rsid w:val="0008238E"/>
    <w:rsid w:val="00083157"/>
    <w:rsid w:val="00083245"/>
    <w:rsid w:val="000845A0"/>
    <w:rsid w:val="00084F4B"/>
    <w:rsid w:val="000853DA"/>
    <w:rsid w:val="00085622"/>
    <w:rsid w:val="00086225"/>
    <w:rsid w:val="0008780D"/>
    <w:rsid w:val="00090100"/>
    <w:rsid w:val="00091160"/>
    <w:rsid w:val="00092DF5"/>
    <w:rsid w:val="00094D1E"/>
    <w:rsid w:val="0009606D"/>
    <w:rsid w:val="00096E58"/>
    <w:rsid w:val="0009765F"/>
    <w:rsid w:val="000A201C"/>
    <w:rsid w:val="000A4291"/>
    <w:rsid w:val="000A4F4D"/>
    <w:rsid w:val="000A5863"/>
    <w:rsid w:val="000A5EE6"/>
    <w:rsid w:val="000B13E1"/>
    <w:rsid w:val="000B2E86"/>
    <w:rsid w:val="000B2FC8"/>
    <w:rsid w:val="000B34E2"/>
    <w:rsid w:val="000B66F0"/>
    <w:rsid w:val="000B71D3"/>
    <w:rsid w:val="000B7687"/>
    <w:rsid w:val="000B7C63"/>
    <w:rsid w:val="000C2B91"/>
    <w:rsid w:val="000C4ACC"/>
    <w:rsid w:val="000C4DB9"/>
    <w:rsid w:val="000C517D"/>
    <w:rsid w:val="000C5519"/>
    <w:rsid w:val="000C72F4"/>
    <w:rsid w:val="000C7B4F"/>
    <w:rsid w:val="000C7BDF"/>
    <w:rsid w:val="000C7CC0"/>
    <w:rsid w:val="000C7F4F"/>
    <w:rsid w:val="000D0082"/>
    <w:rsid w:val="000D27E7"/>
    <w:rsid w:val="000D2B91"/>
    <w:rsid w:val="000D3002"/>
    <w:rsid w:val="000D323C"/>
    <w:rsid w:val="000D3D89"/>
    <w:rsid w:val="000D4F71"/>
    <w:rsid w:val="000D5781"/>
    <w:rsid w:val="000D5D09"/>
    <w:rsid w:val="000D7D5F"/>
    <w:rsid w:val="000D7F90"/>
    <w:rsid w:val="000E1272"/>
    <w:rsid w:val="000E2BD1"/>
    <w:rsid w:val="000E2C79"/>
    <w:rsid w:val="000E2D0D"/>
    <w:rsid w:val="000E2D53"/>
    <w:rsid w:val="000E2EA3"/>
    <w:rsid w:val="000E3069"/>
    <w:rsid w:val="000E30D7"/>
    <w:rsid w:val="000E3354"/>
    <w:rsid w:val="000E49EA"/>
    <w:rsid w:val="000E57AA"/>
    <w:rsid w:val="000F092A"/>
    <w:rsid w:val="000F102C"/>
    <w:rsid w:val="000F448C"/>
    <w:rsid w:val="000F512C"/>
    <w:rsid w:val="000F512D"/>
    <w:rsid w:val="000F6BF6"/>
    <w:rsid w:val="000F6CD1"/>
    <w:rsid w:val="000F7327"/>
    <w:rsid w:val="000F7C26"/>
    <w:rsid w:val="00100BDD"/>
    <w:rsid w:val="001011B9"/>
    <w:rsid w:val="0010162E"/>
    <w:rsid w:val="0010269E"/>
    <w:rsid w:val="00103D1C"/>
    <w:rsid w:val="001065F7"/>
    <w:rsid w:val="0010774B"/>
    <w:rsid w:val="001102F9"/>
    <w:rsid w:val="001124F1"/>
    <w:rsid w:val="00113898"/>
    <w:rsid w:val="00113CB1"/>
    <w:rsid w:val="00113F12"/>
    <w:rsid w:val="00114A28"/>
    <w:rsid w:val="00114A9B"/>
    <w:rsid w:val="00115EDC"/>
    <w:rsid w:val="00115F63"/>
    <w:rsid w:val="0011640D"/>
    <w:rsid w:val="0011667E"/>
    <w:rsid w:val="00116AA1"/>
    <w:rsid w:val="001175D8"/>
    <w:rsid w:val="0012081A"/>
    <w:rsid w:val="00121BD3"/>
    <w:rsid w:val="00122E0A"/>
    <w:rsid w:val="001235D7"/>
    <w:rsid w:val="00123885"/>
    <w:rsid w:val="00123BB4"/>
    <w:rsid w:val="0012439B"/>
    <w:rsid w:val="001257AE"/>
    <w:rsid w:val="001257D7"/>
    <w:rsid w:val="00127637"/>
    <w:rsid w:val="00130240"/>
    <w:rsid w:val="00130DC6"/>
    <w:rsid w:val="00131694"/>
    <w:rsid w:val="00131A7D"/>
    <w:rsid w:val="00132089"/>
    <w:rsid w:val="001335EA"/>
    <w:rsid w:val="00133B91"/>
    <w:rsid w:val="00135382"/>
    <w:rsid w:val="0013624D"/>
    <w:rsid w:val="00136687"/>
    <w:rsid w:val="0014032C"/>
    <w:rsid w:val="001408F2"/>
    <w:rsid w:val="0014190A"/>
    <w:rsid w:val="0014302F"/>
    <w:rsid w:val="001434BC"/>
    <w:rsid w:val="00143816"/>
    <w:rsid w:val="00143B51"/>
    <w:rsid w:val="00143D8C"/>
    <w:rsid w:val="00145D3A"/>
    <w:rsid w:val="0014650B"/>
    <w:rsid w:val="001466FD"/>
    <w:rsid w:val="00146BDD"/>
    <w:rsid w:val="00147BA5"/>
    <w:rsid w:val="001500AF"/>
    <w:rsid w:val="0015258A"/>
    <w:rsid w:val="00152725"/>
    <w:rsid w:val="00152795"/>
    <w:rsid w:val="001527CC"/>
    <w:rsid w:val="001536F0"/>
    <w:rsid w:val="001538CB"/>
    <w:rsid w:val="00153947"/>
    <w:rsid w:val="001539AA"/>
    <w:rsid w:val="00153C48"/>
    <w:rsid w:val="00154C87"/>
    <w:rsid w:val="00154EA1"/>
    <w:rsid w:val="0015605C"/>
    <w:rsid w:val="00156353"/>
    <w:rsid w:val="00156418"/>
    <w:rsid w:val="00156C36"/>
    <w:rsid w:val="00156E16"/>
    <w:rsid w:val="0015704C"/>
    <w:rsid w:val="0016237E"/>
    <w:rsid w:val="00162D20"/>
    <w:rsid w:val="00162E0D"/>
    <w:rsid w:val="00163C3C"/>
    <w:rsid w:val="00163D99"/>
    <w:rsid w:val="001645B4"/>
    <w:rsid w:val="00165489"/>
    <w:rsid w:val="00165F82"/>
    <w:rsid w:val="00165FD2"/>
    <w:rsid w:val="00166BF2"/>
    <w:rsid w:val="00166CC0"/>
    <w:rsid w:val="00170453"/>
    <w:rsid w:val="00171233"/>
    <w:rsid w:val="00173000"/>
    <w:rsid w:val="001743D7"/>
    <w:rsid w:val="0017478E"/>
    <w:rsid w:val="001749F7"/>
    <w:rsid w:val="001751A4"/>
    <w:rsid w:val="00175C4F"/>
    <w:rsid w:val="00175D17"/>
    <w:rsid w:val="00175F5B"/>
    <w:rsid w:val="001760D2"/>
    <w:rsid w:val="001766C1"/>
    <w:rsid w:val="00180018"/>
    <w:rsid w:val="00180972"/>
    <w:rsid w:val="00180C4A"/>
    <w:rsid w:val="00181028"/>
    <w:rsid w:val="00182057"/>
    <w:rsid w:val="00182B99"/>
    <w:rsid w:val="00183110"/>
    <w:rsid w:val="00183765"/>
    <w:rsid w:val="00183927"/>
    <w:rsid w:val="001844FC"/>
    <w:rsid w:val="0018495B"/>
    <w:rsid w:val="001851CB"/>
    <w:rsid w:val="00185D1E"/>
    <w:rsid w:val="0018767E"/>
    <w:rsid w:val="00190BE8"/>
    <w:rsid w:val="001928B9"/>
    <w:rsid w:val="001929A4"/>
    <w:rsid w:val="00193A5D"/>
    <w:rsid w:val="001962E9"/>
    <w:rsid w:val="00197297"/>
    <w:rsid w:val="00197B9A"/>
    <w:rsid w:val="001A1EE6"/>
    <w:rsid w:val="001A2CB2"/>
    <w:rsid w:val="001A4B89"/>
    <w:rsid w:val="001A5056"/>
    <w:rsid w:val="001A57C3"/>
    <w:rsid w:val="001A5EB9"/>
    <w:rsid w:val="001A643C"/>
    <w:rsid w:val="001A64B9"/>
    <w:rsid w:val="001B0E45"/>
    <w:rsid w:val="001B3101"/>
    <w:rsid w:val="001B377A"/>
    <w:rsid w:val="001B3E49"/>
    <w:rsid w:val="001B4019"/>
    <w:rsid w:val="001B4C62"/>
    <w:rsid w:val="001B55DB"/>
    <w:rsid w:val="001B57AB"/>
    <w:rsid w:val="001B75D4"/>
    <w:rsid w:val="001B79FA"/>
    <w:rsid w:val="001C143A"/>
    <w:rsid w:val="001C1F3F"/>
    <w:rsid w:val="001C22BD"/>
    <w:rsid w:val="001C2422"/>
    <w:rsid w:val="001C3CFB"/>
    <w:rsid w:val="001C5BD7"/>
    <w:rsid w:val="001C5F85"/>
    <w:rsid w:val="001C76B7"/>
    <w:rsid w:val="001D0169"/>
    <w:rsid w:val="001D104A"/>
    <w:rsid w:val="001D1B89"/>
    <w:rsid w:val="001D1F58"/>
    <w:rsid w:val="001D22B6"/>
    <w:rsid w:val="001D3915"/>
    <w:rsid w:val="001D4491"/>
    <w:rsid w:val="001D54AD"/>
    <w:rsid w:val="001D556B"/>
    <w:rsid w:val="001D59B1"/>
    <w:rsid w:val="001D5A46"/>
    <w:rsid w:val="001D5EB4"/>
    <w:rsid w:val="001D6D8D"/>
    <w:rsid w:val="001D73E6"/>
    <w:rsid w:val="001D7EC1"/>
    <w:rsid w:val="001E026B"/>
    <w:rsid w:val="001E0676"/>
    <w:rsid w:val="001E1280"/>
    <w:rsid w:val="001E2174"/>
    <w:rsid w:val="001E23E8"/>
    <w:rsid w:val="001E4CEC"/>
    <w:rsid w:val="001E5A85"/>
    <w:rsid w:val="001E6E74"/>
    <w:rsid w:val="001E7A2E"/>
    <w:rsid w:val="001F0A8C"/>
    <w:rsid w:val="001F0AD4"/>
    <w:rsid w:val="001F0CDD"/>
    <w:rsid w:val="001F172F"/>
    <w:rsid w:val="001F262C"/>
    <w:rsid w:val="001F33BF"/>
    <w:rsid w:val="001F5821"/>
    <w:rsid w:val="001F5C6C"/>
    <w:rsid w:val="001F5E00"/>
    <w:rsid w:val="001F5E34"/>
    <w:rsid w:val="001F7C53"/>
    <w:rsid w:val="001F7E9F"/>
    <w:rsid w:val="0020089C"/>
    <w:rsid w:val="00201E9E"/>
    <w:rsid w:val="0020472A"/>
    <w:rsid w:val="00204D2A"/>
    <w:rsid w:val="00205C0B"/>
    <w:rsid w:val="00206BF9"/>
    <w:rsid w:val="00212D3F"/>
    <w:rsid w:val="002152F9"/>
    <w:rsid w:val="00215D48"/>
    <w:rsid w:val="0021700A"/>
    <w:rsid w:val="002170E7"/>
    <w:rsid w:val="002172E3"/>
    <w:rsid w:val="002205C9"/>
    <w:rsid w:val="002209F4"/>
    <w:rsid w:val="00220A54"/>
    <w:rsid w:val="00220D26"/>
    <w:rsid w:val="00220D99"/>
    <w:rsid w:val="00221E7E"/>
    <w:rsid w:val="0022207E"/>
    <w:rsid w:val="00222541"/>
    <w:rsid w:val="00223480"/>
    <w:rsid w:val="00224264"/>
    <w:rsid w:val="00224A45"/>
    <w:rsid w:val="00224E6A"/>
    <w:rsid w:val="0022740C"/>
    <w:rsid w:val="002276AB"/>
    <w:rsid w:val="002302A1"/>
    <w:rsid w:val="002306E8"/>
    <w:rsid w:val="00231672"/>
    <w:rsid w:val="002318D2"/>
    <w:rsid w:val="00232018"/>
    <w:rsid w:val="00233438"/>
    <w:rsid w:val="002336B1"/>
    <w:rsid w:val="00233DAB"/>
    <w:rsid w:val="0023590E"/>
    <w:rsid w:val="00236F51"/>
    <w:rsid w:val="00240112"/>
    <w:rsid w:val="00240AE6"/>
    <w:rsid w:val="00240F03"/>
    <w:rsid w:val="002416D2"/>
    <w:rsid w:val="002419D4"/>
    <w:rsid w:val="00241DC3"/>
    <w:rsid w:val="002425BA"/>
    <w:rsid w:val="00246057"/>
    <w:rsid w:val="00246265"/>
    <w:rsid w:val="0024650C"/>
    <w:rsid w:val="0024791A"/>
    <w:rsid w:val="002505FB"/>
    <w:rsid w:val="00250E59"/>
    <w:rsid w:val="00251CED"/>
    <w:rsid w:val="00251EBF"/>
    <w:rsid w:val="002529F3"/>
    <w:rsid w:val="00252EED"/>
    <w:rsid w:val="00253B78"/>
    <w:rsid w:val="00253FD1"/>
    <w:rsid w:val="00255677"/>
    <w:rsid w:val="00255CEB"/>
    <w:rsid w:val="002567E9"/>
    <w:rsid w:val="00257974"/>
    <w:rsid w:val="00260333"/>
    <w:rsid w:val="002604C2"/>
    <w:rsid w:val="00261471"/>
    <w:rsid w:val="002617B6"/>
    <w:rsid w:val="00261DD6"/>
    <w:rsid w:val="002629DC"/>
    <w:rsid w:val="0026480C"/>
    <w:rsid w:val="0026500B"/>
    <w:rsid w:val="00266C1D"/>
    <w:rsid w:val="00267382"/>
    <w:rsid w:val="002679FA"/>
    <w:rsid w:val="002718EC"/>
    <w:rsid w:val="00271B69"/>
    <w:rsid w:val="00272368"/>
    <w:rsid w:val="00273391"/>
    <w:rsid w:val="002744CF"/>
    <w:rsid w:val="0027461F"/>
    <w:rsid w:val="00275973"/>
    <w:rsid w:val="002759C0"/>
    <w:rsid w:val="0027607C"/>
    <w:rsid w:val="00276D33"/>
    <w:rsid w:val="00277033"/>
    <w:rsid w:val="00277490"/>
    <w:rsid w:val="00280503"/>
    <w:rsid w:val="002815EA"/>
    <w:rsid w:val="002816E8"/>
    <w:rsid w:val="002838E8"/>
    <w:rsid w:val="00287370"/>
    <w:rsid w:val="0028770D"/>
    <w:rsid w:val="00287AE4"/>
    <w:rsid w:val="00291054"/>
    <w:rsid w:val="00291D43"/>
    <w:rsid w:val="00291FFB"/>
    <w:rsid w:val="002924CD"/>
    <w:rsid w:val="00292A29"/>
    <w:rsid w:val="00292C56"/>
    <w:rsid w:val="0029406D"/>
    <w:rsid w:val="0029458D"/>
    <w:rsid w:val="00294F39"/>
    <w:rsid w:val="002953B8"/>
    <w:rsid w:val="00296279"/>
    <w:rsid w:val="00296BD9"/>
    <w:rsid w:val="00297472"/>
    <w:rsid w:val="002A0855"/>
    <w:rsid w:val="002A0F75"/>
    <w:rsid w:val="002A119A"/>
    <w:rsid w:val="002A51C4"/>
    <w:rsid w:val="002A5743"/>
    <w:rsid w:val="002A626D"/>
    <w:rsid w:val="002B1F42"/>
    <w:rsid w:val="002B3814"/>
    <w:rsid w:val="002B4D6F"/>
    <w:rsid w:val="002B5CE4"/>
    <w:rsid w:val="002C04C4"/>
    <w:rsid w:val="002C0649"/>
    <w:rsid w:val="002C1A6C"/>
    <w:rsid w:val="002C2D3E"/>
    <w:rsid w:val="002C5C39"/>
    <w:rsid w:val="002C6231"/>
    <w:rsid w:val="002C6CB3"/>
    <w:rsid w:val="002C734D"/>
    <w:rsid w:val="002D04E6"/>
    <w:rsid w:val="002D1964"/>
    <w:rsid w:val="002D2BB6"/>
    <w:rsid w:val="002D30B3"/>
    <w:rsid w:val="002D40C4"/>
    <w:rsid w:val="002D481D"/>
    <w:rsid w:val="002D5AA4"/>
    <w:rsid w:val="002D6094"/>
    <w:rsid w:val="002D6146"/>
    <w:rsid w:val="002E1548"/>
    <w:rsid w:val="002E188F"/>
    <w:rsid w:val="002E3232"/>
    <w:rsid w:val="002E3397"/>
    <w:rsid w:val="002E6CAD"/>
    <w:rsid w:val="002E778B"/>
    <w:rsid w:val="002E7924"/>
    <w:rsid w:val="002E7E34"/>
    <w:rsid w:val="002F043D"/>
    <w:rsid w:val="002F12BE"/>
    <w:rsid w:val="002F271F"/>
    <w:rsid w:val="002F3B4B"/>
    <w:rsid w:val="002F412E"/>
    <w:rsid w:val="002F4955"/>
    <w:rsid w:val="002F4B5C"/>
    <w:rsid w:val="002F4C50"/>
    <w:rsid w:val="002F5FC8"/>
    <w:rsid w:val="002F6299"/>
    <w:rsid w:val="002F7436"/>
    <w:rsid w:val="002F7BCF"/>
    <w:rsid w:val="00300E14"/>
    <w:rsid w:val="003011E7"/>
    <w:rsid w:val="00303280"/>
    <w:rsid w:val="00303FF2"/>
    <w:rsid w:val="00304050"/>
    <w:rsid w:val="003045FD"/>
    <w:rsid w:val="00304DB4"/>
    <w:rsid w:val="00311404"/>
    <w:rsid w:val="00312422"/>
    <w:rsid w:val="003124D0"/>
    <w:rsid w:val="0031358A"/>
    <w:rsid w:val="0031366D"/>
    <w:rsid w:val="00314A27"/>
    <w:rsid w:val="00316087"/>
    <w:rsid w:val="00316B49"/>
    <w:rsid w:val="003176D5"/>
    <w:rsid w:val="0031790C"/>
    <w:rsid w:val="00320CBD"/>
    <w:rsid w:val="00320F22"/>
    <w:rsid w:val="00321461"/>
    <w:rsid w:val="00321553"/>
    <w:rsid w:val="003229AB"/>
    <w:rsid w:val="00323847"/>
    <w:rsid w:val="00323BC6"/>
    <w:rsid w:val="00326A2D"/>
    <w:rsid w:val="00327CE0"/>
    <w:rsid w:val="00330C19"/>
    <w:rsid w:val="0033240A"/>
    <w:rsid w:val="00335995"/>
    <w:rsid w:val="00335EA4"/>
    <w:rsid w:val="00336713"/>
    <w:rsid w:val="003379F4"/>
    <w:rsid w:val="00341287"/>
    <w:rsid w:val="00341ECC"/>
    <w:rsid w:val="003422CF"/>
    <w:rsid w:val="00342DD7"/>
    <w:rsid w:val="00342F17"/>
    <w:rsid w:val="00343351"/>
    <w:rsid w:val="0034480C"/>
    <w:rsid w:val="003449C0"/>
    <w:rsid w:val="0034529D"/>
    <w:rsid w:val="003455F4"/>
    <w:rsid w:val="003461D0"/>
    <w:rsid w:val="00346419"/>
    <w:rsid w:val="00346E6E"/>
    <w:rsid w:val="003478B7"/>
    <w:rsid w:val="00347A42"/>
    <w:rsid w:val="00350972"/>
    <w:rsid w:val="00351C76"/>
    <w:rsid w:val="0035277B"/>
    <w:rsid w:val="00353068"/>
    <w:rsid w:val="00353E17"/>
    <w:rsid w:val="003540BE"/>
    <w:rsid w:val="0035455D"/>
    <w:rsid w:val="003546B2"/>
    <w:rsid w:val="00355D00"/>
    <w:rsid w:val="0035623C"/>
    <w:rsid w:val="003563ED"/>
    <w:rsid w:val="00357BA9"/>
    <w:rsid w:val="00357DAB"/>
    <w:rsid w:val="003607F0"/>
    <w:rsid w:val="00361A7C"/>
    <w:rsid w:val="00363187"/>
    <w:rsid w:val="0036371D"/>
    <w:rsid w:val="00364D7A"/>
    <w:rsid w:val="00365200"/>
    <w:rsid w:val="003664EA"/>
    <w:rsid w:val="0037088F"/>
    <w:rsid w:val="0037245B"/>
    <w:rsid w:val="003728A3"/>
    <w:rsid w:val="00373395"/>
    <w:rsid w:val="00374CB3"/>
    <w:rsid w:val="00375800"/>
    <w:rsid w:val="0037606C"/>
    <w:rsid w:val="00376AD5"/>
    <w:rsid w:val="003778D1"/>
    <w:rsid w:val="00381FFC"/>
    <w:rsid w:val="003838A6"/>
    <w:rsid w:val="00383C35"/>
    <w:rsid w:val="0038460B"/>
    <w:rsid w:val="003851A4"/>
    <w:rsid w:val="003854A3"/>
    <w:rsid w:val="00385B45"/>
    <w:rsid w:val="00385F4A"/>
    <w:rsid w:val="00390348"/>
    <w:rsid w:val="003905DC"/>
    <w:rsid w:val="0039126C"/>
    <w:rsid w:val="0039151E"/>
    <w:rsid w:val="00391B9E"/>
    <w:rsid w:val="00391EFA"/>
    <w:rsid w:val="003935FB"/>
    <w:rsid w:val="00393CC7"/>
    <w:rsid w:val="003947EF"/>
    <w:rsid w:val="0039569B"/>
    <w:rsid w:val="003A020F"/>
    <w:rsid w:val="003A09C7"/>
    <w:rsid w:val="003A1C06"/>
    <w:rsid w:val="003A3B03"/>
    <w:rsid w:val="003A3BDD"/>
    <w:rsid w:val="003A3D51"/>
    <w:rsid w:val="003A3EE3"/>
    <w:rsid w:val="003A6F4F"/>
    <w:rsid w:val="003A73DA"/>
    <w:rsid w:val="003A7969"/>
    <w:rsid w:val="003B05A6"/>
    <w:rsid w:val="003B1434"/>
    <w:rsid w:val="003B4733"/>
    <w:rsid w:val="003B6644"/>
    <w:rsid w:val="003C1152"/>
    <w:rsid w:val="003C1422"/>
    <w:rsid w:val="003C26B3"/>
    <w:rsid w:val="003C2C86"/>
    <w:rsid w:val="003C376D"/>
    <w:rsid w:val="003C3A81"/>
    <w:rsid w:val="003C4113"/>
    <w:rsid w:val="003C49E5"/>
    <w:rsid w:val="003C4D05"/>
    <w:rsid w:val="003C5B9A"/>
    <w:rsid w:val="003D4CC3"/>
    <w:rsid w:val="003D4E4F"/>
    <w:rsid w:val="003D59B1"/>
    <w:rsid w:val="003D59C7"/>
    <w:rsid w:val="003D5E45"/>
    <w:rsid w:val="003D6025"/>
    <w:rsid w:val="003D74A2"/>
    <w:rsid w:val="003D77F9"/>
    <w:rsid w:val="003D7FCC"/>
    <w:rsid w:val="003E01ED"/>
    <w:rsid w:val="003E10A3"/>
    <w:rsid w:val="003E18B9"/>
    <w:rsid w:val="003E45B5"/>
    <w:rsid w:val="003E6624"/>
    <w:rsid w:val="003E76A4"/>
    <w:rsid w:val="003F023D"/>
    <w:rsid w:val="003F043C"/>
    <w:rsid w:val="003F108B"/>
    <w:rsid w:val="003F190E"/>
    <w:rsid w:val="003F1E7A"/>
    <w:rsid w:val="003F21B4"/>
    <w:rsid w:val="003F276A"/>
    <w:rsid w:val="003F3E68"/>
    <w:rsid w:val="003F4111"/>
    <w:rsid w:val="003F42F5"/>
    <w:rsid w:val="003F431F"/>
    <w:rsid w:val="003F4855"/>
    <w:rsid w:val="003F539D"/>
    <w:rsid w:val="003F54C8"/>
    <w:rsid w:val="003F5D99"/>
    <w:rsid w:val="004005B0"/>
    <w:rsid w:val="00402655"/>
    <w:rsid w:val="00402667"/>
    <w:rsid w:val="0040509F"/>
    <w:rsid w:val="004051BB"/>
    <w:rsid w:val="00405454"/>
    <w:rsid w:val="00405CCC"/>
    <w:rsid w:val="00405E38"/>
    <w:rsid w:val="004065BA"/>
    <w:rsid w:val="004076F9"/>
    <w:rsid w:val="00407BB0"/>
    <w:rsid w:val="00407F5E"/>
    <w:rsid w:val="00412076"/>
    <w:rsid w:val="00412670"/>
    <w:rsid w:val="004144E5"/>
    <w:rsid w:val="00416C1F"/>
    <w:rsid w:val="0041742C"/>
    <w:rsid w:val="00417736"/>
    <w:rsid w:val="00417C5C"/>
    <w:rsid w:val="004241DF"/>
    <w:rsid w:val="00424B56"/>
    <w:rsid w:val="00424DDF"/>
    <w:rsid w:val="0042579C"/>
    <w:rsid w:val="0042624B"/>
    <w:rsid w:val="004269B4"/>
    <w:rsid w:val="00427E99"/>
    <w:rsid w:val="00430AD7"/>
    <w:rsid w:val="00430EF0"/>
    <w:rsid w:val="004311E6"/>
    <w:rsid w:val="00431AC4"/>
    <w:rsid w:val="0043242F"/>
    <w:rsid w:val="00432E06"/>
    <w:rsid w:val="00432E83"/>
    <w:rsid w:val="0043346E"/>
    <w:rsid w:val="00435B23"/>
    <w:rsid w:val="004404B8"/>
    <w:rsid w:val="004405FD"/>
    <w:rsid w:val="00441B52"/>
    <w:rsid w:val="004434CD"/>
    <w:rsid w:val="00443EF9"/>
    <w:rsid w:val="0044697D"/>
    <w:rsid w:val="00447BBA"/>
    <w:rsid w:val="00447D94"/>
    <w:rsid w:val="00450111"/>
    <w:rsid w:val="00450673"/>
    <w:rsid w:val="00450FEC"/>
    <w:rsid w:val="00451FC7"/>
    <w:rsid w:val="00452184"/>
    <w:rsid w:val="004522ED"/>
    <w:rsid w:val="00452655"/>
    <w:rsid w:val="00452F6B"/>
    <w:rsid w:val="004534BE"/>
    <w:rsid w:val="00453985"/>
    <w:rsid w:val="004546E8"/>
    <w:rsid w:val="004576C8"/>
    <w:rsid w:val="004600C1"/>
    <w:rsid w:val="004602C4"/>
    <w:rsid w:val="00460890"/>
    <w:rsid w:val="004608A0"/>
    <w:rsid w:val="00460A99"/>
    <w:rsid w:val="00461E8D"/>
    <w:rsid w:val="00462543"/>
    <w:rsid w:val="00464F38"/>
    <w:rsid w:val="00465418"/>
    <w:rsid w:val="004661C8"/>
    <w:rsid w:val="00467ECC"/>
    <w:rsid w:val="004700F8"/>
    <w:rsid w:val="0047052F"/>
    <w:rsid w:val="00470749"/>
    <w:rsid w:val="00470B7E"/>
    <w:rsid w:val="004710E0"/>
    <w:rsid w:val="00471324"/>
    <w:rsid w:val="004718A7"/>
    <w:rsid w:val="00471ECE"/>
    <w:rsid w:val="0047336D"/>
    <w:rsid w:val="004733FC"/>
    <w:rsid w:val="00474AA7"/>
    <w:rsid w:val="00475017"/>
    <w:rsid w:val="00475D9B"/>
    <w:rsid w:val="00475E1A"/>
    <w:rsid w:val="004804E9"/>
    <w:rsid w:val="004809CF"/>
    <w:rsid w:val="00480F9E"/>
    <w:rsid w:val="00482599"/>
    <w:rsid w:val="0048268E"/>
    <w:rsid w:val="004830DF"/>
    <w:rsid w:val="00483520"/>
    <w:rsid w:val="00484FDA"/>
    <w:rsid w:val="00485997"/>
    <w:rsid w:val="00490633"/>
    <w:rsid w:val="004909E7"/>
    <w:rsid w:val="00491007"/>
    <w:rsid w:val="0049145B"/>
    <w:rsid w:val="004943EC"/>
    <w:rsid w:val="00495463"/>
    <w:rsid w:val="004971E6"/>
    <w:rsid w:val="00497767"/>
    <w:rsid w:val="004A1746"/>
    <w:rsid w:val="004A181F"/>
    <w:rsid w:val="004A1D96"/>
    <w:rsid w:val="004A2C62"/>
    <w:rsid w:val="004A301E"/>
    <w:rsid w:val="004A3278"/>
    <w:rsid w:val="004A380F"/>
    <w:rsid w:val="004A474B"/>
    <w:rsid w:val="004A5B4A"/>
    <w:rsid w:val="004A62BE"/>
    <w:rsid w:val="004A7213"/>
    <w:rsid w:val="004A7AFF"/>
    <w:rsid w:val="004A7FC4"/>
    <w:rsid w:val="004B0623"/>
    <w:rsid w:val="004B0EB3"/>
    <w:rsid w:val="004B2082"/>
    <w:rsid w:val="004B2763"/>
    <w:rsid w:val="004B2EEA"/>
    <w:rsid w:val="004B35EE"/>
    <w:rsid w:val="004B3646"/>
    <w:rsid w:val="004B41FD"/>
    <w:rsid w:val="004B56B1"/>
    <w:rsid w:val="004B780D"/>
    <w:rsid w:val="004B7FF0"/>
    <w:rsid w:val="004C0255"/>
    <w:rsid w:val="004C167D"/>
    <w:rsid w:val="004C26FD"/>
    <w:rsid w:val="004C3624"/>
    <w:rsid w:val="004C39DC"/>
    <w:rsid w:val="004C44F5"/>
    <w:rsid w:val="004C4E84"/>
    <w:rsid w:val="004C5377"/>
    <w:rsid w:val="004C549D"/>
    <w:rsid w:val="004C594C"/>
    <w:rsid w:val="004C6095"/>
    <w:rsid w:val="004C67C4"/>
    <w:rsid w:val="004C6C06"/>
    <w:rsid w:val="004C6DA6"/>
    <w:rsid w:val="004C7D04"/>
    <w:rsid w:val="004D018B"/>
    <w:rsid w:val="004D0633"/>
    <w:rsid w:val="004D0A86"/>
    <w:rsid w:val="004D0C5D"/>
    <w:rsid w:val="004D1FD2"/>
    <w:rsid w:val="004D20E0"/>
    <w:rsid w:val="004D28AE"/>
    <w:rsid w:val="004D2D27"/>
    <w:rsid w:val="004D38F8"/>
    <w:rsid w:val="004D496C"/>
    <w:rsid w:val="004D4983"/>
    <w:rsid w:val="004D4D4E"/>
    <w:rsid w:val="004D517C"/>
    <w:rsid w:val="004D5288"/>
    <w:rsid w:val="004D5B18"/>
    <w:rsid w:val="004D5EB4"/>
    <w:rsid w:val="004D5F91"/>
    <w:rsid w:val="004D718C"/>
    <w:rsid w:val="004D771A"/>
    <w:rsid w:val="004D7D54"/>
    <w:rsid w:val="004E0301"/>
    <w:rsid w:val="004E0D97"/>
    <w:rsid w:val="004E1205"/>
    <w:rsid w:val="004E2A21"/>
    <w:rsid w:val="004E2AC1"/>
    <w:rsid w:val="004E3288"/>
    <w:rsid w:val="004E3B17"/>
    <w:rsid w:val="004E49C5"/>
    <w:rsid w:val="004E4C27"/>
    <w:rsid w:val="004E7117"/>
    <w:rsid w:val="004F0B05"/>
    <w:rsid w:val="004F10C7"/>
    <w:rsid w:val="004F17AA"/>
    <w:rsid w:val="004F1ADF"/>
    <w:rsid w:val="004F210C"/>
    <w:rsid w:val="004F2469"/>
    <w:rsid w:val="004F26D5"/>
    <w:rsid w:val="004F2812"/>
    <w:rsid w:val="004F3514"/>
    <w:rsid w:val="004F3790"/>
    <w:rsid w:val="004F4AA2"/>
    <w:rsid w:val="004F4C8A"/>
    <w:rsid w:val="004F51FA"/>
    <w:rsid w:val="004F5A0B"/>
    <w:rsid w:val="004F7166"/>
    <w:rsid w:val="004F7E4F"/>
    <w:rsid w:val="005000D4"/>
    <w:rsid w:val="0050044A"/>
    <w:rsid w:val="005019C9"/>
    <w:rsid w:val="00502CD4"/>
    <w:rsid w:val="00503CDD"/>
    <w:rsid w:val="00505331"/>
    <w:rsid w:val="00505BA2"/>
    <w:rsid w:val="005061CA"/>
    <w:rsid w:val="0050658E"/>
    <w:rsid w:val="00506BE0"/>
    <w:rsid w:val="00506C49"/>
    <w:rsid w:val="005076B6"/>
    <w:rsid w:val="00511158"/>
    <w:rsid w:val="00511403"/>
    <w:rsid w:val="00511C2A"/>
    <w:rsid w:val="00512112"/>
    <w:rsid w:val="0051443B"/>
    <w:rsid w:val="0051469F"/>
    <w:rsid w:val="00514929"/>
    <w:rsid w:val="0051609B"/>
    <w:rsid w:val="00516558"/>
    <w:rsid w:val="0051695C"/>
    <w:rsid w:val="00520929"/>
    <w:rsid w:val="00521B65"/>
    <w:rsid w:val="005241EE"/>
    <w:rsid w:val="00524864"/>
    <w:rsid w:val="00524ECC"/>
    <w:rsid w:val="005276B8"/>
    <w:rsid w:val="00527911"/>
    <w:rsid w:val="0052799F"/>
    <w:rsid w:val="005325AF"/>
    <w:rsid w:val="0053323F"/>
    <w:rsid w:val="00533A79"/>
    <w:rsid w:val="00534505"/>
    <w:rsid w:val="00534E18"/>
    <w:rsid w:val="00535311"/>
    <w:rsid w:val="005358F8"/>
    <w:rsid w:val="00536761"/>
    <w:rsid w:val="00536E9C"/>
    <w:rsid w:val="00537EB2"/>
    <w:rsid w:val="00537FFD"/>
    <w:rsid w:val="00540E62"/>
    <w:rsid w:val="0054233D"/>
    <w:rsid w:val="0054280A"/>
    <w:rsid w:val="0054371A"/>
    <w:rsid w:val="0054572C"/>
    <w:rsid w:val="00546592"/>
    <w:rsid w:val="00547973"/>
    <w:rsid w:val="00550BE9"/>
    <w:rsid w:val="00550E54"/>
    <w:rsid w:val="0055311D"/>
    <w:rsid w:val="00553CE3"/>
    <w:rsid w:val="0055467E"/>
    <w:rsid w:val="00554DD0"/>
    <w:rsid w:val="005550D3"/>
    <w:rsid w:val="005554FD"/>
    <w:rsid w:val="00555EF4"/>
    <w:rsid w:val="0055600B"/>
    <w:rsid w:val="005570A9"/>
    <w:rsid w:val="005578E5"/>
    <w:rsid w:val="00561DBA"/>
    <w:rsid w:val="00562B81"/>
    <w:rsid w:val="005635AD"/>
    <w:rsid w:val="005655C1"/>
    <w:rsid w:val="00566A8A"/>
    <w:rsid w:val="00567776"/>
    <w:rsid w:val="005677B7"/>
    <w:rsid w:val="005703B5"/>
    <w:rsid w:val="00571C99"/>
    <w:rsid w:val="0057479B"/>
    <w:rsid w:val="00574846"/>
    <w:rsid w:val="00574AFE"/>
    <w:rsid w:val="005756E3"/>
    <w:rsid w:val="00575936"/>
    <w:rsid w:val="00576CB2"/>
    <w:rsid w:val="00577199"/>
    <w:rsid w:val="005802AD"/>
    <w:rsid w:val="00584DFE"/>
    <w:rsid w:val="00584EA3"/>
    <w:rsid w:val="005868B0"/>
    <w:rsid w:val="00586D27"/>
    <w:rsid w:val="00587326"/>
    <w:rsid w:val="0058752F"/>
    <w:rsid w:val="00587BD6"/>
    <w:rsid w:val="005900A3"/>
    <w:rsid w:val="005917BC"/>
    <w:rsid w:val="00591CAE"/>
    <w:rsid w:val="00593891"/>
    <w:rsid w:val="0059403F"/>
    <w:rsid w:val="0059463E"/>
    <w:rsid w:val="00594750"/>
    <w:rsid w:val="0059515B"/>
    <w:rsid w:val="00595A9D"/>
    <w:rsid w:val="00595B58"/>
    <w:rsid w:val="005A1A2C"/>
    <w:rsid w:val="005A2209"/>
    <w:rsid w:val="005A2820"/>
    <w:rsid w:val="005A3C2E"/>
    <w:rsid w:val="005A3D7D"/>
    <w:rsid w:val="005A3FC4"/>
    <w:rsid w:val="005A4761"/>
    <w:rsid w:val="005A4FD0"/>
    <w:rsid w:val="005A60A1"/>
    <w:rsid w:val="005A6DA5"/>
    <w:rsid w:val="005A74D8"/>
    <w:rsid w:val="005A74E7"/>
    <w:rsid w:val="005B20D2"/>
    <w:rsid w:val="005B23D3"/>
    <w:rsid w:val="005B30D7"/>
    <w:rsid w:val="005B318A"/>
    <w:rsid w:val="005B43A3"/>
    <w:rsid w:val="005B464E"/>
    <w:rsid w:val="005B542F"/>
    <w:rsid w:val="005B5A39"/>
    <w:rsid w:val="005B6A03"/>
    <w:rsid w:val="005B6BB1"/>
    <w:rsid w:val="005B746B"/>
    <w:rsid w:val="005B7733"/>
    <w:rsid w:val="005B7A09"/>
    <w:rsid w:val="005C01D3"/>
    <w:rsid w:val="005C0690"/>
    <w:rsid w:val="005C06D8"/>
    <w:rsid w:val="005C0C5F"/>
    <w:rsid w:val="005C19D0"/>
    <w:rsid w:val="005C2C32"/>
    <w:rsid w:val="005C2EC8"/>
    <w:rsid w:val="005C3FDB"/>
    <w:rsid w:val="005C4136"/>
    <w:rsid w:val="005C43A9"/>
    <w:rsid w:val="005C4C24"/>
    <w:rsid w:val="005C545F"/>
    <w:rsid w:val="005C7E2E"/>
    <w:rsid w:val="005D078D"/>
    <w:rsid w:val="005D362E"/>
    <w:rsid w:val="005D3DFC"/>
    <w:rsid w:val="005D6200"/>
    <w:rsid w:val="005D73D9"/>
    <w:rsid w:val="005E16AF"/>
    <w:rsid w:val="005E5144"/>
    <w:rsid w:val="005E5352"/>
    <w:rsid w:val="005E62FA"/>
    <w:rsid w:val="005E7EDC"/>
    <w:rsid w:val="005F0A3E"/>
    <w:rsid w:val="005F3802"/>
    <w:rsid w:val="005F4F08"/>
    <w:rsid w:val="005F55E8"/>
    <w:rsid w:val="005F63BA"/>
    <w:rsid w:val="00600C4A"/>
    <w:rsid w:val="00601DF6"/>
    <w:rsid w:val="00603BE1"/>
    <w:rsid w:val="00603DDB"/>
    <w:rsid w:val="006040D1"/>
    <w:rsid w:val="00604DCD"/>
    <w:rsid w:val="00605A0E"/>
    <w:rsid w:val="00605E7B"/>
    <w:rsid w:val="006071B3"/>
    <w:rsid w:val="0061005E"/>
    <w:rsid w:val="00611C8D"/>
    <w:rsid w:val="00613D9F"/>
    <w:rsid w:val="00613E86"/>
    <w:rsid w:val="00615089"/>
    <w:rsid w:val="00615191"/>
    <w:rsid w:val="00615AFF"/>
    <w:rsid w:val="00616C5E"/>
    <w:rsid w:val="00621140"/>
    <w:rsid w:val="00621D92"/>
    <w:rsid w:val="00623D7C"/>
    <w:rsid w:val="006245C5"/>
    <w:rsid w:val="00624888"/>
    <w:rsid w:val="00625646"/>
    <w:rsid w:val="006266A9"/>
    <w:rsid w:val="00626F37"/>
    <w:rsid w:val="00627235"/>
    <w:rsid w:val="00627E6E"/>
    <w:rsid w:val="00631AD3"/>
    <w:rsid w:val="00631BF6"/>
    <w:rsid w:val="00635BEB"/>
    <w:rsid w:val="00636A5D"/>
    <w:rsid w:val="006375CD"/>
    <w:rsid w:val="006378D5"/>
    <w:rsid w:val="006378FA"/>
    <w:rsid w:val="00640425"/>
    <w:rsid w:val="00640A27"/>
    <w:rsid w:val="00641194"/>
    <w:rsid w:val="00642362"/>
    <w:rsid w:val="00642B5B"/>
    <w:rsid w:val="006438CD"/>
    <w:rsid w:val="00643DE1"/>
    <w:rsid w:val="00643FCB"/>
    <w:rsid w:val="00646A7A"/>
    <w:rsid w:val="0064738C"/>
    <w:rsid w:val="00647722"/>
    <w:rsid w:val="00647944"/>
    <w:rsid w:val="00647C5D"/>
    <w:rsid w:val="006507D0"/>
    <w:rsid w:val="0065105B"/>
    <w:rsid w:val="006523AF"/>
    <w:rsid w:val="006526A9"/>
    <w:rsid w:val="006527C2"/>
    <w:rsid w:val="006533C0"/>
    <w:rsid w:val="00653711"/>
    <w:rsid w:val="00654980"/>
    <w:rsid w:val="00654EB4"/>
    <w:rsid w:val="00655241"/>
    <w:rsid w:val="00657038"/>
    <w:rsid w:val="00661D13"/>
    <w:rsid w:val="006620F9"/>
    <w:rsid w:val="0066231E"/>
    <w:rsid w:val="00662430"/>
    <w:rsid w:val="006636D1"/>
    <w:rsid w:val="0066445D"/>
    <w:rsid w:val="00664D60"/>
    <w:rsid w:val="006663ED"/>
    <w:rsid w:val="00666566"/>
    <w:rsid w:val="006701CB"/>
    <w:rsid w:val="006704AF"/>
    <w:rsid w:val="0067171E"/>
    <w:rsid w:val="006726EF"/>
    <w:rsid w:val="006729A8"/>
    <w:rsid w:val="00672D52"/>
    <w:rsid w:val="00675D94"/>
    <w:rsid w:val="006770F8"/>
    <w:rsid w:val="00677469"/>
    <w:rsid w:val="00680F1E"/>
    <w:rsid w:val="0068312A"/>
    <w:rsid w:val="0068454A"/>
    <w:rsid w:val="00684FC5"/>
    <w:rsid w:val="006855D7"/>
    <w:rsid w:val="00686ACA"/>
    <w:rsid w:val="00686DF7"/>
    <w:rsid w:val="00690184"/>
    <w:rsid w:val="00690223"/>
    <w:rsid w:val="00690FD4"/>
    <w:rsid w:val="006939C2"/>
    <w:rsid w:val="00693E30"/>
    <w:rsid w:val="00694D98"/>
    <w:rsid w:val="00697E20"/>
    <w:rsid w:val="006A04D6"/>
    <w:rsid w:val="006A05BB"/>
    <w:rsid w:val="006A1BBD"/>
    <w:rsid w:val="006A1FBD"/>
    <w:rsid w:val="006A30F2"/>
    <w:rsid w:val="006A4A8A"/>
    <w:rsid w:val="006A4CD9"/>
    <w:rsid w:val="006A4EF1"/>
    <w:rsid w:val="006A67A0"/>
    <w:rsid w:val="006A6C39"/>
    <w:rsid w:val="006A7AD6"/>
    <w:rsid w:val="006A7CEA"/>
    <w:rsid w:val="006A7E4A"/>
    <w:rsid w:val="006B0D1C"/>
    <w:rsid w:val="006B2AF3"/>
    <w:rsid w:val="006B39EC"/>
    <w:rsid w:val="006B3A08"/>
    <w:rsid w:val="006B4770"/>
    <w:rsid w:val="006B4FD0"/>
    <w:rsid w:val="006B50B2"/>
    <w:rsid w:val="006B6F48"/>
    <w:rsid w:val="006B7263"/>
    <w:rsid w:val="006B7E00"/>
    <w:rsid w:val="006C0CF3"/>
    <w:rsid w:val="006C23E9"/>
    <w:rsid w:val="006C28DF"/>
    <w:rsid w:val="006C3321"/>
    <w:rsid w:val="006C3584"/>
    <w:rsid w:val="006C3746"/>
    <w:rsid w:val="006C4D66"/>
    <w:rsid w:val="006C567B"/>
    <w:rsid w:val="006C5FDA"/>
    <w:rsid w:val="006D01F4"/>
    <w:rsid w:val="006D03FD"/>
    <w:rsid w:val="006D0AFA"/>
    <w:rsid w:val="006D2039"/>
    <w:rsid w:val="006D34A5"/>
    <w:rsid w:val="006D34AA"/>
    <w:rsid w:val="006D4182"/>
    <w:rsid w:val="006D4EAF"/>
    <w:rsid w:val="006D4FE5"/>
    <w:rsid w:val="006D5C36"/>
    <w:rsid w:val="006D5DFB"/>
    <w:rsid w:val="006D72CE"/>
    <w:rsid w:val="006E13FB"/>
    <w:rsid w:val="006E196E"/>
    <w:rsid w:val="006E1A68"/>
    <w:rsid w:val="006E3D3B"/>
    <w:rsid w:val="006E3DCA"/>
    <w:rsid w:val="006E4298"/>
    <w:rsid w:val="006E4F88"/>
    <w:rsid w:val="006E58B7"/>
    <w:rsid w:val="006E683E"/>
    <w:rsid w:val="006E6B5E"/>
    <w:rsid w:val="006E6BA5"/>
    <w:rsid w:val="006F1549"/>
    <w:rsid w:val="006F1588"/>
    <w:rsid w:val="006F2116"/>
    <w:rsid w:val="006F2763"/>
    <w:rsid w:val="006F2A3E"/>
    <w:rsid w:val="006F351D"/>
    <w:rsid w:val="006F3713"/>
    <w:rsid w:val="006F3A8F"/>
    <w:rsid w:val="006F4347"/>
    <w:rsid w:val="006F7746"/>
    <w:rsid w:val="00700D06"/>
    <w:rsid w:val="00700DFF"/>
    <w:rsid w:val="00700F10"/>
    <w:rsid w:val="00701923"/>
    <w:rsid w:val="00701F5F"/>
    <w:rsid w:val="00702F49"/>
    <w:rsid w:val="00703F8D"/>
    <w:rsid w:val="00704153"/>
    <w:rsid w:val="00704EF6"/>
    <w:rsid w:val="0070508D"/>
    <w:rsid w:val="00705665"/>
    <w:rsid w:val="00705BCF"/>
    <w:rsid w:val="007065E9"/>
    <w:rsid w:val="00706612"/>
    <w:rsid w:val="007108AF"/>
    <w:rsid w:val="00710BA9"/>
    <w:rsid w:val="00710D8F"/>
    <w:rsid w:val="00713CA2"/>
    <w:rsid w:val="007140C8"/>
    <w:rsid w:val="0071457C"/>
    <w:rsid w:val="00717B33"/>
    <w:rsid w:val="00717FA7"/>
    <w:rsid w:val="00720942"/>
    <w:rsid w:val="007219AF"/>
    <w:rsid w:val="00722F52"/>
    <w:rsid w:val="00723047"/>
    <w:rsid w:val="00724280"/>
    <w:rsid w:val="007248D3"/>
    <w:rsid w:val="007260F4"/>
    <w:rsid w:val="0072641A"/>
    <w:rsid w:val="007264E6"/>
    <w:rsid w:val="00726CD4"/>
    <w:rsid w:val="00730680"/>
    <w:rsid w:val="0073098D"/>
    <w:rsid w:val="007311B1"/>
    <w:rsid w:val="007315B3"/>
    <w:rsid w:val="00732778"/>
    <w:rsid w:val="00734396"/>
    <w:rsid w:val="007344D0"/>
    <w:rsid w:val="00734708"/>
    <w:rsid w:val="00735172"/>
    <w:rsid w:val="007369BB"/>
    <w:rsid w:val="007409DC"/>
    <w:rsid w:val="00740A0B"/>
    <w:rsid w:val="00742064"/>
    <w:rsid w:val="00742730"/>
    <w:rsid w:val="00744273"/>
    <w:rsid w:val="00744286"/>
    <w:rsid w:val="0074596C"/>
    <w:rsid w:val="0074686C"/>
    <w:rsid w:val="007476C9"/>
    <w:rsid w:val="007479BA"/>
    <w:rsid w:val="0075058E"/>
    <w:rsid w:val="00751045"/>
    <w:rsid w:val="00751FE3"/>
    <w:rsid w:val="00754975"/>
    <w:rsid w:val="00754A63"/>
    <w:rsid w:val="00754B30"/>
    <w:rsid w:val="007565FF"/>
    <w:rsid w:val="00757A8B"/>
    <w:rsid w:val="00760DFA"/>
    <w:rsid w:val="00761873"/>
    <w:rsid w:val="00761BFC"/>
    <w:rsid w:val="00762495"/>
    <w:rsid w:val="00762CFF"/>
    <w:rsid w:val="00763876"/>
    <w:rsid w:val="00764066"/>
    <w:rsid w:val="00764521"/>
    <w:rsid w:val="007668DA"/>
    <w:rsid w:val="00766A1B"/>
    <w:rsid w:val="00767DFF"/>
    <w:rsid w:val="00770784"/>
    <w:rsid w:val="00772D85"/>
    <w:rsid w:val="00773037"/>
    <w:rsid w:val="00774D65"/>
    <w:rsid w:val="00775203"/>
    <w:rsid w:val="0077582A"/>
    <w:rsid w:val="00776973"/>
    <w:rsid w:val="00776AEE"/>
    <w:rsid w:val="00780ACD"/>
    <w:rsid w:val="00780C23"/>
    <w:rsid w:val="00782FF8"/>
    <w:rsid w:val="007832AA"/>
    <w:rsid w:val="00784A06"/>
    <w:rsid w:val="00784C0B"/>
    <w:rsid w:val="007852D4"/>
    <w:rsid w:val="00785B38"/>
    <w:rsid w:val="00786822"/>
    <w:rsid w:val="00786A86"/>
    <w:rsid w:val="00787444"/>
    <w:rsid w:val="0078757F"/>
    <w:rsid w:val="007877B3"/>
    <w:rsid w:val="00787B86"/>
    <w:rsid w:val="00790A9D"/>
    <w:rsid w:val="00792AE9"/>
    <w:rsid w:val="00794884"/>
    <w:rsid w:val="0079512E"/>
    <w:rsid w:val="0079574E"/>
    <w:rsid w:val="00795798"/>
    <w:rsid w:val="00797EC3"/>
    <w:rsid w:val="007A4345"/>
    <w:rsid w:val="007A470F"/>
    <w:rsid w:val="007A4CFC"/>
    <w:rsid w:val="007A763D"/>
    <w:rsid w:val="007B23CE"/>
    <w:rsid w:val="007B2A5C"/>
    <w:rsid w:val="007B2C6A"/>
    <w:rsid w:val="007B3009"/>
    <w:rsid w:val="007B418E"/>
    <w:rsid w:val="007B54C9"/>
    <w:rsid w:val="007B5AFD"/>
    <w:rsid w:val="007B6253"/>
    <w:rsid w:val="007B62B2"/>
    <w:rsid w:val="007B701D"/>
    <w:rsid w:val="007C0283"/>
    <w:rsid w:val="007C07CC"/>
    <w:rsid w:val="007C0AE6"/>
    <w:rsid w:val="007C26C2"/>
    <w:rsid w:val="007C2D6D"/>
    <w:rsid w:val="007C3411"/>
    <w:rsid w:val="007C35F7"/>
    <w:rsid w:val="007C41E6"/>
    <w:rsid w:val="007C5CC4"/>
    <w:rsid w:val="007C7489"/>
    <w:rsid w:val="007D0D58"/>
    <w:rsid w:val="007D1B51"/>
    <w:rsid w:val="007D2B48"/>
    <w:rsid w:val="007D30C7"/>
    <w:rsid w:val="007D34B6"/>
    <w:rsid w:val="007D37E8"/>
    <w:rsid w:val="007D4761"/>
    <w:rsid w:val="007D594C"/>
    <w:rsid w:val="007D5BBF"/>
    <w:rsid w:val="007D7A5C"/>
    <w:rsid w:val="007D7E26"/>
    <w:rsid w:val="007E01AE"/>
    <w:rsid w:val="007E0EE2"/>
    <w:rsid w:val="007E1E4D"/>
    <w:rsid w:val="007E2327"/>
    <w:rsid w:val="007E251B"/>
    <w:rsid w:val="007E29EC"/>
    <w:rsid w:val="007E32F5"/>
    <w:rsid w:val="007E39DB"/>
    <w:rsid w:val="007E4D54"/>
    <w:rsid w:val="007E4F3B"/>
    <w:rsid w:val="007E523B"/>
    <w:rsid w:val="007E610A"/>
    <w:rsid w:val="007E6F8E"/>
    <w:rsid w:val="007F020C"/>
    <w:rsid w:val="007F0243"/>
    <w:rsid w:val="007F12DD"/>
    <w:rsid w:val="007F1985"/>
    <w:rsid w:val="007F1B54"/>
    <w:rsid w:val="007F245A"/>
    <w:rsid w:val="007F2BA4"/>
    <w:rsid w:val="007F2D0B"/>
    <w:rsid w:val="007F3501"/>
    <w:rsid w:val="007F35D9"/>
    <w:rsid w:val="007F4863"/>
    <w:rsid w:val="007F4F41"/>
    <w:rsid w:val="007F57C4"/>
    <w:rsid w:val="007F6166"/>
    <w:rsid w:val="007F7437"/>
    <w:rsid w:val="00801339"/>
    <w:rsid w:val="00801A14"/>
    <w:rsid w:val="00801A59"/>
    <w:rsid w:val="00802426"/>
    <w:rsid w:val="008028EF"/>
    <w:rsid w:val="00803432"/>
    <w:rsid w:val="00803E8B"/>
    <w:rsid w:val="0080493B"/>
    <w:rsid w:val="0080494B"/>
    <w:rsid w:val="00805233"/>
    <w:rsid w:val="008059F5"/>
    <w:rsid w:val="00805D0C"/>
    <w:rsid w:val="00806B46"/>
    <w:rsid w:val="00806BC4"/>
    <w:rsid w:val="00810F98"/>
    <w:rsid w:val="008116A8"/>
    <w:rsid w:val="00812E56"/>
    <w:rsid w:val="008139B3"/>
    <w:rsid w:val="00815895"/>
    <w:rsid w:val="008158B6"/>
    <w:rsid w:val="00815DDD"/>
    <w:rsid w:val="00816D30"/>
    <w:rsid w:val="00817373"/>
    <w:rsid w:val="00817522"/>
    <w:rsid w:val="00820EBF"/>
    <w:rsid w:val="00821C07"/>
    <w:rsid w:val="0082290C"/>
    <w:rsid w:val="008234C9"/>
    <w:rsid w:val="008239A1"/>
    <w:rsid w:val="00823D39"/>
    <w:rsid w:val="00824389"/>
    <w:rsid w:val="0082570C"/>
    <w:rsid w:val="00825FCD"/>
    <w:rsid w:val="008273E8"/>
    <w:rsid w:val="00827413"/>
    <w:rsid w:val="008315CF"/>
    <w:rsid w:val="008319A8"/>
    <w:rsid w:val="00831FCC"/>
    <w:rsid w:val="0083447D"/>
    <w:rsid w:val="008355C7"/>
    <w:rsid w:val="00841946"/>
    <w:rsid w:val="00841CB5"/>
    <w:rsid w:val="0084452F"/>
    <w:rsid w:val="00844917"/>
    <w:rsid w:val="00844950"/>
    <w:rsid w:val="00846493"/>
    <w:rsid w:val="00847842"/>
    <w:rsid w:val="008509D7"/>
    <w:rsid w:val="00850CEE"/>
    <w:rsid w:val="00850FC0"/>
    <w:rsid w:val="00851FE9"/>
    <w:rsid w:val="00852811"/>
    <w:rsid w:val="00852E85"/>
    <w:rsid w:val="00853542"/>
    <w:rsid w:val="00853DB2"/>
    <w:rsid w:val="00856F34"/>
    <w:rsid w:val="008571D4"/>
    <w:rsid w:val="00857986"/>
    <w:rsid w:val="00857B4F"/>
    <w:rsid w:val="008608B5"/>
    <w:rsid w:val="00860E64"/>
    <w:rsid w:val="00862C74"/>
    <w:rsid w:val="008635DF"/>
    <w:rsid w:val="00863CAC"/>
    <w:rsid w:val="00864CAC"/>
    <w:rsid w:val="00865035"/>
    <w:rsid w:val="008656BB"/>
    <w:rsid w:val="00865A72"/>
    <w:rsid w:val="00866490"/>
    <w:rsid w:val="008669E4"/>
    <w:rsid w:val="00866E2C"/>
    <w:rsid w:val="0086756A"/>
    <w:rsid w:val="00867C39"/>
    <w:rsid w:val="00870864"/>
    <w:rsid w:val="00874BED"/>
    <w:rsid w:val="0087546C"/>
    <w:rsid w:val="00875B20"/>
    <w:rsid w:val="008771DF"/>
    <w:rsid w:val="00877949"/>
    <w:rsid w:val="008825E3"/>
    <w:rsid w:val="00882FD2"/>
    <w:rsid w:val="008833FF"/>
    <w:rsid w:val="00883A2B"/>
    <w:rsid w:val="0088540F"/>
    <w:rsid w:val="008867FF"/>
    <w:rsid w:val="00887EF4"/>
    <w:rsid w:val="0089147C"/>
    <w:rsid w:val="00891950"/>
    <w:rsid w:val="00892C9E"/>
    <w:rsid w:val="00893CA7"/>
    <w:rsid w:val="008947CC"/>
    <w:rsid w:val="008954A3"/>
    <w:rsid w:val="008964F2"/>
    <w:rsid w:val="008968A4"/>
    <w:rsid w:val="0089746D"/>
    <w:rsid w:val="00897E8C"/>
    <w:rsid w:val="008A04BE"/>
    <w:rsid w:val="008A06EA"/>
    <w:rsid w:val="008A204F"/>
    <w:rsid w:val="008A2357"/>
    <w:rsid w:val="008A3FBE"/>
    <w:rsid w:val="008A48DA"/>
    <w:rsid w:val="008A50F3"/>
    <w:rsid w:val="008A6355"/>
    <w:rsid w:val="008A6570"/>
    <w:rsid w:val="008A76BE"/>
    <w:rsid w:val="008A7942"/>
    <w:rsid w:val="008A7AA0"/>
    <w:rsid w:val="008A7B43"/>
    <w:rsid w:val="008B2134"/>
    <w:rsid w:val="008B363D"/>
    <w:rsid w:val="008B3CF7"/>
    <w:rsid w:val="008B3E04"/>
    <w:rsid w:val="008B4714"/>
    <w:rsid w:val="008B55E9"/>
    <w:rsid w:val="008B56C5"/>
    <w:rsid w:val="008B59BF"/>
    <w:rsid w:val="008B5A4C"/>
    <w:rsid w:val="008B5C1C"/>
    <w:rsid w:val="008B6F6B"/>
    <w:rsid w:val="008B7C08"/>
    <w:rsid w:val="008C06CF"/>
    <w:rsid w:val="008C24CA"/>
    <w:rsid w:val="008C3DFD"/>
    <w:rsid w:val="008C422F"/>
    <w:rsid w:val="008C4D88"/>
    <w:rsid w:val="008C5910"/>
    <w:rsid w:val="008C5A04"/>
    <w:rsid w:val="008C67F0"/>
    <w:rsid w:val="008C767F"/>
    <w:rsid w:val="008D0CE5"/>
    <w:rsid w:val="008D1C74"/>
    <w:rsid w:val="008D283A"/>
    <w:rsid w:val="008D29D3"/>
    <w:rsid w:val="008D3848"/>
    <w:rsid w:val="008D4430"/>
    <w:rsid w:val="008D443E"/>
    <w:rsid w:val="008D5104"/>
    <w:rsid w:val="008D7BAB"/>
    <w:rsid w:val="008E01F2"/>
    <w:rsid w:val="008E0482"/>
    <w:rsid w:val="008E04B9"/>
    <w:rsid w:val="008E04E6"/>
    <w:rsid w:val="008E07C8"/>
    <w:rsid w:val="008E0A42"/>
    <w:rsid w:val="008E1211"/>
    <w:rsid w:val="008E1A9F"/>
    <w:rsid w:val="008E1B19"/>
    <w:rsid w:val="008E2E3E"/>
    <w:rsid w:val="008E4A82"/>
    <w:rsid w:val="008E5388"/>
    <w:rsid w:val="008E6E3B"/>
    <w:rsid w:val="008E75AB"/>
    <w:rsid w:val="008E7EE2"/>
    <w:rsid w:val="008E7EE5"/>
    <w:rsid w:val="008F0ABF"/>
    <w:rsid w:val="008F1F11"/>
    <w:rsid w:val="008F2D2C"/>
    <w:rsid w:val="008F47B1"/>
    <w:rsid w:val="008F4C8D"/>
    <w:rsid w:val="008F51A5"/>
    <w:rsid w:val="008F5768"/>
    <w:rsid w:val="008F67BD"/>
    <w:rsid w:val="009007B1"/>
    <w:rsid w:val="00900FAE"/>
    <w:rsid w:val="00901384"/>
    <w:rsid w:val="009019B0"/>
    <w:rsid w:val="00902363"/>
    <w:rsid w:val="00903816"/>
    <w:rsid w:val="00903A71"/>
    <w:rsid w:val="009043CB"/>
    <w:rsid w:val="0090503C"/>
    <w:rsid w:val="00905578"/>
    <w:rsid w:val="009062EC"/>
    <w:rsid w:val="009067CC"/>
    <w:rsid w:val="0090738A"/>
    <w:rsid w:val="009075E4"/>
    <w:rsid w:val="00911054"/>
    <w:rsid w:val="009112B2"/>
    <w:rsid w:val="00911AF9"/>
    <w:rsid w:val="00911E65"/>
    <w:rsid w:val="00912332"/>
    <w:rsid w:val="009127C1"/>
    <w:rsid w:val="00914163"/>
    <w:rsid w:val="00914241"/>
    <w:rsid w:val="00917579"/>
    <w:rsid w:val="009200E7"/>
    <w:rsid w:val="00920BCD"/>
    <w:rsid w:val="00920CB7"/>
    <w:rsid w:val="00920FD7"/>
    <w:rsid w:val="009217A9"/>
    <w:rsid w:val="009218F9"/>
    <w:rsid w:val="00922002"/>
    <w:rsid w:val="009229B1"/>
    <w:rsid w:val="00923166"/>
    <w:rsid w:val="0092463C"/>
    <w:rsid w:val="00925166"/>
    <w:rsid w:val="00927AAD"/>
    <w:rsid w:val="009301DF"/>
    <w:rsid w:val="0093179C"/>
    <w:rsid w:val="00931850"/>
    <w:rsid w:val="009318CA"/>
    <w:rsid w:val="0093261A"/>
    <w:rsid w:val="009353DB"/>
    <w:rsid w:val="00935CCA"/>
    <w:rsid w:val="00940EF1"/>
    <w:rsid w:val="0094116D"/>
    <w:rsid w:val="00941DE2"/>
    <w:rsid w:val="00941EFC"/>
    <w:rsid w:val="009426CC"/>
    <w:rsid w:val="009459E8"/>
    <w:rsid w:val="009474F3"/>
    <w:rsid w:val="0094775F"/>
    <w:rsid w:val="00947812"/>
    <w:rsid w:val="00953135"/>
    <w:rsid w:val="0095340D"/>
    <w:rsid w:val="00954701"/>
    <w:rsid w:val="00954B39"/>
    <w:rsid w:val="00954E8B"/>
    <w:rsid w:val="00955CF7"/>
    <w:rsid w:val="0095656C"/>
    <w:rsid w:val="009579E6"/>
    <w:rsid w:val="00960E24"/>
    <w:rsid w:val="00960E5A"/>
    <w:rsid w:val="00961128"/>
    <w:rsid w:val="009614EB"/>
    <w:rsid w:val="00963BE5"/>
    <w:rsid w:val="00964ACC"/>
    <w:rsid w:val="0096595B"/>
    <w:rsid w:val="00966A51"/>
    <w:rsid w:val="00966B94"/>
    <w:rsid w:val="0097178C"/>
    <w:rsid w:val="00971841"/>
    <w:rsid w:val="0097221D"/>
    <w:rsid w:val="009739EE"/>
    <w:rsid w:val="00974279"/>
    <w:rsid w:val="009744EC"/>
    <w:rsid w:val="00974830"/>
    <w:rsid w:val="00974A8A"/>
    <w:rsid w:val="009759D7"/>
    <w:rsid w:val="00975DFD"/>
    <w:rsid w:val="0097748C"/>
    <w:rsid w:val="00981BFD"/>
    <w:rsid w:val="00982440"/>
    <w:rsid w:val="00983CCC"/>
    <w:rsid w:val="00983DF9"/>
    <w:rsid w:val="0098638B"/>
    <w:rsid w:val="00987C34"/>
    <w:rsid w:val="00987E46"/>
    <w:rsid w:val="009903E4"/>
    <w:rsid w:val="00990F2B"/>
    <w:rsid w:val="0099138B"/>
    <w:rsid w:val="009922EF"/>
    <w:rsid w:val="00993284"/>
    <w:rsid w:val="009938BC"/>
    <w:rsid w:val="00994A71"/>
    <w:rsid w:val="0099546C"/>
    <w:rsid w:val="00995731"/>
    <w:rsid w:val="00995AC4"/>
    <w:rsid w:val="00997B65"/>
    <w:rsid w:val="009A10AF"/>
    <w:rsid w:val="009A1A16"/>
    <w:rsid w:val="009A1F0B"/>
    <w:rsid w:val="009A363A"/>
    <w:rsid w:val="009A41A3"/>
    <w:rsid w:val="009A4306"/>
    <w:rsid w:val="009A4775"/>
    <w:rsid w:val="009A591F"/>
    <w:rsid w:val="009A7850"/>
    <w:rsid w:val="009B0A38"/>
    <w:rsid w:val="009B2F95"/>
    <w:rsid w:val="009B47E4"/>
    <w:rsid w:val="009B4D6C"/>
    <w:rsid w:val="009B5DD2"/>
    <w:rsid w:val="009B75FE"/>
    <w:rsid w:val="009C011E"/>
    <w:rsid w:val="009C0B49"/>
    <w:rsid w:val="009C0CC3"/>
    <w:rsid w:val="009C1F85"/>
    <w:rsid w:val="009C38F2"/>
    <w:rsid w:val="009C4510"/>
    <w:rsid w:val="009C4630"/>
    <w:rsid w:val="009C60D8"/>
    <w:rsid w:val="009D0D1B"/>
    <w:rsid w:val="009D1A6C"/>
    <w:rsid w:val="009D38E8"/>
    <w:rsid w:val="009D49B5"/>
    <w:rsid w:val="009D4B0E"/>
    <w:rsid w:val="009D5A56"/>
    <w:rsid w:val="009D5E25"/>
    <w:rsid w:val="009D6F2D"/>
    <w:rsid w:val="009D7CA1"/>
    <w:rsid w:val="009E1A00"/>
    <w:rsid w:val="009E2169"/>
    <w:rsid w:val="009E282C"/>
    <w:rsid w:val="009E2D02"/>
    <w:rsid w:val="009E3594"/>
    <w:rsid w:val="009E4320"/>
    <w:rsid w:val="009E7B06"/>
    <w:rsid w:val="009E7D47"/>
    <w:rsid w:val="009F0070"/>
    <w:rsid w:val="009F0556"/>
    <w:rsid w:val="009F32CA"/>
    <w:rsid w:val="009F3864"/>
    <w:rsid w:val="009F393D"/>
    <w:rsid w:val="009F4511"/>
    <w:rsid w:val="009F46C7"/>
    <w:rsid w:val="009F56F7"/>
    <w:rsid w:val="009F59B4"/>
    <w:rsid w:val="009F5F35"/>
    <w:rsid w:val="009F6BCD"/>
    <w:rsid w:val="00A00D9F"/>
    <w:rsid w:val="00A012C6"/>
    <w:rsid w:val="00A02CC1"/>
    <w:rsid w:val="00A02D07"/>
    <w:rsid w:val="00A02DC7"/>
    <w:rsid w:val="00A035D5"/>
    <w:rsid w:val="00A04107"/>
    <w:rsid w:val="00A04B51"/>
    <w:rsid w:val="00A05950"/>
    <w:rsid w:val="00A05978"/>
    <w:rsid w:val="00A0641B"/>
    <w:rsid w:val="00A10C92"/>
    <w:rsid w:val="00A1114B"/>
    <w:rsid w:val="00A11DF8"/>
    <w:rsid w:val="00A12AF8"/>
    <w:rsid w:val="00A13256"/>
    <w:rsid w:val="00A14199"/>
    <w:rsid w:val="00A14A0C"/>
    <w:rsid w:val="00A1531F"/>
    <w:rsid w:val="00A15395"/>
    <w:rsid w:val="00A15BF1"/>
    <w:rsid w:val="00A16099"/>
    <w:rsid w:val="00A16265"/>
    <w:rsid w:val="00A16537"/>
    <w:rsid w:val="00A16B23"/>
    <w:rsid w:val="00A21B2C"/>
    <w:rsid w:val="00A2217B"/>
    <w:rsid w:val="00A2279F"/>
    <w:rsid w:val="00A23041"/>
    <w:rsid w:val="00A23A1E"/>
    <w:rsid w:val="00A2620F"/>
    <w:rsid w:val="00A26583"/>
    <w:rsid w:val="00A265EB"/>
    <w:rsid w:val="00A270B2"/>
    <w:rsid w:val="00A27916"/>
    <w:rsid w:val="00A27B50"/>
    <w:rsid w:val="00A27C39"/>
    <w:rsid w:val="00A307F5"/>
    <w:rsid w:val="00A3121E"/>
    <w:rsid w:val="00A32864"/>
    <w:rsid w:val="00A32A38"/>
    <w:rsid w:val="00A32C71"/>
    <w:rsid w:val="00A32E56"/>
    <w:rsid w:val="00A34478"/>
    <w:rsid w:val="00A35A5E"/>
    <w:rsid w:val="00A36154"/>
    <w:rsid w:val="00A3621D"/>
    <w:rsid w:val="00A36BB5"/>
    <w:rsid w:val="00A379FE"/>
    <w:rsid w:val="00A42E58"/>
    <w:rsid w:val="00A4300E"/>
    <w:rsid w:val="00A43BD4"/>
    <w:rsid w:val="00A45F2E"/>
    <w:rsid w:val="00A466BE"/>
    <w:rsid w:val="00A47B75"/>
    <w:rsid w:val="00A502D0"/>
    <w:rsid w:val="00A513D5"/>
    <w:rsid w:val="00A51C0A"/>
    <w:rsid w:val="00A5339B"/>
    <w:rsid w:val="00A534B4"/>
    <w:rsid w:val="00A53C6D"/>
    <w:rsid w:val="00A55961"/>
    <w:rsid w:val="00A562F2"/>
    <w:rsid w:val="00A568AC"/>
    <w:rsid w:val="00A600F5"/>
    <w:rsid w:val="00A601D3"/>
    <w:rsid w:val="00A606FA"/>
    <w:rsid w:val="00A61718"/>
    <w:rsid w:val="00A61F35"/>
    <w:rsid w:val="00A63320"/>
    <w:rsid w:val="00A6342A"/>
    <w:rsid w:val="00A6430A"/>
    <w:rsid w:val="00A674C4"/>
    <w:rsid w:val="00A70DEB"/>
    <w:rsid w:val="00A71467"/>
    <w:rsid w:val="00A7213B"/>
    <w:rsid w:val="00A72A23"/>
    <w:rsid w:val="00A733FD"/>
    <w:rsid w:val="00A742B8"/>
    <w:rsid w:val="00A753E0"/>
    <w:rsid w:val="00A75596"/>
    <w:rsid w:val="00A75A77"/>
    <w:rsid w:val="00A7613F"/>
    <w:rsid w:val="00A7722C"/>
    <w:rsid w:val="00A77DFB"/>
    <w:rsid w:val="00A77F0C"/>
    <w:rsid w:val="00A77FE2"/>
    <w:rsid w:val="00A81F91"/>
    <w:rsid w:val="00A824AB"/>
    <w:rsid w:val="00A83CF3"/>
    <w:rsid w:val="00A83EC9"/>
    <w:rsid w:val="00A83F9C"/>
    <w:rsid w:val="00A845FD"/>
    <w:rsid w:val="00A85DCF"/>
    <w:rsid w:val="00A86233"/>
    <w:rsid w:val="00A866B1"/>
    <w:rsid w:val="00A8692F"/>
    <w:rsid w:val="00A86D77"/>
    <w:rsid w:val="00A878B1"/>
    <w:rsid w:val="00A90548"/>
    <w:rsid w:val="00A92D9D"/>
    <w:rsid w:val="00A93B4C"/>
    <w:rsid w:val="00A93EF1"/>
    <w:rsid w:val="00A9485E"/>
    <w:rsid w:val="00A956E6"/>
    <w:rsid w:val="00A95E9D"/>
    <w:rsid w:val="00A96C0D"/>
    <w:rsid w:val="00A9720D"/>
    <w:rsid w:val="00AA05D9"/>
    <w:rsid w:val="00AA0844"/>
    <w:rsid w:val="00AA0FFD"/>
    <w:rsid w:val="00AA256A"/>
    <w:rsid w:val="00AA2B1C"/>
    <w:rsid w:val="00AA4509"/>
    <w:rsid w:val="00AA49BF"/>
    <w:rsid w:val="00AA4D0A"/>
    <w:rsid w:val="00AA5D14"/>
    <w:rsid w:val="00AA727C"/>
    <w:rsid w:val="00AB1ADA"/>
    <w:rsid w:val="00AB1E63"/>
    <w:rsid w:val="00AB20E8"/>
    <w:rsid w:val="00AB3B3C"/>
    <w:rsid w:val="00AB4758"/>
    <w:rsid w:val="00AB5237"/>
    <w:rsid w:val="00AB52E1"/>
    <w:rsid w:val="00AB5DA2"/>
    <w:rsid w:val="00AB6631"/>
    <w:rsid w:val="00AB6F90"/>
    <w:rsid w:val="00AB6FBE"/>
    <w:rsid w:val="00AB73FB"/>
    <w:rsid w:val="00AC04AC"/>
    <w:rsid w:val="00AC0520"/>
    <w:rsid w:val="00AC06BA"/>
    <w:rsid w:val="00AC28E3"/>
    <w:rsid w:val="00AC3A5D"/>
    <w:rsid w:val="00AC3C45"/>
    <w:rsid w:val="00AC54A6"/>
    <w:rsid w:val="00AC5AA5"/>
    <w:rsid w:val="00AC612D"/>
    <w:rsid w:val="00AC61C3"/>
    <w:rsid w:val="00AC6696"/>
    <w:rsid w:val="00AC691A"/>
    <w:rsid w:val="00AC787B"/>
    <w:rsid w:val="00AD0E77"/>
    <w:rsid w:val="00AD334F"/>
    <w:rsid w:val="00AD3716"/>
    <w:rsid w:val="00AD4ECC"/>
    <w:rsid w:val="00AD552B"/>
    <w:rsid w:val="00AD61C9"/>
    <w:rsid w:val="00AD646F"/>
    <w:rsid w:val="00AD6FB6"/>
    <w:rsid w:val="00AE0D8D"/>
    <w:rsid w:val="00AE14EA"/>
    <w:rsid w:val="00AE175D"/>
    <w:rsid w:val="00AE1E26"/>
    <w:rsid w:val="00AE2133"/>
    <w:rsid w:val="00AE4B4D"/>
    <w:rsid w:val="00AE613C"/>
    <w:rsid w:val="00AE6649"/>
    <w:rsid w:val="00AE709B"/>
    <w:rsid w:val="00AE7CF9"/>
    <w:rsid w:val="00AE7F44"/>
    <w:rsid w:val="00AF01E4"/>
    <w:rsid w:val="00AF031F"/>
    <w:rsid w:val="00AF11A8"/>
    <w:rsid w:val="00AF3BC5"/>
    <w:rsid w:val="00AF4005"/>
    <w:rsid w:val="00AF6F09"/>
    <w:rsid w:val="00B002FB"/>
    <w:rsid w:val="00B00374"/>
    <w:rsid w:val="00B00912"/>
    <w:rsid w:val="00B014D9"/>
    <w:rsid w:val="00B016BA"/>
    <w:rsid w:val="00B02594"/>
    <w:rsid w:val="00B02B40"/>
    <w:rsid w:val="00B04BA8"/>
    <w:rsid w:val="00B07AB8"/>
    <w:rsid w:val="00B07F1F"/>
    <w:rsid w:val="00B105D2"/>
    <w:rsid w:val="00B11889"/>
    <w:rsid w:val="00B1192D"/>
    <w:rsid w:val="00B137FC"/>
    <w:rsid w:val="00B13ED2"/>
    <w:rsid w:val="00B14CDA"/>
    <w:rsid w:val="00B151A4"/>
    <w:rsid w:val="00B1532C"/>
    <w:rsid w:val="00B15F99"/>
    <w:rsid w:val="00B16785"/>
    <w:rsid w:val="00B201BB"/>
    <w:rsid w:val="00B20F3B"/>
    <w:rsid w:val="00B211EB"/>
    <w:rsid w:val="00B21D8E"/>
    <w:rsid w:val="00B23A42"/>
    <w:rsid w:val="00B262CB"/>
    <w:rsid w:val="00B269C9"/>
    <w:rsid w:val="00B269F0"/>
    <w:rsid w:val="00B27825"/>
    <w:rsid w:val="00B329DC"/>
    <w:rsid w:val="00B32A7C"/>
    <w:rsid w:val="00B33B6A"/>
    <w:rsid w:val="00B343AD"/>
    <w:rsid w:val="00B34A6D"/>
    <w:rsid w:val="00B34CAA"/>
    <w:rsid w:val="00B34DE6"/>
    <w:rsid w:val="00B34F07"/>
    <w:rsid w:val="00B3515B"/>
    <w:rsid w:val="00B35551"/>
    <w:rsid w:val="00B35B32"/>
    <w:rsid w:val="00B368DC"/>
    <w:rsid w:val="00B3704A"/>
    <w:rsid w:val="00B377DA"/>
    <w:rsid w:val="00B378EB"/>
    <w:rsid w:val="00B40D47"/>
    <w:rsid w:val="00B40DB4"/>
    <w:rsid w:val="00B42193"/>
    <w:rsid w:val="00B4226C"/>
    <w:rsid w:val="00B4258C"/>
    <w:rsid w:val="00B42B22"/>
    <w:rsid w:val="00B43505"/>
    <w:rsid w:val="00B43876"/>
    <w:rsid w:val="00B44771"/>
    <w:rsid w:val="00B46C06"/>
    <w:rsid w:val="00B50122"/>
    <w:rsid w:val="00B50691"/>
    <w:rsid w:val="00B50AF9"/>
    <w:rsid w:val="00B50C96"/>
    <w:rsid w:val="00B5190E"/>
    <w:rsid w:val="00B5604D"/>
    <w:rsid w:val="00B57C94"/>
    <w:rsid w:val="00B60B03"/>
    <w:rsid w:val="00B6137E"/>
    <w:rsid w:val="00B61527"/>
    <w:rsid w:val="00B6177F"/>
    <w:rsid w:val="00B61C11"/>
    <w:rsid w:val="00B61DC9"/>
    <w:rsid w:val="00B638E3"/>
    <w:rsid w:val="00B6390A"/>
    <w:rsid w:val="00B6431E"/>
    <w:rsid w:val="00B656BD"/>
    <w:rsid w:val="00B656E1"/>
    <w:rsid w:val="00B6792E"/>
    <w:rsid w:val="00B67CAC"/>
    <w:rsid w:val="00B707E7"/>
    <w:rsid w:val="00B71AA2"/>
    <w:rsid w:val="00B75980"/>
    <w:rsid w:val="00B75BAC"/>
    <w:rsid w:val="00B75D4A"/>
    <w:rsid w:val="00B76D91"/>
    <w:rsid w:val="00B7748E"/>
    <w:rsid w:val="00B8038A"/>
    <w:rsid w:val="00B80DFA"/>
    <w:rsid w:val="00B81572"/>
    <w:rsid w:val="00B816C2"/>
    <w:rsid w:val="00B81B57"/>
    <w:rsid w:val="00B8282F"/>
    <w:rsid w:val="00B83836"/>
    <w:rsid w:val="00B84510"/>
    <w:rsid w:val="00B851A5"/>
    <w:rsid w:val="00B86A78"/>
    <w:rsid w:val="00B86ADA"/>
    <w:rsid w:val="00B86F5F"/>
    <w:rsid w:val="00B87734"/>
    <w:rsid w:val="00B8791B"/>
    <w:rsid w:val="00B9026C"/>
    <w:rsid w:val="00B90E6D"/>
    <w:rsid w:val="00B91E80"/>
    <w:rsid w:val="00B9217D"/>
    <w:rsid w:val="00B92812"/>
    <w:rsid w:val="00B9333E"/>
    <w:rsid w:val="00B93E53"/>
    <w:rsid w:val="00B94693"/>
    <w:rsid w:val="00B955AD"/>
    <w:rsid w:val="00B95A6E"/>
    <w:rsid w:val="00B9660F"/>
    <w:rsid w:val="00B9766E"/>
    <w:rsid w:val="00BA00D6"/>
    <w:rsid w:val="00BA057B"/>
    <w:rsid w:val="00BA165B"/>
    <w:rsid w:val="00BA33E7"/>
    <w:rsid w:val="00BA3925"/>
    <w:rsid w:val="00BA66FC"/>
    <w:rsid w:val="00BA70FC"/>
    <w:rsid w:val="00BB0726"/>
    <w:rsid w:val="00BB0817"/>
    <w:rsid w:val="00BB0B84"/>
    <w:rsid w:val="00BB0EE6"/>
    <w:rsid w:val="00BB1FF4"/>
    <w:rsid w:val="00BB1FFB"/>
    <w:rsid w:val="00BB2713"/>
    <w:rsid w:val="00BB2A40"/>
    <w:rsid w:val="00BB2A59"/>
    <w:rsid w:val="00BB308C"/>
    <w:rsid w:val="00BB59EA"/>
    <w:rsid w:val="00BB6F9D"/>
    <w:rsid w:val="00BB72E1"/>
    <w:rsid w:val="00BC0536"/>
    <w:rsid w:val="00BC06F5"/>
    <w:rsid w:val="00BC1F6C"/>
    <w:rsid w:val="00BC21AC"/>
    <w:rsid w:val="00BC5B98"/>
    <w:rsid w:val="00BC75CC"/>
    <w:rsid w:val="00BD3158"/>
    <w:rsid w:val="00BD31FE"/>
    <w:rsid w:val="00BD3318"/>
    <w:rsid w:val="00BD3A3C"/>
    <w:rsid w:val="00BD490F"/>
    <w:rsid w:val="00BD4CD8"/>
    <w:rsid w:val="00BD5FA9"/>
    <w:rsid w:val="00BD686B"/>
    <w:rsid w:val="00BD691D"/>
    <w:rsid w:val="00BD736B"/>
    <w:rsid w:val="00BE014A"/>
    <w:rsid w:val="00BE02FE"/>
    <w:rsid w:val="00BE0B37"/>
    <w:rsid w:val="00BE0DEB"/>
    <w:rsid w:val="00BE15DB"/>
    <w:rsid w:val="00BE2F9D"/>
    <w:rsid w:val="00BE3130"/>
    <w:rsid w:val="00BE41E3"/>
    <w:rsid w:val="00BE4BA6"/>
    <w:rsid w:val="00BE6A23"/>
    <w:rsid w:val="00BE6A90"/>
    <w:rsid w:val="00BE6C54"/>
    <w:rsid w:val="00BE72B2"/>
    <w:rsid w:val="00BE73E3"/>
    <w:rsid w:val="00BE7478"/>
    <w:rsid w:val="00BE797F"/>
    <w:rsid w:val="00BF064A"/>
    <w:rsid w:val="00BF2EC3"/>
    <w:rsid w:val="00BF3C70"/>
    <w:rsid w:val="00BF5B99"/>
    <w:rsid w:val="00BF5EA4"/>
    <w:rsid w:val="00BF66B7"/>
    <w:rsid w:val="00BF6799"/>
    <w:rsid w:val="00BF6ED1"/>
    <w:rsid w:val="00BF7773"/>
    <w:rsid w:val="00C01354"/>
    <w:rsid w:val="00C01B6A"/>
    <w:rsid w:val="00C026C6"/>
    <w:rsid w:val="00C02B19"/>
    <w:rsid w:val="00C038E3"/>
    <w:rsid w:val="00C03E86"/>
    <w:rsid w:val="00C042EE"/>
    <w:rsid w:val="00C04661"/>
    <w:rsid w:val="00C04BE0"/>
    <w:rsid w:val="00C052E9"/>
    <w:rsid w:val="00C05765"/>
    <w:rsid w:val="00C05D26"/>
    <w:rsid w:val="00C06576"/>
    <w:rsid w:val="00C065BF"/>
    <w:rsid w:val="00C0670B"/>
    <w:rsid w:val="00C076FC"/>
    <w:rsid w:val="00C113FE"/>
    <w:rsid w:val="00C1208C"/>
    <w:rsid w:val="00C1446F"/>
    <w:rsid w:val="00C1449C"/>
    <w:rsid w:val="00C1452C"/>
    <w:rsid w:val="00C150B4"/>
    <w:rsid w:val="00C1596D"/>
    <w:rsid w:val="00C15C9B"/>
    <w:rsid w:val="00C16037"/>
    <w:rsid w:val="00C17173"/>
    <w:rsid w:val="00C204D6"/>
    <w:rsid w:val="00C20851"/>
    <w:rsid w:val="00C21734"/>
    <w:rsid w:val="00C247C3"/>
    <w:rsid w:val="00C25399"/>
    <w:rsid w:val="00C25485"/>
    <w:rsid w:val="00C26235"/>
    <w:rsid w:val="00C274BB"/>
    <w:rsid w:val="00C27FBE"/>
    <w:rsid w:val="00C308CD"/>
    <w:rsid w:val="00C3097C"/>
    <w:rsid w:val="00C30AED"/>
    <w:rsid w:val="00C32E71"/>
    <w:rsid w:val="00C33C0F"/>
    <w:rsid w:val="00C33F66"/>
    <w:rsid w:val="00C34EF6"/>
    <w:rsid w:val="00C3518A"/>
    <w:rsid w:val="00C362FC"/>
    <w:rsid w:val="00C3634D"/>
    <w:rsid w:val="00C369D2"/>
    <w:rsid w:val="00C37AFA"/>
    <w:rsid w:val="00C40530"/>
    <w:rsid w:val="00C42015"/>
    <w:rsid w:val="00C42E10"/>
    <w:rsid w:val="00C43BEE"/>
    <w:rsid w:val="00C447E3"/>
    <w:rsid w:val="00C451AC"/>
    <w:rsid w:val="00C457E7"/>
    <w:rsid w:val="00C45C81"/>
    <w:rsid w:val="00C46307"/>
    <w:rsid w:val="00C46CD7"/>
    <w:rsid w:val="00C505F5"/>
    <w:rsid w:val="00C51234"/>
    <w:rsid w:val="00C51AE2"/>
    <w:rsid w:val="00C53029"/>
    <w:rsid w:val="00C53CCB"/>
    <w:rsid w:val="00C54587"/>
    <w:rsid w:val="00C54598"/>
    <w:rsid w:val="00C54DEA"/>
    <w:rsid w:val="00C55002"/>
    <w:rsid w:val="00C55CB0"/>
    <w:rsid w:val="00C55CCD"/>
    <w:rsid w:val="00C571AB"/>
    <w:rsid w:val="00C642AB"/>
    <w:rsid w:val="00C65BAB"/>
    <w:rsid w:val="00C65ECD"/>
    <w:rsid w:val="00C664F1"/>
    <w:rsid w:val="00C66B57"/>
    <w:rsid w:val="00C673F0"/>
    <w:rsid w:val="00C71C51"/>
    <w:rsid w:val="00C727BE"/>
    <w:rsid w:val="00C74AE7"/>
    <w:rsid w:val="00C74DBD"/>
    <w:rsid w:val="00C778B1"/>
    <w:rsid w:val="00C81BB5"/>
    <w:rsid w:val="00C8221F"/>
    <w:rsid w:val="00C83652"/>
    <w:rsid w:val="00C836E6"/>
    <w:rsid w:val="00C8450A"/>
    <w:rsid w:val="00C84685"/>
    <w:rsid w:val="00C846C1"/>
    <w:rsid w:val="00C84FC0"/>
    <w:rsid w:val="00C8546B"/>
    <w:rsid w:val="00C85C1B"/>
    <w:rsid w:val="00C90826"/>
    <w:rsid w:val="00C9085C"/>
    <w:rsid w:val="00C91867"/>
    <w:rsid w:val="00C91959"/>
    <w:rsid w:val="00C92B43"/>
    <w:rsid w:val="00C92C25"/>
    <w:rsid w:val="00C92C68"/>
    <w:rsid w:val="00C93512"/>
    <w:rsid w:val="00C947B1"/>
    <w:rsid w:val="00C94A94"/>
    <w:rsid w:val="00C9517D"/>
    <w:rsid w:val="00C968DD"/>
    <w:rsid w:val="00CA014D"/>
    <w:rsid w:val="00CA0215"/>
    <w:rsid w:val="00CA256A"/>
    <w:rsid w:val="00CA25C9"/>
    <w:rsid w:val="00CA2C3A"/>
    <w:rsid w:val="00CA3F1A"/>
    <w:rsid w:val="00CA4607"/>
    <w:rsid w:val="00CA51FF"/>
    <w:rsid w:val="00CA53FB"/>
    <w:rsid w:val="00CA5CB2"/>
    <w:rsid w:val="00CA6892"/>
    <w:rsid w:val="00CB2554"/>
    <w:rsid w:val="00CB2BDA"/>
    <w:rsid w:val="00CB30F1"/>
    <w:rsid w:val="00CB3637"/>
    <w:rsid w:val="00CB3A05"/>
    <w:rsid w:val="00CB4AE6"/>
    <w:rsid w:val="00CB515E"/>
    <w:rsid w:val="00CB5F8C"/>
    <w:rsid w:val="00CB64EB"/>
    <w:rsid w:val="00CB68D5"/>
    <w:rsid w:val="00CB6C47"/>
    <w:rsid w:val="00CB7154"/>
    <w:rsid w:val="00CC0BA0"/>
    <w:rsid w:val="00CC199B"/>
    <w:rsid w:val="00CC1CD2"/>
    <w:rsid w:val="00CC2828"/>
    <w:rsid w:val="00CC29DE"/>
    <w:rsid w:val="00CC346C"/>
    <w:rsid w:val="00CC37D4"/>
    <w:rsid w:val="00CC3AB4"/>
    <w:rsid w:val="00CC5C44"/>
    <w:rsid w:val="00CC5D38"/>
    <w:rsid w:val="00CC5F5B"/>
    <w:rsid w:val="00CC72A1"/>
    <w:rsid w:val="00CD01B0"/>
    <w:rsid w:val="00CD0E38"/>
    <w:rsid w:val="00CD11E3"/>
    <w:rsid w:val="00CD233C"/>
    <w:rsid w:val="00CD3820"/>
    <w:rsid w:val="00CD3E1B"/>
    <w:rsid w:val="00CD55B1"/>
    <w:rsid w:val="00CD6376"/>
    <w:rsid w:val="00CD775B"/>
    <w:rsid w:val="00CD794A"/>
    <w:rsid w:val="00CD7D26"/>
    <w:rsid w:val="00CD7EC4"/>
    <w:rsid w:val="00CE0890"/>
    <w:rsid w:val="00CE121B"/>
    <w:rsid w:val="00CE25C0"/>
    <w:rsid w:val="00CE3037"/>
    <w:rsid w:val="00CE3477"/>
    <w:rsid w:val="00CE4085"/>
    <w:rsid w:val="00CE5DE5"/>
    <w:rsid w:val="00CE6293"/>
    <w:rsid w:val="00CE6A1A"/>
    <w:rsid w:val="00CE6C6B"/>
    <w:rsid w:val="00CE6F2F"/>
    <w:rsid w:val="00CE71A3"/>
    <w:rsid w:val="00CE7994"/>
    <w:rsid w:val="00CF06DE"/>
    <w:rsid w:val="00CF1125"/>
    <w:rsid w:val="00CF1324"/>
    <w:rsid w:val="00CF14EC"/>
    <w:rsid w:val="00CF1CFE"/>
    <w:rsid w:val="00CF4973"/>
    <w:rsid w:val="00CF5232"/>
    <w:rsid w:val="00CF6A61"/>
    <w:rsid w:val="00CF6B86"/>
    <w:rsid w:val="00CF7478"/>
    <w:rsid w:val="00CF7533"/>
    <w:rsid w:val="00D00242"/>
    <w:rsid w:val="00D0034F"/>
    <w:rsid w:val="00D0232E"/>
    <w:rsid w:val="00D02443"/>
    <w:rsid w:val="00D02A8D"/>
    <w:rsid w:val="00D02C32"/>
    <w:rsid w:val="00D02CE8"/>
    <w:rsid w:val="00D04154"/>
    <w:rsid w:val="00D05529"/>
    <w:rsid w:val="00D05731"/>
    <w:rsid w:val="00D05981"/>
    <w:rsid w:val="00D05ADA"/>
    <w:rsid w:val="00D0648C"/>
    <w:rsid w:val="00D12156"/>
    <w:rsid w:val="00D126A3"/>
    <w:rsid w:val="00D13904"/>
    <w:rsid w:val="00D14229"/>
    <w:rsid w:val="00D1425A"/>
    <w:rsid w:val="00D147AB"/>
    <w:rsid w:val="00D15533"/>
    <w:rsid w:val="00D15A5D"/>
    <w:rsid w:val="00D15BDF"/>
    <w:rsid w:val="00D164E6"/>
    <w:rsid w:val="00D16736"/>
    <w:rsid w:val="00D167C7"/>
    <w:rsid w:val="00D17002"/>
    <w:rsid w:val="00D17288"/>
    <w:rsid w:val="00D173B8"/>
    <w:rsid w:val="00D23408"/>
    <w:rsid w:val="00D237E8"/>
    <w:rsid w:val="00D23B0D"/>
    <w:rsid w:val="00D23F1C"/>
    <w:rsid w:val="00D24889"/>
    <w:rsid w:val="00D25137"/>
    <w:rsid w:val="00D252BC"/>
    <w:rsid w:val="00D25415"/>
    <w:rsid w:val="00D25713"/>
    <w:rsid w:val="00D25A8A"/>
    <w:rsid w:val="00D2622D"/>
    <w:rsid w:val="00D2667F"/>
    <w:rsid w:val="00D277B5"/>
    <w:rsid w:val="00D30496"/>
    <w:rsid w:val="00D31EB7"/>
    <w:rsid w:val="00D31F73"/>
    <w:rsid w:val="00D32B1C"/>
    <w:rsid w:val="00D3312E"/>
    <w:rsid w:val="00D3332E"/>
    <w:rsid w:val="00D33A6D"/>
    <w:rsid w:val="00D343D2"/>
    <w:rsid w:val="00D3532C"/>
    <w:rsid w:val="00D35962"/>
    <w:rsid w:val="00D378CA"/>
    <w:rsid w:val="00D40262"/>
    <w:rsid w:val="00D4076A"/>
    <w:rsid w:val="00D40AF6"/>
    <w:rsid w:val="00D41B0C"/>
    <w:rsid w:val="00D4321A"/>
    <w:rsid w:val="00D43387"/>
    <w:rsid w:val="00D43C07"/>
    <w:rsid w:val="00D4537B"/>
    <w:rsid w:val="00D45784"/>
    <w:rsid w:val="00D4593D"/>
    <w:rsid w:val="00D459D0"/>
    <w:rsid w:val="00D45E9B"/>
    <w:rsid w:val="00D46F67"/>
    <w:rsid w:val="00D475E3"/>
    <w:rsid w:val="00D47D36"/>
    <w:rsid w:val="00D50A2A"/>
    <w:rsid w:val="00D50D6B"/>
    <w:rsid w:val="00D51BC5"/>
    <w:rsid w:val="00D52D0F"/>
    <w:rsid w:val="00D559FF"/>
    <w:rsid w:val="00D5648F"/>
    <w:rsid w:val="00D56C91"/>
    <w:rsid w:val="00D572D9"/>
    <w:rsid w:val="00D57EC5"/>
    <w:rsid w:val="00D616A3"/>
    <w:rsid w:val="00D62852"/>
    <w:rsid w:val="00D6611B"/>
    <w:rsid w:val="00D6621B"/>
    <w:rsid w:val="00D66901"/>
    <w:rsid w:val="00D66C28"/>
    <w:rsid w:val="00D728A9"/>
    <w:rsid w:val="00D730F3"/>
    <w:rsid w:val="00D73B7E"/>
    <w:rsid w:val="00D74236"/>
    <w:rsid w:val="00D74238"/>
    <w:rsid w:val="00D7477B"/>
    <w:rsid w:val="00D75B4E"/>
    <w:rsid w:val="00D7605C"/>
    <w:rsid w:val="00D77DCE"/>
    <w:rsid w:val="00D81905"/>
    <w:rsid w:val="00D8244F"/>
    <w:rsid w:val="00D8319A"/>
    <w:rsid w:val="00D84C62"/>
    <w:rsid w:val="00D85BC5"/>
    <w:rsid w:val="00D86EBE"/>
    <w:rsid w:val="00D90160"/>
    <w:rsid w:val="00D902EA"/>
    <w:rsid w:val="00D9190D"/>
    <w:rsid w:val="00D91DA3"/>
    <w:rsid w:val="00D92E56"/>
    <w:rsid w:val="00D9386F"/>
    <w:rsid w:val="00D96E4C"/>
    <w:rsid w:val="00D97A82"/>
    <w:rsid w:val="00DA0371"/>
    <w:rsid w:val="00DA0AC2"/>
    <w:rsid w:val="00DA2958"/>
    <w:rsid w:val="00DA2BA7"/>
    <w:rsid w:val="00DA3A97"/>
    <w:rsid w:val="00DA3B78"/>
    <w:rsid w:val="00DA49F1"/>
    <w:rsid w:val="00DA5072"/>
    <w:rsid w:val="00DA5487"/>
    <w:rsid w:val="00DA56E3"/>
    <w:rsid w:val="00DA578C"/>
    <w:rsid w:val="00DA5BE3"/>
    <w:rsid w:val="00DA653C"/>
    <w:rsid w:val="00DA7AAD"/>
    <w:rsid w:val="00DA7DEB"/>
    <w:rsid w:val="00DB015C"/>
    <w:rsid w:val="00DB0FE1"/>
    <w:rsid w:val="00DB12C3"/>
    <w:rsid w:val="00DB1601"/>
    <w:rsid w:val="00DB1BB4"/>
    <w:rsid w:val="00DB1CD9"/>
    <w:rsid w:val="00DB26BF"/>
    <w:rsid w:val="00DB2DC6"/>
    <w:rsid w:val="00DB34F5"/>
    <w:rsid w:val="00DB3A3C"/>
    <w:rsid w:val="00DB435F"/>
    <w:rsid w:val="00DB4D31"/>
    <w:rsid w:val="00DB5E47"/>
    <w:rsid w:val="00DB6696"/>
    <w:rsid w:val="00DC00C3"/>
    <w:rsid w:val="00DC038E"/>
    <w:rsid w:val="00DC2BB3"/>
    <w:rsid w:val="00DC36FC"/>
    <w:rsid w:val="00DC370B"/>
    <w:rsid w:val="00DC37CE"/>
    <w:rsid w:val="00DC637B"/>
    <w:rsid w:val="00DC7D5B"/>
    <w:rsid w:val="00DD0A6B"/>
    <w:rsid w:val="00DD1060"/>
    <w:rsid w:val="00DD1182"/>
    <w:rsid w:val="00DD11D8"/>
    <w:rsid w:val="00DD1AAF"/>
    <w:rsid w:val="00DD2DDE"/>
    <w:rsid w:val="00DD4A77"/>
    <w:rsid w:val="00DD506B"/>
    <w:rsid w:val="00DD79BE"/>
    <w:rsid w:val="00DD7D7E"/>
    <w:rsid w:val="00DE04EE"/>
    <w:rsid w:val="00DE1198"/>
    <w:rsid w:val="00DE2325"/>
    <w:rsid w:val="00DE33B1"/>
    <w:rsid w:val="00DE4328"/>
    <w:rsid w:val="00DE44C3"/>
    <w:rsid w:val="00DE4948"/>
    <w:rsid w:val="00DE59BD"/>
    <w:rsid w:val="00DE6018"/>
    <w:rsid w:val="00DE6A8E"/>
    <w:rsid w:val="00DF1A19"/>
    <w:rsid w:val="00DF20A9"/>
    <w:rsid w:val="00DF229E"/>
    <w:rsid w:val="00DF2ED4"/>
    <w:rsid w:val="00DF3B8D"/>
    <w:rsid w:val="00DF5F76"/>
    <w:rsid w:val="00DF6A64"/>
    <w:rsid w:val="00DF6C79"/>
    <w:rsid w:val="00E00E38"/>
    <w:rsid w:val="00E010D9"/>
    <w:rsid w:val="00E024A0"/>
    <w:rsid w:val="00E025C1"/>
    <w:rsid w:val="00E0356C"/>
    <w:rsid w:val="00E0462F"/>
    <w:rsid w:val="00E04839"/>
    <w:rsid w:val="00E05740"/>
    <w:rsid w:val="00E0580D"/>
    <w:rsid w:val="00E059ED"/>
    <w:rsid w:val="00E05C0C"/>
    <w:rsid w:val="00E0654A"/>
    <w:rsid w:val="00E065F1"/>
    <w:rsid w:val="00E07214"/>
    <w:rsid w:val="00E07D8C"/>
    <w:rsid w:val="00E10792"/>
    <w:rsid w:val="00E11F75"/>
    <w:rsid w:val="00E123FD"/>
    <w:rsid w:val="00E1444C"/>
    <w:rsid w:val="00E14DFB"/>
    <w:rsid w:val="00E15876"/>
    <w:rsid w:val="00E15B81"/>
    <w:rsid w:val="00E15E7A"/>
    <w:rsid w:val="00E16B1B"/>
    <w:rsid w:val="00E2032F"/>
    <w:rsid w:val="00E2110B"/>
    <w:rsid w:val="00E23B27"/>
    <w:rsid w:val="00E25AAD"/>
    <w:rsid w:val="00E26D83"/>
    <w:rsid w:val="00E27295"/>
    <w:rsid w:val="00E30685"/>
    <w:rsid w:val="00E3137C"/>
    <w:rsid w:val="00E3153F"/>
    <w:rsid w:val="00E31802"/>
    <w:rsid w:val="00E3252A"/>
    <w:rsid w:val="00E32822"/>
    <w:rsid w:val="00E32B80"/>
    <w:rsid w:val="00E33009"/>
    <w:rsid w:val="00E33665"/>
    <w:rsid w:val="00E34684"/>
    <w:rsid w:val="00E34CC2"/>
    <w:rsid w:val="00E34D5B"/>
    <w:rsid w:val="00E35B91"/>
    <w:rsid w:val="00E365BA"/>
    <w:rsid w:val="00E36E0A"/>
    <w:rsid w:val="00E37065"/>
    <w:rsid w:val="00E3768A"/>
    <w:rsid w:val="00E4081E"/>
    <w:rsid w:val="00E412BB"/>
    <w:rsid w:val="00E41F94"/>
    <w:rsid w:val="00E42D8C"/>
    <w:rsid w:val="00E42EEA"/>
    <w:rsid w:val="00E42F6F"/>
    <w:rsid w:val="00E43313"/>
    <w:rsid w:val="00E43335"/>
    <w:rsid w:val="00E44027"/>
    <w:rsid w:val="00E458CC"/>
    <w:rsid w:val="00E45BBA"/>
    <w:rsid w:val="00E45ED3"/>
    <w:rsid w:val="00E464CF"/>
    <w:rsid w:val="00E46615"/>
    <w:rsid w:val="00E46810"/>
    <w:rsid w:val="00E47186"/>
    <w:rsid w:val="00E500D2"/>
    <w:rsid w:val="00E52E03"/>
    <w:rsid w:val="00E53774"/>
    <w:rsid w:val="00E54FA9"/>
    <w:rsid w:val="00E55D21"/>
    <w:rsid w:val="00E56112"/>
    <w:rsid w:val="00E56839"/>
    <w:rsid w:val="00E568DA"/>
    <w:rsid w:val="00E5777A"/>
    <w:rsid w:val="00E60B03"/>
    <w:rsid w:val="00E60B18"/>
    <w:rsid w:val="00E61023"/>
    <w:rsid w:val="00E61CF2"/>
    <w:rsid w:val="00E63469"/>
    <w:rsid w:val="00E64012"/>
    <w:rsid w:val="00E66884"/>
    <w:rsid w:val="00E67350"/>
    <w:rsid w:val="00E71712"/>
    <w:rsid w:val="00E73030"/>
    <w:rsid w:val="00E746A8"/>
    <w:rsid w:val="00E7481D"/>
    <w:rsid w:val="00E75EB1"/>
    <w:rsid w:val="00E80417"/>
    <w:rsid w:val="00E819DB"/>
    <w:rsid w:val="00E82966"/>
    <w:rsid w:val="00E82CDE"/>
    <w:rsid w:val="00E84972"/>
    <w:rsid w:val="00E84BF9"/>
    <w:rsid w:val="00E87A9F"/>
    <w:rsid w:val="00E905E3"/>
    <w:rsid w:val="00E913FD"/>
    <w:rsid w:val="00E91928"/>
    <w:rsid w:val="00E9235D"/>
    <w:rsid w:val="00E9260D"/>
    <w:rsid w:val="00E93C48"/>
    <w:rsid w:val="00E9437B"/>
    <w:rsid w:val="00E94BC9"/>
    <w:rsid w:val="00E9517C"/>
    <w:rsid w:val="00E95525"/>
    <w:rsid w:val="00E95B1D"/>
    <w:rsid w:val="00E9699A"/>
    <w:rsid w:val="00E97346"/>
    <w:rsid w:val="00EA094F"/>
    <w:rsid w:val="00EA6CF4"/>
    <w:rsid w:val="00EA72E7"/>
    <w:rsid w:val="00EA7CF4"/>
    <w:rsid w:val="00EB2DF1"/>
    <w:rsid w:val="00EB2E56"/>
    <w:rsid w:val="00EB2FF6"/>
    <w:rsid w:val="00EB30B6"/>
    <w:rsid w:val="00EB42E5"/>
    <w:rsid w:val="00EB6DD8"/>
    <w:rsid w:val="00EB7FA0"/>
    <w:rsid w:val="00EC0BF1"/>
    <w:rsid w:val="00EC163D"/>
    <w:rsid w:val="00EC39ED"/>
    <w:rsid w:val="00EC3B1A"/>
    <w:rsid w:val="00EC49F1"/>
    <w:rsid w:val="00EC4A01"/>
    <w:rsid w:val="00EC5E12"/>
    <w:rsid w:val="00EC6429"/>
    <w:rsid w:val="00EC65F0"/>
    <w:rsid w:val="00EC6EAD"/>
    <w:rsid w:val="00EC7D1C"/>
    <w:rsid w:val="00ED1583"/>
    <w:rsid w:val="00ED256B"/>
    <w:rsid w:val="00ED2A7F"/>
    <w:rsid w:val="00ED2B1F"/>
    <w:rsid w:val="00ED3550"/>
    <w:rsid w:val="00ED3662"/>
    <w:rsid w:val="00ED3DEC"/>
    <w:rsid w:val="00ED4CAE"/>
    <w:rsid w:val="00ED5C09"/>
    <w:rsid w:val="00ED6513"/>
    <w:rsid w:val="00ED74CE"/>
    <w:rsid w:val="00EE0064"/>
    <w:rsid w:val="00EE0832"/>
    <w:rsid w:val="00EE0A32"/>
    <w:rsid w:val="00EE10B3"/>
    <w:rsid w:val="00EE1E56"/>
    <w:rsid w:val="00EE359C"/>
    <w:rsid w:val="00EE35BB"/>
    <w:rsid w:val="00EE389D"/>
    <w:rsid w:val="00EE4C6B"/>
    <w:rsid w:val="00EE5163"/>
    <w:rsid w:val="00EE54A1"/>
    <w:rsid w:val="00EE5741"/>
    <w:rsid w:val="00EE6650"/>
    <w:rsid w:val="00EF044A"/>
    <w:rsid w:val="00EF1122"/>
    <w:rsid w:val="00EF1E73"/>
    <w:rsid w:val="00EF20CF"/>
    <w:rsid w:val="00EF22C7"/>
    <w:rsid w:val="00EF23B4"/>
    <w:rsid w:val="00EF2D1E"/>
    <w:rsid w:val="00EF3336"/>
    <w:rsid w:val="00EF64E3"/>
    <w:rsid w:val="00EF7305"/>
    <w:rsid w:val="00F00698"/>
    <w:rsid w:val="00F01E3C"/>
    <w:rsid w:val="00F02CEA"/>
    <w:rsid w:val="00F0397F"/>
    <w:rsid w:val="00F05455"/>
    <w:rsid w:val="00F054F5"/>
    <w:rsid w:val="00F057E4"/>
    <w:rsid w:val="00F06196"/>
    <w:rsid w:val="00F11928"/>
    <w:rsid w:val="00F1197C"/>
    <w:rsid w:val="00F11AAA"/>
    <w:rsid w:val="00F137D1"/>
    <w:rsid w:val="00F13E9A"/>
    <w:rsid w:val="00F13F26"/>
    <w:rsid w:val="00F15352"/>
    <w:rsid w:val="00F156DE"/>
    <w:rsid w:val="00F15B4C"/>
    <w:rsid w:val="00F16017"/>
    <w:rsid w:val="00F16B60"/>
    <w:rsid w:val="00F17346"/>
    <w:rsid w:val="00F202A7"/>
    <w:rsid w:val="00F21601"/>
    <w:rsid w:val="00F23281"/>
    <w:rsid w:val="00F2457F"/>
    <w:rsid w:val="00F24640"/>
    <w:rsid w:val="00F2650F"/>
    <w:rsid w:val="00F30175"/>
    <w:rsid w:val="00F3030B"/>
    <w:rsid w:val="00F31E58"/>
    <w:rsid w:val="00F32EE7"/>
    <w:rsid w:val="00F350E7"/>
    <w:rsid w:val="00F35541"/>
    <w:rsid w:val="00F35F38"/>
    <w:rsid w:val="00F400D4"/>
    <w:rsid w:val="00F40D5E"/>
    <w:rsid w:val="00F4262F"/>
    <w:rsid w:val="00F42B20"/>
    <w:rsid w:val="00F43494"/>
    <w:rsid w:val="00F43515"/>
    <w:rsid w:val="00F446AB"/>
    <w:rsid w:val="00F45910"/>
    <w:rsid w:val="00F463FB"/>
    <w:rsid w:val="00F47B40"/>
    <w:rsid w:val="00F5037F"/>
    <w:rsid w:val="00F51DA1"/>
    <w:rsid w:val="00F525C9"/>
    <w:rsid w:val="00F528D6"/>
    <w:rsid w:val="00F52980"/>
    <w:rsid w:val="00F53E8F"/>
    <w:rsid w:val="00F56D06"/>
    <w:rsid w:val="00F56FD1"/>
    <w:rsid w:val="00F5771E"/>
    <w:rsid w:val="00F600A5"/>
    <w:rsid w:val="00F6049F"/>
    <w:rsid w:val="00F605E0"/>
    <w:rsid w:val="00F60CDA"/>
    <w:rsid w:val="00F60DBB"/>
    <w:rsid w:val="00F61504"/>
    <w:rsid w:val="00F62D01"/>
    <w:rsid w:val="00F674B3"/>
    <w:rsid w:val="00F67A7E"/>
    <w:rsid w:val="00F71B6A"/>
    <w:rsid w:val="00F71CE0"/>
    <w:rsid w:val="00F73F8C"/>
    <w:rsid w:val="00F7409F"/>
    <w:rsid w:val="00F75020"/>
    <w:rsid w:val="00F7576D"/>
    <w:rsid w:val="00F7581D"/>
    <w:rsid w:val="00F75948"/>
    <w:rsid w:val="00F76B69"/>
    <w:rsid w:val="00F76C89"/>
    <w:rsid w:val="00F77119"/>
    <w:rsid w:val="00F77336"/>
    <w:rsid w:val="00F7738E"/>
    <w:rsid w:val="00F81628"/>
    <w:rsid w:val="00F82DE1"/>
    <w:rsid w:val="00F82F0D"/>
    <w:rsid w:val="00F83677"/>
    <w:rsid w:val="00F85A0C"/>
    <w:rsid w:val="00F85EC8"/>
    <w:rsid w:val="00F870CE"/>
    <w:rsid w:val="00F8763C"/>
    <w:rsid w:val="00F9034B"/>
    <w:rsid w:val="00F905D8"/>
    <w:rsid w:val="00F90DFF"/>
    <w:rsid w:val="00F911EC"/>
    <w:rsid w:val="00F91D21"/>
    <w:rsid w:val="00F92626"/>
    <w:rsid w:val="00F930D8"/>
    <w:rsid w:val="00F93822"/>
    <w:rsid w:val="00F94E9C"/>
    <w:rsid w:val="00F95E7E"/>
    <w:rsid w:val="00F9736D"/>
    <w:rsid w:val="00F97A22"/>
    <w:rsid w:val="00FA00BF"/>
    <w:rsid w:val="00FA1FCE"/>
    <w:rsid w:val="00FA410F"/>
    <w:rsid w:val="00FA4291"/>
    <w:rsid w:val="00FA51C5"/>
    <w:rsid w:val="00FA77F2"/>
    <w:rsid w:val="00FA791C"/>
    <w:rsid w:val="00FA793B"/>
    <w:rsid w:val="00FB045D"/>
    <w:rsid w:val="00FB1B84"/>
    <w:rsid w:val="00FB1CA2"/>
    <w:rsid w:val="00FB2BCE"/>
    <w:rsid w:val="00FB3120"/>
    <w:rsid w:val="00FB42F1"/>
    <w:rsid w:val="00FB4350"/>
    <w:rsid w:val="00FB46FF"/>
    <w:rsid w:val="00FB4ADB"/>
    <w:rsid w:val="00FB5058"/>
    <w:rsid w:val="00FB5A3E"/>
    <w:rsid w:val="00FB6C0D"/>
    <w:rsid w:val="00FC04B1"/>
    <w:rsid w:val="00FC1282"/>
    <w:rsid w:val="00FC20E0"/>
    <w:rsid w:val="00FC324A"/>
    <w:rsid w:val="00FC505B"/>
    <w:rsid w:val="00FC513D"/>
    <w:rsid w:val="00FC6CCF"/>
    <w:rsid w:val="00FC6D45"/>
    <w:rsid w:val="00FC6E58"/>
    <w:rsid w:val="00FD094A"/>
    <w:rsid w:val="00FD15E8"/>
    <w:rsid w:val="00FD1619"/>
    <w:rsid w:val="00FD2A99"/>
    <w:rsid w:val="00FD2D8C"/>
    <w:rsid w:val="00FD4F17"/>
    <w:rsid w:val="00FD52BE"/>
    <w:rsid w:val="00FD543C"/>
    <w:rsid w:val="00FD553B"/>
    <w:rsid w:val="00FD5ADF"/>
    <w:rsid w:val="00FE0D5B"/>
    <w:rsid w:val="00FE0DBE"/>
    <w:rsid w:val="00FE0EE9"/>
    <w:rsid w:val="00FE166F"/>
    <w:rsid w:val="00FE252D"/>
    <w:rsid w:val="00FE375F"/>
    <w:rsid w:val="00FE4AFF"/>
    <w:rsid w:val="00FE4D8C"/>
    <w:rsid w:val="00FE4FC1"/>
    <w:rsid w:val="00FE5DD5"/>
    <w:rsid w:val="00FE69FF"/>
    <w:rsid w:val="00FE6F81"/>
    <w:rsid w:val="00FE75B4"/>
    <w:rsid w:val="00FE7DE6"/>
    <w:rsid w:val="00FF1783"/>
    <w:rsid w:val="00FF30E7"/>
    <w:rsid w:val="00FF4C20"/>
    <w:rsid w:val="00FF4F8B"/>
    <w:rsid w:val="00FF6638"/>
    <w:rsid w:val="00FF76D5"/>
    <w:rsid w:val="00FF782A"/>
    <w:rsid w:val="00FF7F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54638D"/>
  <w15:chartTrackingRefBased/>
  <w15:docId w15:val="{A17C3EA3-6032-4A0B-9768-EE149906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EB4"/>
  </w:style>
  <w:style w:type="paragraph" w:styleId="Heading1">
    <w:name w:val="heading 1"/>
    <w:basedOn w:val="Normal"/>
    <w:next w:val="Normal"/>
    <w:link w:val="Heading1Char"/>
    <w:uiPriority w:val="9"/>
    <w:qFormat/>
    <w:rsid w:val="00A16B23"/>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A16B23"/>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semiHidden/>
    <w:unhideWhenUsed/>
    <w:qFormat/>
    <w:rsid w:val="00A16B23"/>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Heading4">
    <w:name w:val="heading 4"/>
    <w:basedOn w:val="Normal"/>
    <w:next w:val="Normal"/>
    <w:link w:val="Heading4Char"/>
    <w:uiPriority w:val="9"/>
    <w:semiHidden/>
    <w:unhideWhenUsed/>
    <w:qFormat/>
    <w:rsid w:val="00A16B23"/>
    <w:pPr>
      <w:keepNext/>
      <w:keepLines/>
      <w:spacing w:before="40" w:after="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A53FB"/>
    <w:rPr>
      <w:color w:val="0000FF"/>
      <w:shd w:val="clear" w:color="auto" w:fill="auto"/>
    </w:rPr>
  </w:style>
  <w:style w:type="paragraph" w:customStyle="1" w:styleId="Pagedecouverture">
    <w:name w:val="Page de couverture"/>
    <w:basedOn w:val="Normal"/>
    <w:next w:val="Normal"/>
    <w:rsid w:val="00CA53FB"/>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CA5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FB"/>
  </w:style>
  <w:style w:type="paragraph" w:styleId="Footer">
    <w:name w:val="footer"/>
    <w:basedOn w:val="Normal"/>
    <w:link w:val="FooterChar"/>
    <w:uiPriority w:val="99"/>
    <w:unhideWhenUsed/>
    <w:rsid w:val="00CA5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FB"/>
  </w:style>
  <w:style w:type="paragraph" w:customStyle="1" w:styleId="Typedudocument">
    <w:name w:val="Type du document"/>
    <w:basedOn w:val="Normal"/>
    <w:next w:val="Normal"/>
    <w:link w:val="TypedudocumentChar"/>
    <w:rsid w:val="00CA53FB"/>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CA53FB"/>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CA53F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sid w:val="00CA53FB"/>
    <w:rPr>
      <w:rFonts w:ascii="Times New Roman" w:hAnsi="Times New Roman" w:cs="Times New Roman"/>
      <w:b/>
      <w:sz w:val="24"/>
    </w:rPr>
  </w:style>
  <w:style w:type="character" w:customStyle="1" w:styleId="FooterCoverPageChar">
    <w:name w:val="Footer Cover Page Char"/>
    <w:basedOn w:val="TypedudocumentChar"/>
    <w:link w:val="FooterCoverPage"/>
    <w:rsid w:val="00CA53FB"/>
    <w:rPr>
      <w:rFonts w:ascii="Times New Roman" w:hAnsi="Times New Roman" w:cs="Times New Roman"/>
      <w:b w:val="0"/>
      <w:sz w:val="24"/>
    </w:rPr>
  </w:style>
  <w:style w:type="paragraph" w:customStyle="1" w:styleId="FooterSensitivity">
    <w:name w:val="Footer Sensitivity"/>
    <w:basedOn w:val="Normal"/>
    <w:link w:val="FooterSensitivityChar"/>
    <w:rsid w:val="00CA53F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sid w:val="00CA53FB"/>
    <w:rPr>
      <w:rFonts w:ascii="Times New Roman" w:hAnsi="Times New Roman" w:cs="Times New Roman"/>
      <w:b/>
      <w:sz w:val="32"/>
    </w:rPr>
  </w:style>
  <w:style w:type="paragraph" w:customStyle="1" w:styleId="HeaderCoverPage">
    <w:name w:val="Header Cover Page"/>
    <w:basedOn w:val="Normal"/>
    <w:link w:val="HeaderCoverPageChar"/>
    <w:rsid w:val="00CA53F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sid w:val="00CA53FB"/>
    <w:rPr>
      <w:rFonts w:ascii="Times New Roman" w:hAnsi="Times New Roman" w:cs="Times New Roman"/>
      <w:b w:val="0"/>
      <w:sz w:val="24"/>
    </w:rPr>
  </w:style>
  <w:style w:type="paragraph" w:customStyle="1" w:styleId="HeaderSensitivity">
    <w:name w:val="Header Sensitivity"/>
    <w:basedOn w:val="Normal"/>
    <w:link w:val="HeaderSensitivityChar"/>
    <w:rsid w:val="00CA53F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sid w:val="00CA53FB"/>
    <w:rPr>
      <w:rFonts w:ascii="Times New Roman" w:hAnsi="Times New Roman" w:cs="Times New Roman"/>
      <w:b/>
      <w:sz w:val="32"/>
    </w:rPr>
  </w:style>
  <w:style w:type="paragraph" w:customStyle="1" w:styleId="HeaderSensitivityRight">
    <w:name w:val="Header Sensitivity Right"/>
    <w:basedOn w:val="Normal"/>
    <w:link w:val="HeaderSensitivityRightChar"/>
    <w:rsid w:val="00CA53F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sid w:val="00CA53FB"/>
    <w:rPr>
      <w:rFonts w:ascii="Times New Roman" w:hAnsi="Times New Roman" w:cs="Times New Roman"/>
      <w:b w:val="0"/>
      <w:sz w:val="28"/>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CA53FB"/>
    <w:pPr>
      <w:ind w:left="720"/>
      <w:contextualSpacing/>
    </w:pPr>
  </w:style>
  <w:style w:type="table" w:styleId="TableGrid">
    <w:name w:val="Table Grid"/>
    <w:basedOn w:val="TableNormal"/>
    <w:uiPriority w:val="59"/>
    <w:rsid w:val="001A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6B23"/>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sid w:val="00A16B23"/>
    <w:rPr>
      <w:rFonts w:asciiTheme="majorHAnsi" w:eastAsiaTheme="majorEastAsia" w:hAnsiTheme="majorHAnsi" w:cstheme="majorBidi"/>
      <w:color w:val="1481AB" w:themeColor="accent1" w:themeShade="BF"/>
      <w:sz w:val="26"/>
      <w:szCs w:val="26"/>
    </w:rPr>
  </w:style>
  <w:style w:type="character" w:customStyle="1" w:styleId="Heading3Char">
    <w:name w:val="Heading 3 Char"/>
    <w:basedOn w:val="DefaultParagraphFont"/>
    <w:link w:val="Heading3"/>
    <w:uiPriority w:val="9"/>
    <w:semiHidden/>
    <w:rsid w:val="00A16B23"/>
    <w:rPr>
      <w:rFonts w:asciiTheme="majorHAnsi" w:eastAsiaTheme="majorEastAsia" w:hAnsiTheme="majorHAnsi" w:cstheme="majorBidi"/>
      <w:color w:val="0D5571" w:themeColor="accent1" w:themeShade="7F"/>
      <w:sz w:val="24"/>
      <w:szCs w:val="24"/>
    </w:rPr>
  </w:style>
  <w:style w:type="character" w:customStyle="1" w:styleId="Heading4Char">
    <w:name w:val="Heading 4 Char"/>
    <w:basedOn w:val="DefaultParagraphFont"/>
    <w:link w:val="Heading4"/>
    <w:uiPriority w:val="9"/>
    <w:semiHidden/>
    <w:rsid w:val="00A16B23"/>
    <w:rPr>
      <w:rFonts w:asciiTheme="majorHAnsi" w:eastAsiaTheme="majorEastAsia" w:hAnsiTheme="majorHAnsi" w:cstheme="majorBidi"/>
      <w:i/>
      <w:iCs/>
      <w:color w:val="1481AB" w:themeColor="accent1" w:themeShade="BF"/>
    </w:rPr>
  </w:style>
  <w:style w:type="paragraph" w:styleId="BalloonText">
    <w:name w:val="Balloon Text"/>
    <w:basedOn w:val="Normal"/>
    <w:link w:val="BalloonTextChar"/>
    <w:uiPriority w:val="99"/>
    <w:semiHidden/>
    <w:unhideWhenUsed/>
    <w:rsid w:val="00F67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A7E"/>
    <w:rPr>
      <w:rFonts w:ascii="Segoe UI" w:hAnsi="Segoe UI" w:cs="Segoe UI"/>
      <w:sz w:val="18"/>
      <w:szCs w:val="18"/>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sid w:val="007F3501"/>
  </w:style>
  <w:style w:type="paragraph" w:styleId="NormalWeb">
    <w:name w:val="Normal (Web)"/>
    <w:basedOn w:val="Normal"/>
    <w:uiPriority w:val="99"/>
    <w:unhideWhenUsed/>
    <w:rsid w:val="00993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55002"/>
    <w:rPr>
      <w:sz w:val="16"/>
      <w:szCs w:val="16"/>
    </w:rPr>
  </w:style>
  <w:style w:type="paragraph" w:styleId="CommentText">
    <w:name w:val="annotation text"/>
    <w:basedOn w:val="Normal"/>
    <w:link w:val="CommentTextChar"/>
    <w:uiPriority w:val="99"/>
    <w:unhideWhenUsed/>
    <w:rsid w:val="00F13E9A"/>
    <w:pPr>
      <w:spacing w:line="240" w:lineRule="auto"/>
    </w:pPr>
    <w:rPr>
      <w:sz w:val="20"/>
      <w:szCs w:val="20"/>
    </w:rPr>
  </w:style>
  <w:style w:type="character" w:customStyle="1" w:styleId="CommentTextChar">
    <w:name w:val="Comment Text Char"/>
    <w:basedOn w:val="DefaultParagraphFont"/>
    <w:link w:val="CommentText"/>
    <w:uiPriority w:val="99"/>
    <w:rsid w:val="00C55002"/>
    <w:rPr>
      <w:sz w:val="20"/>
      <w:szCs w:val="20"/>
    </w:rPr>
  </w:style>
  <w:style w:type="paragraph" w:styleId="CommentSubject">
    <w:name w:val="annotation subject"/>
    <w:basedOn w:val="CommentText"/>
    <w:next w:val="CommentText"/>
    <w:link w:val="CommentSubjectChar"/>
    <w:uiPriority w:val="99"/>
    <w:semiHidden/>
    <w:unhideWhenUsed/>
    <w:rsid w:val="007140C8"/>
    <w:rPr>
      <w:b/>
      <w:bCs/>
    </w:rPr>
  </w:style>
  <w:style w:type="character" w:customStyle="1" w:styleId="CommentSubjectChar">
    <w:name w:val="Comment Subject Char"/>
    <w:basedOn w:val="CommentTextChar"/>
    <w:link w:val="CommentSubject"/>
    <w:uiPriority w:val="99"/>
    <w:semiHidden/>
    <w:rsid w:val="007140C8"/>
    <w:rPr>
      <w:b/>
      <w:bCs/>
      <w:sz w:val="20"/>
      <w:szCs w:val="20"/>
    </w:rPr>
  </w:style>
  <w:style w:type="character" w:styleId="Strong">
    <w:name w:val="Strong"/>
    <w:basedOn w:val="DefaultParagraphFont"/>
    <w:uiPriority w:val="22"/>
    <w:qFormat/>
    <w:rsid w:val="00A466BE"/>
    <w:rPr>
      <w:b/>
      <w:bCs/>
    </w:rPr>
  </w:style>
  <w:style w:type="paragraph" w:styleId="FootnoteText">
    <w:name w:val="footnote text"/>
    <w:basedOn w:val="Normal"/>
    <w:link w:val="FootnoteTextChar"/>
    <w:uiPriority w:val="99"/>
    <w:semiHidden/>
    <w:unhideWhenUsed/>
    <w:rsid w:val="00553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11D"/>
    <w:rPr>
      <w:sz w:val="20"/>
      <w:szCs w:val="20"/>
    </w:rPr>
  </w:style>
  <w:style w:type="character" w:styleId="FootnoteReference">
    <w:name w:val="footnote reference"/>
    <w:aliases w:val="Footnote Reference Superscript,BVI fnr,(Footnote Reference),Footnote symbol,SUPERS,Odwolanie przypisu,Odwołanie przypisu,Footnote,Voetnootverwijzing,Times 10 Point,Exposant 3 Point,Footnote reference number,note TESI,BVI fn,fr,Ref"/>
    <w:basedOn w:val="DefaultParagraphFont"/>
    <w:uiPriority w:val="99"/>
    <w:semiHidden/>
    <w:unhideWhenUsed/>
    <w:qFormat/>
    <w:rsid w:val="0055311D"/>
    <w:rPr>
      <w:vertAlign w:val="superscript"/>
    </w:rPr>
  </w:style>
  <w:style w:type="character" w:customStyle="1" w:styleId="normaltextrun">
    <w:name w:val="normaltextrun"/>
    <w:basedOn w:val="DefaultParagraphFont"/>
    <w:rsid w:val="00774D65"/>
  </w:style>
  <w:style w:type="paragraph" w:customStyle="1" w:styleId="Default">
    <w:name w:val="Default"/>
    <w:basedOn w:val="Normal"/>
    <w:rsid w:val="0065105B"/>
    <w:pPr>
      <w:autoSpaceDE w:val="0"/>
      <w:autoSpaceDN w:val="0"/>
      <w:spacing w:after="0" w:line="240" w:lineRule="auto"/>
    </w:pPr>
    <w:rPr>
      <w:rFonts w:ascii="Calibri" w:hAnsi="Calibri" w:cs="Calibri"/>
      <w:color w:val="000000"/>
      <w:sz w:val="24"/>
      <w:szCs w:val="24"/>
      <w:lang w:eastAsia="en-GB"/>
    </w:rPr>
  </w:style>
  <w:style w:type="paragraph" w:styleId="TOCHeading">
    <w:name w:val="TOC Heading"/>
    <w:basedOn w:val="Heading1"/>
    <w:next w:val="Normal"/>
    <w:uiPriority w:val="39"/>
    <w:unhideWhenUsed/>
    <w:qFormat/>
    <w:rsid w:val="001536F0"/>
    <w:pPr>
      <w:spacing w:line="259" w:lineRule="auto"/>
      <w:outlineLvl w:val="9"/>
    </w:pPr>
  </w:style>
  <w:style w:type="paragraph" w:styleId="TOC1">
    <w:name w:val="toc 1"/>
    <w:basedOn w:val="Normal"/>
    <w:next w:val="Normal"/>
    <w:autoRedefine/>
    <w:uiPriority w:val="39"/>
    <w:unhideWhenUsed/>
    <w:rsid w:val="001536F0"/>
    <w:pPr>
      <w:spacing w:after="100"/>
    </w:pPr>
  </w:style>
  <w:style w:type="character" w:styleId="Hyperlink">
    <w:name w:val="Hyperlink"/>
    <w:basedOn w:val="DefaultParagraphFont"/>
    <w:uiPriority w:val="99"/>
    <w:unhideWhenUsed/>
    <w:rsid w:val="001536F0"/>
    <w:rPr>
      <w:color w:val="6EAC1C" w:themeColor="hyperlink"/>
      <w:u w:val="single"/>
    </w:rPr>
  </w:style>
  <w:style w:type="character" w:styleId="FollowedHyperlink">
    <w:name w:val="FollowedHyperlink"/>
    <w:basedOn w:val="DefaultParagraphFont"/>
    <w:uiPriority w:val="99"/>
    <w:semiHidden/>
    <w:unhideWhenUsed/>
    <w:rsid w:val="004F210C"/>
    <w:rPr>
      <w:color w:val="B26B02" w:themeColor="followedHyperlink"/>
      <w:u w:val="single"/>
    </w:rPr>
  </w:style>
  <w:style w:type="character" w:customStyle="1" w:styleId="hgkelc">
    <w:name w:val="hgkelc"/>
    <w:basedOn w:val="DefaultParagraphFont"/>
    <w:rsid w:val="008B5C1C"/>
  </w:style>
  <w:style w:type="character" w:customStyle="1" w:styleId="Briefinglist1Char">
    <w:name w:val="Briefing list 1 Char"/>
    <w:link w:val="Briefinglist1"/>
    <w:qFormat/>
    <w:locked/>
    <w:rsid w:val="00166BF2"/>
    <w:rPr>
      <w:rFonts w:ascii="Arial" w:hAnsi="Arial" w:cs="Arial"/>
      <w:szCs w:val="24"/>
    </w:rPr>
  </w:style>
  <w:style w:type="paragraph" w:customStyle="1" w:styleId="Briefinglist1">
    <w:name w:val="Briefing list 1"/>
    <w:basedOn w:val="Normal"/>
    <w:link w:val="Briefinglist1Char"/>
    <w:qFormat/>
    <w:rsid w:val="00166BF2"/>
    <w:pPr>
      <w:keepLines/>
      <w:spacing w:after="120" w:line="240" w:lineRule="auto"/>
      <w:jc w:val="both"/>
    </w:pPr>
    <w:rPr>
      <w:rFonts w:ascii="Arial" w:hAnsi="Arial" w:cs="Arial"/>
      <w:szCs w:val="24"/>
    </w:rPr>
  </w:style>
  <w:style w:type="paragraph" w:customStyle="1" w:styleId="title-bold">
    <w:name w:val="title-bold"/>
    <w:basedOn w:val="Normal"/>
    <w:rsid w:val="00027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reference0">
    <w:name w:val="footnotereference"/>
    <w:basedOn w:val="DefaultParagraphFont"/>
    <w:rsid w:val="00407F5E"/>
  </w:style>
  <w:style w:type="character" w:styleId="Emphasis">
    <w:name w:val="Emphasis"/>
    <w:basedOn w:val="DefaultParagraphFont"/>
    <w:uiPriority w:val="20"/>
    <w:qFormat/>
    <w:rsid w:val="00417C5C"/>
    <w:rPr>
      <w:i/>
      <w:iCs/>
    </w:rPr>
  </w:style>
  <w:style w:type="paragraph" w:customStyle="1" w:styleId="paragraph">
    <w:name w:val="paragraph"/>
    <w:basedOn w:val="Normal"/>
    <w:rsid w:val="00D167C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DefaultParagraphFont"/>
    <w:rsid w:val="00D167C7"/>
  </w:style>
  <w:style w:type="paragraph" w:styleId="Revision">
    <w:name w:val="Revision"/>
    <w:hidden/>
    <w:uiPriority w:val="99"/>
    <w:semiHidden/>
    <w:rsid w:val="00F13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6822">
      <w:bodyDiv w:val="1"/>
      <w:marLeft w:val="0"/>
      <w:marRight w:val="0"/>
      <w:marTop w:val="0"/>
      <w:marBottom w:val="0"/>
      <w:divBdr>
        <w:top w:val="none" w:sz="0" w:space="0" w:color="auto"/>
        <w:left w:val="none" w:sz="0" w:space="0" w:color="auto"/>
        <w:bottom w:val="none" w:sz="0" w:space="0" w:color="auto"/>
        <w:right w:val="none" w:sz="0" w:space="0" w:color="auto"/>
      </w:divBdr>
      <w:divsChild>
        <w:div w:id="8801446">
          <w:marLeft w:val="360"/>
          <w:marRight w:val="0"/>
          <w:marTop w:val="0"/>
          <w:marBottom w:val="240"/>
          <w:divBdr>
            <w:top w:val="none" w:sz="0" w:space="0" w:color="auto"/>
            <w:left w:val="none" w:sz="0" w:space="0" w:color="auto"/>
            <w:bottom w:val="none" w:sz="0" w:space="0" w:color="auto"/>
            <w:right w:val="none" w:sz="0" w:space="0" w:color="auto"/>
          </w:divBdr>
        </w:div>
        <w:div w:id="934942709">
          <w:marLeft w:val="1080"/>
          <w:marRight w:val="0"/>
          <w:marTop w:val="100"/>
          <w:marBottom w:val="240"/>
          <w:divBdr>
            <w:top w:val="none" w:sz="0" w:space="0" w:color="auto"/>
            <w:left w:val="none" w:sz="0" w:space="0" w:color="auto"/>
            <w:bottom w:val="none" w:sz="0" w:space="0" w:color="auto"/>
            <w:right w:val="none" w:sz="0" w:space="0" w:color="auto"/>
          </w:divBdr>
        </w:div>
        <w:div w:id="1021935356">
          <w:marLeft w:val="360"/>
          <w:marRight w:val="0"/>
          <w:marTop w:val="0"/>
          <w:marBottom w:val="0"/>
          <w:divBdr>
            <w:top w:val="none" w:sz="0" w:space="0" w:color="auto"/>
            <w:left w:val="none" w:sz="0" w:space="0" w:color="auto"/>
            <w:bottom w:val="none" w:sz="0" w:space="0" w:color="auto"/>
            <w:right w:val="none" w:sz="0" w:space="0" w:color="auto"/>
          </w:divBdr>
        </w:div>
        <w:div w:id="1130392571">
          <w:marLeft w:val="1080"/>
          <w:marRight w:val="0"/>
          <w:marTop w:val="0"/>
          <w:marBottom w:val="0"/>
          <w:divBdr>
            <w:top w:val="none" w:sz="0" w:space="0" w:color="auto"/>
            <w:left w:val="none" w:sz="0" w:space="0" w:color="auto"/>
            <w:bottom w:val="none" w:sz="0" w:space="0" w:color="auto"/>
            <w:right w:val="none" w:sz="0" w:space="0" w:color="auto"/>
          </w:divBdr>
        </w:div>
        <w:div w:id="1153373883">
          <w:marLeft w:val="1080"/>
          <w:marRight w:val="0"/>
          <w:marTop w:val="100"/>
          <w:marBottom w:val="0"/>
          <w:divBdr>
            <w:top w:val="none" w:sz="0" w:space="0" w:color="auto"/>
            <w:left w:val="none" w:sz="0" w:space="0" w:color="auto"/>
            <w:bottom w:val="none" w:sz="0" w:space="0" w:color="auto"/>
            <w:right w:val="none" w:sz="0" w:space="0" w:color="auto"/>
          </w:divBdr>
        </w:div>
        <w:div w:id="1179582619">
          <w:marLeft w:val="360"/>
          <w:marRight w:val="0"/>
          <w:marTop w:val="0"/>
          <w:marBottom w:val="240"/>
          <w:divBdr>
            <w:top w:val="none" w:sz="0" w:space="0" w:color="auto"/>
            <w:left w:val="none" w:sz="0" w:space="0" w:color="auto"/>
            <w:bottom w:val="none" w:sz="0" w:space="0" w:color="auto"/>
            <w:right w:val="none" w:sz="0" w:space="0" w:color="auto"/>
          </w:divBdr>
        </w:div>
        <w:div w:id="1496527560">
          <w:marLeft w:val="1080"/>
          <w:marRight w:val="0"/>
          <w:marTop w:val="0"/>
          <w:marBottom w:val="240"/>
          <w:divBdr>
            <w:top w:val="none" w:sz="0" w:space="0" w:color="auto"/>
            <w:left w:val="none" w:sz="0" w:space="0" w:color="auto"/>
            <w:bottom w:val="none" w:sz="0" w:space="0" w:color="auto"/>
            <w:right w:val="none" w:sz="0" w:space="0" w:color="auto"/>
          </w:divBdr>
        </w:div>
        <w:div w:id="2073768806">
          <w:marLeft w:val="360"/>
          <w:marRight w:val="0"/>
          <w:marTop w:val="0"/>
          <w:marBottom w:val="0"/>
          <w:divBdr>
            <w:top w:val="none" w:sz="0" w:space="0" w:color="auto"/>
            <w:left w:val="none" w:sz="0" w:space="0" w:color="auto"/>
            <w:bottom w:val="none" w:sz="0" w:space="0" w:color="auto"/>
            <w:right w:val="none" w:sz="0" w:space="0" w:color="auto"/>
          </w:divBdr>
        </w:div>
        <w:div w:id="2140538099">
          <w:marLeft w:val="360"/>
          <w:marRight w:val="0"/>
          <w:marTop w:val="0"/>
          <w:marBottom w:val="0"/>
          <w:divBdr>
            <w:top w:val="none" w:sz="0" w:space="0" w:color="auto"/>
            <w:left w:val="none" w:sz="0" w:space="0" w:color="auto"/>
            <w:bottom w:val="none" w:sz="0" w:space="0" w:color="auto"/>
            <w:right w:val="none" w:sz="0" w:space="0" w:color="auto"/>
          </w:divBdr>
        </w:div>
      </w:divsChild>
    </w:div>
    <w:div w:id="54395657">
      <w:bodyDiv w:val="1"/>
      <w:marLeft w:val="0"/>
      <w:marRight w:val="0"/>
      <w:marTop w:val="0"/>
      <w:marBottom w:val="0"/>
      <w:divBdr>
        <w:top w:val="none" w:sz="0" w:space="0" w:color="auto"/>
        <w:left w:val="none" w:sz="0" w:space="0" w:color="auto"/>
        <w:bottom w:val="none" w:sz="0" w:space="0" w:color="auto"/>
        <w:right w:val="none" w:sz="0" w:space="0" w:color="auto"/>
      </w:divBdr>
    </w:div>
    <w:div w:id="55712209">
      <w:bodyDiv w:val="1"/>
      <w:marLeft w:val="0"/>
      <w:marRight w:val="0"/>
      <w:marTop w:val="0"/>
      <w:marBottom w:val="0"/>
      <w:divBdr>
        <w:top w:val="none" w:sz="0" w:space="0" w:color="auto"/>
        <w:left w:val="none" w:sz="0" w:space="0" w:color="auto"/>
        <w:bottom w:val="none" w:sz="0" w:space="0" w:color="auto"/>
        <w:right w:val="none" w:sz="0" w:space="0" w:color="auto"/>
      </w:divBdr>
    </w:div>
    <w:div w:id="154222947">
      <w:bodyDiv w:val="1"/>
      <w:marLeft w:val="0"/>
      <w:marRight w:val="0"/>
      <w:marTop w:val="0"/>
      <w:marBottom w:val="0"/>
      <w:divBdr>
        <w:top w:val="none" w:sz="0" w:space="0" w:color="auto"/>
        <w:left w:val="none" w:sz="0" w:space="0" w:color="auto"/>
        <w:bottom w:val="none" w:sz="0" w:space="0" w:color="auto"/>
        <w:right w:val="none" w:sz="0" w:space="0" w:color="auto"/>
      </w:divBdr>
    </w:div>
    <w:div w:id="172574190">
      <w:bodyDiv w:val="1"/>
      <w:marLeft w:val="0"/>
      <w:marRight w:val="0"/>
      <w:marTop w:val="0"/>
      <w:marBottom w:val="0"/>
      <w:divBdr>
        <w:top w:val="none" w:sz="0" w:space="0" w:color="auto"/>
        <w:left w:val="none" w:sz="0" w:space="0" w:color="auto"/>
        <w:bottom w:val="none" w:sz="0" w:space="0" w:color="auto"/>
        <w:right w:val="none" w:sz="0" w:space="0" w:color="auto"/>
      </w:divBdr>
    </w:div>
    <w:div w:id="203102469">
      <w:bodyDiv w:val="1"/>
      <w:marLeft w:val="0"/>
      <w:marRight w:val="0"/>
      <w:marTop w:val="0"/>
      <w:marBottom w:val="0"/>
      <w:divBdr>
        <w:top w:val="none" w:sz="0" w:space="0" w:color="auto"/>
        <w:left w:val="none" w:sz="0" w:space="0" w:color="auto"/>
        <w:bottom w:val="none" w:sz="0" w:space="0" w:color="auto"/>
        <w:right w:val="none" w:sz="0" w:space="0" w:color="auto"/>
      </w:divBdr>
    </w:div>
    <w:div w:id="206575202">
      <w:bodyDiv w:val="1"/>
      <w:marLeft w:val="0"/>
      <w:marRight w:val="0"/>
      <w:marTop w:val="0"/>
      <w:marBottom w:val="0"/>
      <w:divBdr>
        <w:top w:val="none" w:sz="0" w:space="0" w:color="auto"/>
        <w:left w:val="none" w:sz="0" w:space="0" w:color="auto"/>
        <w:bottom w:val="none" w:sz="0" w:space="0" w:color="auto"/>
        <w:right w:val="none" w:sz="0" w:space="0" w:color="auto"/>
      </w:divBdr>
      <w:divsChild>
        <w:div w:id="319039991">
          <w:marLeft w:val="360"/>
          <w:marRight w:val="0"/>
          <w:marTop w:val="0"/>
          <w:marBottom w:val="0"/>
          <w:divBdr>
            <w:top w:val="none" w:sz="0" w:space="0" w:color="auto"/>
            <w:left w:val="none" w:sz="0" w:space="0" w:color="auto"/>
            <w:bottom w:val="none" w:sz="0" w:space="0" w:color="auto"/>
            <w:right w:val="none" w:sz="0" w:space="0" w:color="auto"/>
          </w:divBdr>
        </w:div>
        <w:div w:id="397898819">
          <w:marLeft w:val="360"/>
          <w:marRight w:val="0"/>
          <w:marTop w:val="0"/>
          <w:marBottom w:val="240"/>
          <w:divBdr>
            <w:top w:val="none" w:sz="0" w:space="0" w:color="auto"/>
            <w:left w:val="none" w:sz="0" w:space="0" w:color="auto"/>
            <w:bottom w:val="none" w:sz="0" w:space="0" w:color="auto"/>
            <w:right w:val="none" w:sz="0" w:space="0" w:color="auto"/>
          </w:divBdr>
        </w:div>
        <w:div w:id="400294017">
          <w:marLeft w:val="1080"/>
          <w:marRight w:val="0"/>
          <w:marTop w:val="100"/>
          <w:marBottom w:val="240"/>
          <w:divBdr>
            <w:top w:val="none" w:sz="0" w:space="0" w:color="auto"/>
            <w:left w:val="none" w:sz="0" w:space="0" w:color="auto"/>
            <w:bottom w:val="none" w:sz="0" w:space="0" w:color="auto"/>
            <w:right w:val="none" w:sz="0" w:space="0" w:color="auto"/>
          </w:divBdr>
        </w:div>
        <w:div w:id="401409642">
          <w:marLeft w:val="1080"/>
          <w:marRight w:val="0"/>
          <w:marTop w:val="100"/>
          <w:marBottom w:val="0"/>
          <w:divBdr>
            <w:top w:val="none" w:sz="0" w:space="0" w:color="auto"/>
            <w:left w:val="none" w:sz="0" w:space="0" w:color="auto"/>
            <w:bottom w:val="none" w:sz="0" w:space="0" w:color="auto"/>
            <w:right w:val="none" w:sz="0" w:space="0" w:color="auto"/>
          </w:divBdr>
        </w:div>
        <w:div w:id="407578331">
          <w:marLeft w:val="1080"/>
          <w:marRight w:val="0"/>
          <w:marTop w:val="0"/>
          <w:marBottom w:val="0"/>
          <w:divBdr>
            <w:top w:val="none" w:sz="0" w:space="0" w:color="auto"/>
            <w:left w:val="none" w:sz="0" w:space="0" w:color="auto"/>
            <w:bottom w:val="none" w:sz="0" w:space="0" w:color="auto"/>
            <w:right w:val="none" w:sz="0" w:space="0" w:color="auto"/>
          </w:divBdr>
        </w:div>
        <w:div w:id="624969550">
          <w:marLeft w:val="360"/>
          <w:marRight w:val="0"/>
          <w:marTop w:val="0"/>
          <w:marBottom w:val="0"/>
          <w:divBdr>
            <w:top w:val="none" w:sz="0" w:space="0" w:color="auto"/>
            <w:left w:val="none" w:sz="0" w:space="0" w:color="auto"/>
            <w:bottom w:val="none" w:sz="0" w:space="0" w:color="auto"/>
            <w:right w:val="none" w:sz="0" w:space="0" w:color="auto"/>
          </w:divBdr>
        </w:div>
        <w:div w:id="787356159">
          <w:marLeft w:val="1080"/>
          <w:marRight w:val="0"/>
          <w:marTop w:val="0"/>
          <w:marBottom w:val="240"/>
          <w:divBdr>
            <w:top w:val="none" w:sz="0" w:space="0" w:color="auto"/>
            <w:left w:val="none" w:sz="0" w:space="0" w:color="auto"/>
            <w:bottom w:val="none" w:sz="0" w:space="0" w:color="auto"/>
            <w:right w:val="none" w:sz="0" w:space="0" w:color="auto"/>
          </w:divBdr>
        </w:div>
        <w:div w:id="1245525899">
          <w:marLeft w:val="360"/>
          <w:marRight w:val="0"/>
          <w:marTop w:val="0"/>
          <w:marBottom w:val="240"/>
          <w:divBdr>
            <w:top w:val="none" w:sz="0" w:space="0" w:color="auto"/>
            <w:left w:val="none" w:sz="0" w:space="0" w:color="auto"/>
            <w:bottom w:val="none" w:sz="0" w:space="0" w:color="auto"/>
            <w:right w:val="none" w:sz="0" w:space="0" w:color="auto"/>
          </w:divBdr>
        </w:div>
        <w:div w:id="1589000220">
          <w:marLeft w:val="360"/>
          <w:marRight w:val="0"/>
          <w:marTop w:val="0"/>
          <w:marBottom w:val="0"/>
          <w:divBdr>
            <w:top w:val="none" w:sz="0" w:space="0" w:color="auto"/>
            <w:left w:val="none" w:sz="0" w:space="0" w:color="auto"/>
            <w:bottom w:val="none" w:sz="0" w:space="0" w:color="auto"/>
            <w:right w:val="none" w:sz="0" w:space="0" w:color="auto"/>
          </w:divBdr>
        </w:div>
      </w:divsChild>
    </w:div>
    <w:div w:id="221798417">
      <w:bodyDiv w:val="1"/>
      <w:marLeft w:val="0"/>
      <w:marRight w:val="0"/>
      <w:marTop w:val="0"/>
      <w:marBottom w:val="0"/>
      <w:divBdr>
        <w:top w:val="none" w:sz="0" w:space="0" w:color="auto"/>
        <w:left w:val="none" w:sz="0" w:space="0" w:color="auto"/>
        <w:bottom w:val="none" w:sz="0" w:space="0" w:color="auto"/>
        <w:right w:val="none" w:sz="0" w:space="0" w:color="auto"/>
      </w:divBdr>
    </w:div>
    <w:div w:id="258217677">
      <w:bodyDiv w:val="1"/>
      <w:marLeft w:val="0"/>
      <w:marRight w:val="0"/>
      <w:marTop w:val="0"/>
      <w:marBottom w:val="0"/>
      <w:divBdr>
        <w:top w:val="none" w:sz="0" w:space="0" w:color="auto"/>
        <w:left w:val="none" w:sz="0" w:space="0" w:color="auto"/>
        <w:bottom w:val="none" w:sz="0" w:space="0" w:color="auto"/>
        <w:right w:val="none" w:sz="0" w:space="0" w:color="auto"/>
      </w:divBdr>
    </w:div>
    <w:div w:id="270011280">
      <w:bodyDiv w:val="1"/>
      <w:marLeft w:val="0"/>
      <w:marRight w:val="0"/>
      <w:marTop w:val="0"/>
      <w:marBottom w:val="0"/>
      <w:divBdr>
        <w:top w:val="none" w:sz="0" w:space="0" w:color="auto"/>
        <w:left w:val="none" w:sz="0" w:space="0" w:color="auto"/>
        <w:bottom w:val="none" w:sz="0" w:space="0" w:color="auto"/>
        <w:right w:val="none" w:sz="0" w:space="0" w:color="auto"/>
      </w:divBdr>
    </w:div>
    <w:div w:id="295183825">
      <w:bodyDiv w:val="1"/>
      <w:marLeft w:val="0"/>
      <w:marRight w:val="0"/>
      <w:marTop w:val="0"/>
      <w:marBottom w:val="0"/>
      <w:divBdr>
        <w:top w:val="none" w:sz="0" w:space="0" w:color="auto"/>
        <w:left w:val="none" w:sz="0" w:space="0" w:color="auto"/>
        <w:bottom w:val="none" w:sz="0" w:space="0" w:color="auto"/>
        <w:right w:val="none" w:sz="0" w:space="0" w:color="auto"/>
      </w:divBdr>
    </w:div>
    <w:div w:id="346248123">
      <w:bodyDiv w:val="1"/>
      <w:marLeft w:val="0"/>
      <w:marRight w:val="0"/>
      <w:marTop w:val="0"/>
      <w:marBottom w:val="0"/>
      <w:divBdr>
        <w:top w:val="none" w:sz="0" w:space="0" w:color="auto"/>
        <w:left w:val="none" w:sz="0" w:space="0" w:color="auto"/>
        <w:bottom w:val="none" w:sz="0" w:space="0" w:color="auto"/>
        <w:right w:val="none" w:sz="0" w:space="0" w:color="auto"/>
      </w:divBdr>
    </w:div>
    <w:div w:id="383716548">
      <w:bodyDiv w:val="1"/>
      <w:marLeft w:val="0"/>
      <w:marRight w:val="0"/>
      <w:marTop w:val="0"/>
      <w:marBottom w:val="0"/>
      <w:divBdr>
        <w:top w:val="none" w:sz="0" w:space="0" w:color="auto"/>
        <w:left w:val="none" w:sz="0" w:space="0" w:color="auto"/>
        <w:bottom w:val="none" w:sz="0" w:space="0" w:color="auto"/>
        <w:right w:val="none" w:sz="0" w:space="0" w:color="auto"/>
      </w:divBdr>
    </w:div>
    <w:div w:id="386344725">
      <w:bodyDiv w:val="1"/>
      <w:marLeft w:val="0"/>
      <w:marRight w:val="0"/>
      <w:marTop w:val="0"/>
      <w:marBottom w:val="0"/>
      <w:divBdr>
        <w:top w:val="none" w:sz="0" w:space="0" w:color="auto"/>
        <w:left w:val="none" w:sz="0" w:space="0" w:color="auto"/>
        <w:bottom w:val="none" w:sz="0" w:space="0" w:color="auto"/>
        <w:right w:val="none" w:sz="0" w:space="0" w:color="auto"/>
      </w:divBdr>
    </w:div>
    <w:div w:id="391928206">
      <w:bodyDiv w:val="1"/>
      <w:marLeft w:val="0"/>
      <w:marRight w:val="0"/>
      <w:marTop w:val="0"/>
      <w:marBottom w:val="0"/>
      <w:divBdr>
        <w:top w:val="none" w:sz="0" w:space="0" w:color="auto"/>
        <w:left w:val="none" w:sz="0" w:space="0" w:color="auto"/>
        <w:bottom w:val="none" w:sz="0" w:space="0" w:color="auto"/>
        <w:right w:val="none" w:sz="0" w:space="0" w:color="auto"/>
      </w:divBdr>
    </w:div>
    <w:div w:id="409933175">
      <w:bodyDiv w:val="1"/>
      <w:marLeft w:val="0"/>
      <w:marRight w:val="0"/>
      <w:marTop w:val="0"/>
      <w:marBottom w:val="0"/>
      <w:divBdr>
        <w:top w:val="none" w:sz="0" w:space="0" w:color="auto"/>
        <w:left w:val="none" w:sz="0" w:space="0" w:color="auto"/>
        <w:bottom w:val="none" w:sz="0" w:space="0" w:color="auto"/>
        <w:right w:val="none" w:sz="0" w:space="0" w:color="auto"/>
      </w:divBdr>
    </w:div>
    <w:div w:id="458911902">
      <w:bodyDiv w:val="1"/>
      <w:marLeft w:val="0"/>
      <w:marRight w:val="0"/>
      <w:marTop w:val="0"/>
      <w:marBottom w:val="0"/>
      <w:divBdr>
        <w:top w:val="none" w:sz="0" w:space="0" w:color="auto"/>
        <w:left w:val="none" w:sz="0" w:space="0" w:color="auto"/>
        <w:bottom w:val="none" w:sz="0" w:space="0" w:color="auto"/>
        <w:right w:val="none" w:sz="0" w:space="0" w:color="auto"/>
      </w:divBdr>
    </w:div>
    <w:div w:id="482739188">
      <w:bodyDiv w:val="1"/>
      <w:marLeft w:val="0"/>
      <w:marRight w:val="0"/>
      <w:marTop w:val="0"/>
      <w:marBottom w:val="0"/>
      <w:divBdr>
        <w:top w:val="none" w:sz="0" w:space="0" w:color="auto"/>
        <w:left w:val="none" w:sz="0" w:space="0" w:color="auto"/>
        <w:bottom w:val="none" w:sz="0" w:space="0" w:color="auto"/>
        <w:right w:val="none" w:sz="0" w:space="0" w:color="auto"/>
      </w:divBdr>
    </w:div>
    <w:div w:id="511992720">
      <w:bodyDiv w:val="1"/>
      <w:marLeft w:val="0"/>
      <w:marRight w:val="0"/>
      <w:marTop w:val="0"/>
      <w:marBottom w:val="0"/>
      <w:divBdr>
        <w:top w:val="none" w:sz="0" w:space="0" w:color="auto"/>
        <w:left w:val="none" w:sz="0" w:space="0" w:color="auto"/>
        <w:bottom w:val="none" w:sz="0" w:space="0" w:color="auto"/>
        <w:right w:val="none" w:sz="0" w:space="0" w:color="auto"/>
      </w:divBdr>
    </w:div>
    <w:div w:id="550728071">
      <w:bodyDiv w:val="1"/>
      <w:marLeft w:val="0"/>
      <w:marRight w:val="0"/>
      <w:marTop w:val="0"/>
      <w:marBottom w:val="0"/>
      <w:divBdr>
        <w:top w:val="none" w:sz="0" w:space="0" w:color="auto"/>
        <w:left w:val="none" w:sz="0" w:space="0" w:color="auto"/>
        <w:bottom w:val="none" w:sz="0" w:space="0" w:color="auto"/>
        <w:right w:val="none" w:sz="0" w:space="0" w:color="auto"/>
      </w:divBdr>
    </w:div>
    <w:div w:id="551501814">
      <w:bodyDiv w:val="1"/>
      <w:marLeft w:val="0"/>
      <w:marRight w:val="0"/>
      <w:marTop w:val="0"/>
      <w:marBottom w:val="0"/>
      <w:divBdr>
        <w:top w:val="none" w:sz="0" w:space="0" w:color="auto"/>
        <w:left w:val="none" w:sz="0" w:space="0" w:color="auto"/>
        <w:bottom w:val="none" w:sz="0" w:space="0" w:color="auto"/>
        <w:right w:val="none" w:sz="0" w:space="0" w:color="auto"/>
      </w:divBdr>
    </w:div>
    <w:div w:id="565919718">
      <w:bodyDiv w:val="1"/>
      <w:marLeft w:val="0"/>
      <w:marRight w:val="0"/>
      <w:marTop w:val="0"/>
      <w:marBottom w:val="0"/>
      <w:divBdr>
        <w:top w:val="none" w:sz="0" w:space="0" w:color="auto"/>
        <w:left w:val="none" w:sz="0" w:space="0" w:color="auto"/>
        <w:bottom w:val="none" w:sz="0" w:space="0" w:color="auto"/>
        <w:right w:val="none" w:sz="0" w:space="0" w:color="auto"/>
      </w:divBdr>
    </w:div>
    <w:div w:id="570311549">
      <w:bodyDiv w:val="1"/>
      <w:marLeft w:val="0"/>
      <w:marRight w:val="0"/>
      <w:marTop w:val="0"/>
      <w:marBottom w:val="0"/>
      <w:divBdr>
        <w:top w:val="none" w:sz="0" w:space="0" w:color="auto"/>
        <w:left w:val="none" w:sz="0" w:space="0" w:color="auto"/>
        <w:bottom w:val="none" w:sz="0" w:space="0" w:color="auto"/>
        <w:right w:val="none" w:sz="0" w:space="0" w:color="auto"/>
      </w:divBdr>
      <w:divsChild>
        <w:div w:id="7877623">
          <w:marLeft w:val="360"/>
          <w:marRight w:val="0"/>
          <w:marTop w:val="0"/>
          <w:marBottom w:val="0"/>
          <w:divBdr>
            <w:top w:val="none" w:sz="0" w:space="0" w:color="auto"/>
            <w:left w:val="none" w:sz="0" w:space="0" w:color="auto"/>
            <w:bottom w:val="none" w:sz="0" w:space="0" w:color="auto"/>
            <w:right w:val="none" w:sz="0" w:space="0" w:color="auto"/>
          </w:divBdr>
        </w:div>
        <w:div w:id="116797358">
          <w:marLeft w:val="1080"/>
          <w:marRight w:val="0"/>
          <w:marTop w:val="0"/>
          <w:marBottom w:val="0"/>
          <w:divBdr>
            <w:top w:val="none" w:sz="0" w:space="0" w:color="auto"/>
            <w:left w:val="none" w:sz="0" w:space="0" w:color="auto"/>
            <w:bottom w:val="none" w:sz="0" w:space="0" w:color="auto"/>
            <w:right w:val="none" w:sz="0" w:space="0" w:color="auto"/>
          </w:divBdr>
        </w:div>
        <w:div w:id="353851656">
          <w:marLeft w:val="360"/>
          <w:marRight w:val="0"/>
          <w:marTop w:val="0"/>
          <w:marBottom w:val="0"/>
          <w:divBdr>
            <w:top w:val="none" w:sz="0" w:space="0" w:color="auto"/>
            <w:left w:val="none" w:sz="0" w:space="0" w:color="auto"/>
            <w:bottom w:val="none" w:sz="0" w:space="0" w:color="auto"/>
            <w:right w:val="none" w:sz="0" w:space="0" w:color="auto"/>
          </w:divBdr>
        </w:div>
        <w:div w:id="553394597">
          <w:marLeft w:val="1080"/>
          <w:marRight w:val="0"/>
          <w:marTop w:val="0"/>
          <w:marBottom w:val="240"/>
          <w:divBdr>
            <w:top w:val="none" w:sz="0" w:space="0" w:color="auto"/>
            <w:left w:val="none" w:sz="0" w:space="0" w:color="auto"/>
            <w:bottom w:val="none" w:sz="0" w:space="0" w:color="auto"/>
            <w:right w:val="none" w:sz="0" w:space="0" w:color="auto"/>
          </w:divBdr>
        </w:div>
        <w:div w:id="1192501448">
          <w:marLeft w:val="1080"/>
          <w:marRight w:val="0"/>
          <w:marTop w:val="100"/>
          <w:marBottom w:val="0"/>
          <w:divBdr>
            <w:top w:val="none" w:sz="0" w:space="0" w:color="auto"/>
            <w:left w:val="none" w:sz="0" w:space="0" w:color="auto"/>
            <w:bottom w:val="none" w:sz="0" w:space="0" w:color="auto"/>
            <w:right w:val="none" w:sz="0" w:space="0" w:color="auto"/>
          </w:divBdr>
        </w:div>
        <w:div w:id="1467317018">
          <w:marLeft w:val="360"/>
          <w:marRight w:val="0"/>
          <w:marTop w:val="0"/>
          <w:marBottom w:val="0"/>
          <w:divBdr>
            <w:top w:val="none" w:sz="0" w:space="0" w:color="auto"/>
            <w:left w:val="none" w:sz="0" w:space="0" w:color="auto"/>
            <w:bottom w:val="none" w:sz="0" w:space="0" w:color="auto"/>
            <w:right w:val="none" w:sz="0" w:space="0" w:color="auto"/>
          </w:divBdr>
        </w:div>
        <w:div w:id="1578318324">
          <w:marLeft w:val="1080"/>
          <w:marRight w:val="0"/>
          <w:marTop w:val="100"/>
          <w:marBottom w:val="240"/>
          <w:divBdr>
            <w:top w:val="none" w:sz="0" w:space="0" w:color="auto"/>
            <w:left w:val="none" w:sz="0" w:space="0" w:color="auto"/>
            <w:bottom w:val="none" w:sz="0" w:space="0" w:color="auto"/>
            <w:right w:val="none" w:sz="0" w:space="0" w:color="auto"/>
          </w:divBdr>
        </w:div>
        <w:div w:id="1910384288">
          <w:marLeft w:val="360"/>
          <w:marRight w:val="0"/>
          <w:marTop w:val="0"/>
          <w:marBottom w:val="240"/>
          <w:divBdr>
            <w:top w:val="none" w:sz="0" w:space="0" w:color="auto"/>
            <w:left w:val="none" w:sz="0" w:space="0" w:color="auto"/>
            <w:bottom w:val="none" w:sz="0" w:space="0" w:color="auto"/>
            <w:right w:val="none" w:sz="0" w:space="0" w:color="auto"/>
          </w:divBdr>
        </w:div>
        <w:div w:id="1937789343">
          <w:marLeft w:val="360"/>
          <w:marRight w:val="0"/>
          <w:marTop w:val="0"/>
          <w:marBottom w:val="240"/>
          <w:divBdr>
            <w:top w:val="none" w:sz="0" w:space="0" w:color="auto"/>
            <w:left w:val="none" w:sz="0" w:space="0" w:color="auto"/>
            <w:bottom w:val="none" w:sz="0" w:space="0" w:color="auto"/>
            <w:right w:val="none" w:sz="0" w:space="0" w:color="auto"/>
          </w:divBdr>
        </w:div>
      </w:divsChild>
    </w:div>
    <w:div w:id="599412547">
      <w:bodyDiv w:val="1"/>
      <w:marLeft w:val="0"/>
      <w:marRight w:val="0"/>
      <w:marTop w:val="0"/>
      <w:marBottom w:val="0"/>
      <w:divBdr>
        <w:top w:val="none" w:sz="0" w:space="0" w:color="auto"/>
        <w:left w:val="none" w:sz="0" w:space="0" w:color="auto"/>
        <w:bottom w:val="none" w:sz="0" w:space="0" w:color="auto"/>
        <w:right w:val="none" w:sz="0" w:space="0" w:color="auto"/>
      </w:divBdr>
    </w:div>
    <w:div w:id="612590761">
      <w:bodyDiv w:val="1"/>
      <w:marLeft w:val="0"/>
      <w:marRight w:val="0"/>
      <w:marTop w:val="0"/>
      <w:marBottom w:val="0"/>
      <w:divBdr>
        <w:top w:val="none" w:sz="0" w:space="0" w:color="auto"/>
        <w:left w:val="none" w:sz="0" w:space="0" w:color="auto"/>
        <w:bottom w:val="none" w:sz="0" w:space="0" w:color="auto"/>
        <w:right w:val="none" w:sz="0" w:space="0" w:color="auto"/>
      </w:divBdr>
    </w:div>
    <w:div w:id="642008048">
      <w:bodyDiv w:val="1"/>
      <w:marLeft w:val="0"/>
      <w:marRight w:val="0"/>
      <w:marTop w:val="0"/>
      <w:marBottom w:val="0"/>
      <w:divBdr>
        <w:top w:val="none" w:sz="0" w:space="0" w:color="auto"/>
        <w:left w:val="none" w:sz="0" w:space="0" w:color="auto"/>
        <w:bottom w:val="none" w:sz="0" w:space="0" w:color="auto"/>
        <w:right w:val="none" w:sz="0" w:space="0" w:color="auto"/>
      </w:divBdr>
    </w:div>
    <w:div w:id="651324998">
      <w:bodyDiv w:val="1"/>
      <w:marLeft w:val="0"/>
      <w:marRight w:val="0"/>
      <w:marTop w:val="0"/>
      <w:marBottom w:val="0"/>
      <w:divBdr>
        <w:top w:val="none" w:sz="0" w:space="0" w:color="auto"/>
        <w:left w:val="none" w:sz="0" w:space="0" w:color="auto"/>
        <w:bottom w:val="none" w:sz="0" w:space="0" w:color="auto"/>
        <w:right w:val="none" w:sz="0" w:space="0" w:color="auto"/>
      </w:divBdr>
    </w:div>
    <w:div w:id="681400740">
      <w:bodyDiv w:val="1"/>
      <w:marLeft w:val="0"/>
      <w:marRight w:val="0"/>
      <w:marTop w:val="0"/>
      <w:marBottom w:val="0"/>
      <w:divBdr>
        <w:top w:val="none" w:sz="0" w:space="0" w:color="auto"/>
        <w:left w:val="none" w:sz="0" w:space="0" w:color="auto"/>
        <w:bottom w:val="none" w:sz="0" w:space="0" w:color="auto"/>
        <w:right w:val="none" w:sz="0" w:space="0" w:color="auto"/>
      </w:divBdr>
    </w:div>
    <w:div w:id="710154863">
      <w:bodyDiv w:val="1"/>
      <w:marLeft w:val="0"/>
      <w:marRight w:val="0"/>
      <w:marTop w:val="0"/>
      <w:marBottom w:val="0"/>
      <w:divBdr>
        <w:top w:val="none" w:sz="0" w:space="0" w:color="auto"/>
        <w:left w:val="none" w:sz="0" w:space="0" w:color="auto"/>
        <w:bottom w:val="none" w:sz="0" w:space="0" w:color="auto"/>
        <w:right w:val="none" w:sz="0" w:space="0" w:color="auto"/>
      </w:divBdr>
    </w:div>
    <w:div w:id="772282920">
      <w:bodyDiv w:val="1"/>
      <w:marLeft w:val="0"/>
      <w:marRight w:val="0"/>
      <w:marTop w:val="0"/>
      <w:marBottom w:val="0"/>
      <w:divBdr>
        <w:top w:val="none" w:sz="0" w:space="0" w:color="auto"/>
        <w:left w:val="none" w:sz="0" w:space="0" w:color="auto"/>
        <w:bottom w:val="none" w:sz="0" w:space="0" w:color="auto"/>
        <w:right w:val="none" w:sz="0" w:space="0" w:color="auto"/>
      </w:divBdr>
    </w:div>
    <w:div w:id="777337294">
      <w:bodyDiv w:val="1"/>
      <w:marLeft w:val="0"/>
      <w:marRight w:val="0"/>
      <w:marTop w:val="0"/>
      <w:marBottom w:val="0"/>
      <w:divBdr>
        <w:top w:val="none" w:sz="0" w:space="0" w:color="auto"/>
        <w:left w:val="none" w:sz="0" w:space="0" w:color="auto"/>
        <w:bottom w:val="none" w:sz="0" w:space="0" w:color="auto"/>
        <w:right w:val="none" w:sz="0" w:space="0" w:color="auto"/>
      </w:divBdr>
    </w:div>
    <w:div w:id="805976184">
      <w:bodyDiv w:val="1"/>
      <w:marLeft w:val="0"/>
      <w:marRight w:val="0"/>
      <w:marTop w:val="0"/>
      <w:marBottom w:val="0"/>
      <w:divBdr>
        <w:top w:val="none" w:sz="0" w:space="0" w:color="auto"/>
        <w:left w:val="none" w:sz="0" w:space="0" w:color="auto"/>
        <w:bottom w:val="none" w:sz="0" w:space="0" w:color="auto"/>
        <w:right w:val="none" w:sz="0" w:space="0" w:color="auto"/>
      </w:divBdr>
    </w:div>
    <w:div w:id="845094467">
      <w:bodyDiv w:val="1"/>
      <w:marLeft w:val="0"/>
      <w:marRight w:val="0"/>
      <w:marTop w:val="0"/>
      <w:marBottom w:val="0"/>
      <w:divBdr>
        <w:top w:val="none" w:sz="0" w:space="0" w:color="auto"/>
        <w:left w:val="none" w:sz="0" w:space="0" w:color="auto"/>
        <w:bottom w:val="none" w:sz="0" w:space="0" w:color="auto"/>
        <w:right w:val="none" w:sz="0" w:space="0" w:color="auto"/>
      </w:divBdr>
    </w:div>
    <w:div w:id="891425848">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74142359">
      <w:bodyDiv w:val="1"/>
      <w:marLeft w:val="0"/>
      <w:marRight w:val="0"/>
      <w:marTop w:val="0"/>
      <w:marBottom w:val="0"/>
      <w:divBdr>
        <w:top w:val="none" w:sz="0" w:space="0" w:color="auto"/>
        <w:left w:val="none" w:sz="0" w:space="0" w:color="auto"/>
        <w:bottom w:val="none" w:sz="0" w:space="0" w:color="auto"/>
        <w:right w:val="none" w:sz="0" w:space="0" w:color="auto"/>
      </w:divBdr>
    </w:div>
    <w:div w:id="1050423047">
      <w:bodyDiv w:val="1"/>
      <w:marLeft w:val="0"/>
      <w:marRight w:val="0"/>
      <w:marTop w:val="0"/>
      <w:marBottom w:val="0"/>
      <w:divBdr>
        <w:top w:val="none" w:sz="0" w:space="0" w:color="auto"/>
        <w:left w:val="none" w:sz="0" w:space="0" w:color="auto"/>
        <w:bottom w:val="none" w:sz="0" w:space="0" w:color="auto"/>
        <w:right w:val="none" w:sz="0" w:space="0" w:color="auto"/>
      </w:divBdr>
    </w:div>
    <w:div w:id="1051686882">
      <w:bodyDiv w:val="1"/>
      <w:marLeft w:val="0"/>
      <w:marRight w:val="0"/>
      <w:marTop w:val="0"/>
      <w:marBottom w:val="0"/>
      <w:divBdr>
        <w:top w:val="none" w:sz="0" w:space="0" w:color="auto"/>
        <w:left w:val="none" w:sz="0" w:space="0" w:color="auto"/>
        <w:bottom w:val="none" w:sz="0" w:space="0" w:color="auto"/>
        <w:right w:val="none" w:sz="0" w:space="0" w:color="auto"/>
      </w:divBdr>
    </w:div>
    <w:div w:id="1091698746">
      <w:bodyDiv w:val="1"/>
      <w:marLeft w:val="0"/>
      <w:marRight w:val="0"/>
      <w:marTop w:val="0"/>
      <w:marBottom w:val="0"/>
      <w:divBdr>
        <w:top w:val="none" w:sz="0" w:space="0" w:color="auto"/>
        <w:left w:val="none" w:sz="0" w:space="0" w:color="auto"/>
        <w:bottom w:val="none" w:sz="0" w:space="0" w:color="auto"/>
        <w:right w:val="none" w:sz="0" w:space="0" w:color="auto"/>
      </w:divBdr>
    </w:div>
    <w:div w:id="1121269542">
      <w:bodyDiv w:val="1"/>
      <w:marLeft w:val="0"/>
      <w:marRight w:val="0"/>
      <w:marTop w:val="0"/>
      <w:marBottom w:val="0"/>
      <w:divBdr>
        <w:top w:val="none" w:sz="0" w:space="0" w:color="auto"/>
        <w:left w:val="none" w:sz="0" w:space="0" w:color="auto"/>
        <w:bottom w:val="none" w:sz="0" w:space="0" w:color="auto"/>
        <w:right w:val="none" w:sz="0" w:space="0" w:color="auto"/>
      </w:divBdr>
    </w:div>
    <w:div w:id="1175420544">
      <w:bodyDiv w:val="1"/>
      <w:marLeft w:val="0"/>
      <w:marRight w:val="0"/>
      <w:marTop w:val="0"/>
      <w:marBottom w:val="0"/>
      <w:divBdr>
        <w:top w:val="none" w:sz="0" w:space="0" w:color="auto"/>
        <w:left w:val="none" w:sz="0" w:space="0" w:color="auto"/>
        <w:bottom w:val="none" w:sz="0" w:space="0" w:color="auto"/>
        <w:right w:val="none" w:sz="0" w:space="0" w:color="auto"/>
      </w:divBdr>
    </w:div>
    <w:div w:id="1182891972">
      <w:bodyDiv w:val="1"/>
      <w:marLeft w:val="0"/>
      <w:marRight w:val="0"/>
      <w:marTop w:val="0"/>
      <w:marBottom w:val="0"/>
      <w:divBdr>
        <w:top w:val="none" w:sz="0" w:space="0" w:color="auto"/>
        <w:left w:val="none" w:sz="0" w:space="0" w:color="auto"/>
        <w:bottom w:val="none" w:sz="0" w:space="0" w:color="auto"/>
        <w:right w:val="none" w:sz="0" w:space="0" w:color="auto"/>
      </w:divBdr>
    </w:div>
    <w:div w:id="1206526903">
      <w:bodyDiv w:val="1"/>
      <w:marLeft w:val="0"/>
      <w:marRight w:val="0"/>
      <w:marTop w:val="0"/>
      <w:marBottom w:val="0"/>
      <w:divBdr>
        <w:top w:val="none" w:sz="0" w:space="0" w:color="auto"/>
        <w:left w:val="none" w:sz="0" w:space="0" w:color="auto"/>
        <w:bottom w:val="none" w:sz="0" w:space="0" w:color="auto"/>
        <w:right w:val="none" w:sz="0" w:space="0" w:color="auto"/>
      </w:divBdr>
    </w:div>
    <w:div w:id="1236353446">
      <w:bodyDiv w:val="1"/>
      <w:marLeft w:val="0"/>
      <w:marRight w:val="0"/>
      <w:marTop w:val="0"/>
      <w:marBottom w:val="0"/>
      <w:divBdr>
        <w:top w:val="none" w:sz="0" w:space="0" w:color="auto"/>
        <w:left w:val="none" w:sz="0" w:space="0" w:color="auto"/>
        <w:bottom w:val="none" w:sz="0" w:space="0" w:color="auto"/>
        <w:right w:val="none" w:sz="0" w:space="0" w:color="auto"/>
      </w:divBdr>
    </w:div>
    <w:div w:id="1258367065">
      <w:bodyDiv w:val="1"/>
      <w:marLeft w:val="0"/>
      <w:marRight w:val="0"/>
      <w:marTop w:val="0"/>
      <w:marBottom w:val="0"/>
      <w:divBdr>
        <w:top w:val="none" w:sz="0" w:space="0" w:color="auto"/>
        <w:left w:val="none" w:sz="0" w:space="0" w:color="auto"/>
        <w:bottom w:val="none" w:sz="0" w:space="0" w:color="auto"/>
        <w:right w:val="none" w:sz="0" w:space="0" w:color="auto"/>
      </w:divBdr>
    </w:div>
    <w:div w:id="1271281536">
      <w:bodyDiv w:val="1"/>
      <w:marLeft w:val="0"/>
      <w:marRight w:val="0"/>
      <w:marTop w:val="0"/>
      <w:marBottom w:val="0"/>
      <w:divBdr>
        <w:top w:val="none" w:sz="0" w:space="0" w:color="auto"/>
        <w:left w:val="none" w:sz="0" w:space="0" w:color="auto"/>
        <w:bottom w:val="none" w:sz="0" w:space="0" w:color="auto"/>
        <w:right w:val="none" w:sz="0" w:space="0" w:color="auto"/>
      </w:divBdr>
    </w:div>
    <w:div w:id="1278176945">
      <w:bodyDiv w:val="1"/>
      <w:marLeft w:val="0"/>
      <w:marRight w:val="0"/>
      <w:marTop w:val="0"/>
      <w:marBottom w:val="0"/>
      <w:divBdr>
        <w:top w:val="none" w:sz="0" w:space="0" w:color="auto"/>
        <w:left w:val="none" w:sz="0" w:space="0" w:color="auto"/>
        <w:bottom w:val="none" w:sz="0" w:space="0" w:color="auto"/>
        <w:right w:val="none" w:sz="0" w:space="0" w:color="auto"/>
      </w:divBdr>
    </w:div>
    <w:div w:id="1297298652">
      <w:bodyDiv w:val="1"/>
      <w:marLeft w:val="0"/>
      <w:marRight w:val="0"/>
      <w:marTop w:val="0"/>
      <w:marBottom w:val="0"/>
      <w:divBdr>
        <w:top w:val="none" w:sz="0" w:space="0" w:color="auto"/>
        <w:left w:val="none" w:sz="0" w:space="0" w:color="auto"/>
        <w:bottom w:val="none" w:sz="0" w:space="0" w:color="auto"/>
        <w:right w:val="none" w:sz="0" w:space="0" w:color="auto"/>
      </w:divBdr>
    </w:div>
    <w:div w:id="1398746854">
      <w:bodyDiv w:val="1"/>
      <w:marLeft w:val="0"/>
      <w:marRight w:val="0"/>
      <w:marTop w:val="0"/>
      <w:marBottom w:val="0"/>
      <w:divBdr>
        <w:top w:val="none" w:sz="0" w:space="0" w:color="auto"/>
        <w:left w:val="none" w:sz="0" w:space="0" w:color="auto"/>
        <w:bottom w:val="none" w:sz="0" w:space="0" w:color="auto"/>
        <w:right w:val="none" w:sz="0" w:space="0" w:color="auto"/>
      </w:divBdr>
    </w:div>
    <w:div w:id="1416628472">
      <w:bodyDiv w:val="1"/>
      <w:marLeft w:val="0"/>
      <w:marRight w:val="0"/>
      <w:marTop w:val="0"/>
      <w:marBottom w:val="0"/>
      <w:divBdr>
        <w:top w:val="none" w:sz="0" w:space="0" w:color="auto"/>
        <w:left w:val="none" w:sz="0" w:space="0" w:color="auto"/>
        <w:bottom w:val="none" w:sz="0" w:space="0" w:color="auto"/>
        <w:right w:val="none" w:sz="0" w:space="0" w:color="auto"/>
      </w:divBdr>
    </w:div>
    <w:div w:id="1506214138">
      <w:bodyDiv w:val="1"/>
      <w:marLeft w:val="0"/>
      <w:marRight w:val="0"/>
      <w:marTop w:val="0"/>
      <w:marBottom w:val="0"/>
      <w:divBdr>
        <w:top w:val="none" w:sz="0" w:space="0" w:color="auto"/>
        <w:left w:val="none" w:sz="0" w:space="0" w:color="auto"/>
        <w:bottom w:val="none" w:sz="0" w:space="0" w:color="auto"/>
        <w:right w:val="none" w:sz="0" w:space="0" w:color="auto"/>
      </w:divBdr>
    </w:div>
    <w:div w:id="1532038594">
      <w:bodyDiv w:val="1"/>
      <w:marLeft w:val="0"/>
      <w:marRight w:val="0"/>
      <w:marTop w:val="0"/>
      <w:marBottom w:val="0"/>
      <w:divBdr>
        <w:top w:val="none" w:sz="0" w:space="0" w:color="auto"/>
        <w:left w:val="none" w:sz="0" w:space="0" w:color="auto"/>
        <w:bottom w:val="none" w:sz="0" w:space="0" w:color="auto"/>
        <w:right w:val="none" w:sz="0" w:space="0" w:color="auto"/>
      </w:divBdr>
    </w:div>
    <w:div w:id="1539316361">
      <w:bodyDiv w:val="1"/>
      <w:marLeft w:val="0"/>
      <w:marRight w:val="0"/>
      <w:marTop w:val="0"/>
      <w:marBottom w:val="0"/>
      <w:divBdr>
        <w:top w:val="none" w:sz="0" w:space="0" w:color="auto"/>
        <w:left w:val="none" w:sz="0" w:space="0" w:color="auto"/>
        <w:bottom w:val="none" w:sz="0" w:space="0" w:color="auto"/>
        <w:right w:val="none" w:sz="0" w:space="0" w:color="auto"/>
      </w:divBdr>
    </w:div>
    <w:div w:id="1555316746">
      <w:bodyDiv w:val="1"/>
      <w:marLeft w:val="0"/>
      <w:marRight w:val="0"/>
      <w:marTop w:val="0"/>
      <w:marBottom w:val="0"/>
      <w:divBdr>
        <w:top w:val="none" w:sz="0" w:space="0" w:color="auto"/>
        <w:left w:val="none" w:sz="0" w:space="0" w:color="auto"/>
        <w:bottom w:val="none" w:sz="0" w:space="0" w:color="auto"/>
        <w:right w:val="none" w:sz="0" w:space="0" w:color="auto"/>
      </w:divBdr>
    </w:div>
    <w:div w:id="1566453716">
      <w:bodyDiv w:val="1"/>
      <w:marLeft w:val="0"/>
      <w:marRight w:val="0"/>
      <w:marTop w:val="0"/>
      <w:marBottom w:val="0"/>
      <w:divBdr>
        <w:top w:val="none" w:sz="0" w:space="0" w:color="auto"/>
        <w:left w:val="none" w:sz="0" w:space="0" w:color="auto"/>
        <w:bottom w:val="none" w:sz="0" w:space="0" w:color="auto"/>
        <w:right w:val="none" w:sz="0" w:space="0" w:color="auto"/>
      </w:divBdr>
    </w:div>
    <w:div w:id="1576938972">
      <w:bodyDiv w:val="1"/>
      <w:marLeft w:val="0"/>
      <w:marRight w:val="0"/>
      <w:marTop w:val="0"/>
      <w:marBottom w:val="0"/>
      <w:divBdr>
        <w:top w:val="none" w:sz="0" w:space="0" w:color="auto"/>
        <w:left w:val="none" w:sz="0" w:space="0" w:color="auto"/>
        <w:bottom w:val="none" w:sz="0" w:space="0" w:color="auto"/>
        <w:right w:val="none" w:sz="0" w:space="0" w:color="auto"/>
      </w:divBdr>
    </w:div>
    <w:div w:id="1599871931">
      <w:bodyDiv w:val="1"/>
      <w:marLeft w:val="0"/>
      <w:marRight w:val="0"/>
      <w:marTop w:val="0"/>
      <w:marBottom w:val="0"/>
      <w:divBdr>
        <w:top w:val="none" w:sz="0" w:space="0" w:color="auto"/>
        <w:left w:val="none" w:sz="0" w:space="0" w:color="auto"/>
        <w:bottom w:val="none" w:sz="0" w:space="0" w:color="auto"/>
        <w:right w:val="none" w:sz="0" w:space="0" w:color="auto"/>
      </w:divBdr>
    </w:div>
    <w:div w:id="1725328868">
      <w:bodyDiv w:val="1"/>
      <w:marLeft w:val="0"/>
      <w:marRight w:val="0"/>
      <w:marTop w:val="0"/>
      <w:marBottom w:val="0"/>
      <w:divBdr>
        <w:top w:val="none" w:sz="0" w:space="0" w:color="auto"/>
        <w:left w:val="none" w:sz="0" w:space="0" w:color="auto"/>
        <w:bottom w:val="none" w:sz="0" w:space="0" w:color="auto"/>
        <w:right w:val="none" w:sz="0" w:space="0" w:color="auto"/>
      </w:divBdr>
    </w:div>
    <w:div w:id="1763649724">
      <w:bodyDiv w:val="1"/>
      <w:marLeft w:val="0"/>
      <w:marRight w:val="0"/>
      <w:marTop w:val="0"/>
      <w:marBottom w:val="0"/>
      <w:divBdr>
        <w:top w:val="none" w:sz="0" w:space="0" w:color="auto"/>
        <w:left w:val="none" w:sz="0" w:space="0" w:color="auto"/>
        <w:bottom w:val="none" w:sz="0" w:space="0" w:color="auto"/>
        <w:right w:val="none" w:sz="0" w:space="0" w:color="auto"/>
      </w:divBdr>
    </w:div>
    <w:div w:id="1803376634">
      <w:bodyDiv w:val="1"/>
      <w:marLeft w:val="0"/>
      <w:marRight w:val="0"/>
      <w:marTop w:val="0"/>
      <w:marBottom w:val="0"/>
      <w:divBdr>
        <w:top w:val="none" w:sz="0" w:space="0" w:color="auto"/>
        <w:left w:val="none" w:sz="0" w:space="0" w:color="auto"/>
        <w:bottom w:val="none" w:sz="0" w:space="0" w:color="auto"/>
        <w:right w:val="none" w:sz="0" w:space="0" w:color="auto"/>
      </w:divBdr>
    </w:div>
    <w:div w:id="1827091537">
      <w:bodyDiv w:val="1"/>
      <w:marLeft w:val="0"/>
      <w:marRight w:val="0"/>
      <w:marTop w:val="0"/>
      <w:marBottom w:val="0"/>
      <w:divBdr>
        <w:top w:val="none" w:sz="0" w:space="0" w:color="auto"/>
        <w:left w:val="none" w:sz="0" w:space="0" w:color="auto"/>
        <w:bottom w:val="none" w:sz="0" w:space="0" w:color="auto"/>
        <w:right w:val="none" w:sz="0" w:space="0" w:color="auto"/>
      </w:divBdr>
    </w:div>
    <w:div w:id="1843742508">
      <w:bodyDiv w:val="1"/>
      <w:marLeft w:val="0"/>
      <w:marRight w:val="0"/>
      <w:marTop w:val="0"/>
      <w:marBottom w:val="0"/>
      <w:divBdr>
        <w:top w:val="none" w:sz="0" w:space="0" w:color="auto"/>
        <w:left w:val="none" w:sz="0" w:space="0" w:color="auto"/>
        <w:bottom w:val="none" w:sz="0" w:space="0" w:color="auto"/>
        <w:right w:val="none" w:sz="0" w:space="0" w:color="auto"/>
      </w:divBdr>
    </w:div>
    <w:div w:id="1852908747">
      <w:bodyDiv w:val="1"/>
      <w:marLeft w:val="0"/>
      <w:marRight w:val="0"/>
      <w:marTop w:val="0"/>
      <w:marBottom w:val="0"/>
      <w:divBdr>
        <w:top w:val="none" w:sz="0" w:space="0" w:color="auto"/>
        <w:left w:val="none" w:sz="0" w:space="0" w:color="auto"/>
        <w:bottom w:val="none" w:sz="0" w:space="0" w:color="auto"/>
        <w:right w:val="none" w:sz="0" w:space="0" w:color="auto"/>
      </w:divBdr>
    </w:div>
    <w:div w:id="1866596786">
      <w:bodyDiv w:val="1"/>
      <w:marLeft w:val="0"/>
      <w:marRight w:val="0"/>
      <w:marTop w:val="0"/>
      <w:marBottom w:val="0"/>
      <w:divBdr>
        <w:top w:val="none" w:sz="0" w:space="0" w:color="auto"/>
        <w:left w:val="none" w:sz="0" w:space="0" w:color="auto"/>
        <w:bottom w:val="none" w:sz="0" w:space="0" w:color="auto"/>
        <w:right w:val="none" w:sz="0" w:space="0" w:color="auto"/>
      </w:divBdr>
    </w:div>
    <w:div w:id="1886065995">
      <w:bodyDiv w:val="1"/>
      <w:marLeft w:val="0"/>
      <w:marRight w:val="0"/>
      <w:marTop w:val="0"/>
      <w:marBottom w:val="0"/>
      <w:divBdr>
        <w:top w:val="none" w:sz="0" w:space="0" w:color="auto"/>
        <w:left w:val="none" w:sz="0" w:space="0" w:color="auto"/>
        <w:bottom w:val="none" w:sz="0" w:space="0" w:color="auto"/>
        <w:right w:val="none" w:sz="0" w:space="0" w:color="auto"/>
      </w:divBdr>
    </w:div>
    <w:div w:id="1890068601">
      <w:bodyDiv w:val="1"/>
      <w:marLeft w:val="0"/>
      <w:marRight w:val="0"/>
      <w:marTop w:val="0"/>
      <w:marBottom w:val="0"/>
      <w:divBdr>
        <w:top w:val="none" w:sz="0" w:space="0" w:color="auto"/>
        <w:left w:val="none" w:sz="0" w:space="0" w:color="auto"/>
        <w:bottom w:val="none" w:sz="0" w:space="0" w:color="auto"/>
        <w:right w:val="none" w:sz="0" w:space="0" w:color="auto"/>
      </w:divBdr>
    </w:div>
    <w:div w:id="1911766037">
      <w:bodyDiv w:val="1"/>
      <w:marLeft w:val="0"/>
      <w:marRight w:val="0"/>
      <w:marTop w:val="0"/>
      <w:marBottom w:val="0"/>
      <w:divBdr>
        <w:top w:val="none" w:sz="0" w:space="0" w:color="auto"/>
        <w:left w:val="none" w:sz="0" w:space="0" w:color="auto"/>
        <w:bottom w:val="none" w:sz="0" w:space="0" w:color="auto"/>
        <w:right w:val="none" w:sz="0" w:space="0" w:color="auto"/>
      </w:divBdr>
      <w:divsChild>
        <w:div w:id="1101879679">
          <w:marLeft w:val="0"/>
          <w:marRight w:val="0"/>
          <w:marTop w:val="0"/>
          <w:marBottom w:val="0"/>
          <w:divBdr>
            <w:top w:val="none" w:sz="0" w:space="0" w:color="auto"/>
            <w:left w:val="none" w:sz="0" w:space="0" w:color="auto"/>
            <w:bottom w:val="none" w:sz="0" w:space="0" w:color="auto"/>
            <w:right w:val="none" w:sz="0" w:space="0" w:color="auto"/>
          </w:divBdr>
          <w:divsChild>
            <w:div w:id="199978987">
              <w:marLeft w:val="0"/>
              <w:marRight w:val="0"/>
              <w:marTop w:val="0"/>
              <w:marBottom w:val="0"/>
              <w:divBdr>
                <w:top w:val="none" w:sz="0" w:space="0" w:color="auto"/>
                <w:left w:val="none" w:sz="0" w:space="0" w:color="auto"/>
                <w:bottom w:val="none" w:sz="0" w:space="0" w:color="auto"/>
                <w:right w:val="none" w:sz="0" w:space="0" w:color="auto"/>
              </w:divBdr>
            </w:div>
          </w:divsChild>
        </w:div>
        <w:div w:id="1342781594">
          <w:marLeft w:val="0"/>
          <w:marRight w:val="0"/>
          <w:marTop w:val="0"/>
          <w:marBottom w:val="0"/>
          <w:divBdr>
            <w:top w:val="none" w:sz="0" w:space="0" w:color="auto"/>
            <w:left w:val="none" w:sz="0" w:space="0" w:color="auto"/>
            <w:bottom w:val="none" w:sz="0" w:space="0" w:color="auto"/>
            <w:right w:val="none" w:sz="0" w:space="0" w:color="auto"/>
          </w:divBdr>
        </w:div>
      </w:divsChild>
    </w:div>
    <w:div w:id="1926114083">
      <w:bodyDiv w:val="1"/>
      <w:marLeft w:val="0"/>
      <w:marRight w:val="0"/>
      <w:marTop w:val="0"/>
      <w:marBottom w:val="0"/>
      <w:divBdr>
        <w:top w:val="none" w:sz="0" w:space="0" w:color="auto"/>
        <w:left w:val="none" w:sz="0" w:space="0" w:color="auto"/>
        <w:bottom w:val="none" w:sz="0" w:space="0" w:color="auto"/>
        <w:right w:val="none" w:sz="0" w:space="0" w:color="auto"/>
      </w:divBdr>
    </w:div>
    <w:div w:id="1926761775">
      <w:bodyDiv w:val="1"/>
      <w:marLeft w:val="0"/>
      <w:marRight w:val="0"/>
      <w:marTop w:val="0"/>
      <w:marBottom w:val="0"/>
      <w:divBdr>
        <w:top w:val="none" w:sz="0" w:space="0" w:color="auto"/>
        <w:left w:val="none" w:sz="0" w:space="0" w:color="auto"/>
        <w:bottom w:val="none" w:sz="0" w:space="0" w:color="auto"/>
        <w:right w:val="none" w:sz="0" w:space="0" w:color="auto"/>
      </w:divBdr>
    </w:div>
    <w:div w:id="1942952599">
      <w:bodyDiv w:val="1"/>
      <w:marLeft w:val="0"/>
      <w:marRight w:val="0"/>
      <w:marTop w:val="0"/>
      <w:marBottom w:val="0"/>
      <w:divBdr>
        <w:top w:val="none" w:sz="0" w:space="0" w:color="auto"/>
        <w:left w:val="none" w:sz="0" w:space="0" w:color="auto"/>
        <w:bottom w:val="none" w:sz="0" w:space="0" w:color="auto"/>
        <w:right w:val="none" w:sz="0" w:space="0" w:color="auto"/>
      </w:divBdr>
    </w:div>
    <w:div w:id="1951279690">
      <w:bodyDiv w:val="1"/>
      <w:marLeft w:val="0"/>
      <w:marRight w:val="0"/>
      <w:marTop w:val="0"/>
      <w:marBottom w:val="0"/>
      <w:divBdr>
        <w:top w:val="none" w:sz="0" w:space="0" w:color="auto"/>
        <w:left w:val="none" w:sz="0" w:space="0" w:color="auto"/>
        <w:bottom w:val="none" w:sz="0" w:space="0" w:color="auto"/>
        <w:right w:val="none" w:sz="0" w:space="0" w:color="auto"/>
      </w:divBdr>
    </w:div>
    <w:div w:id="1977031484">
      <w:bodyDiv w:val="1"/>
      <w:marLeft w:val="0"/>
      <w:marRight w:val="0"/>
      <w:marTop w:val="0"/>
      <w:marBottom w:val="0"/>
      <w:divBdr>
        <w:top w:val="none" w:sz="0" w:space="0" w:color="auto"/>
        <w:left w:val="none" w:sz="0" w:space="0" w:color="auto"/>
        <w:bottom w:val="none" w:sz="0" w:space="0" w:color="auto"/>
        <w:right w:val="none" w:sz="0" w:space="0" w:color="auto"/>
      </w:divBdr>
    </w:div>
    <w:div w:id="1993605903">
      <w:bodyDiv w:val="1"/>
      <w:marLeft w:val="0"/>
      <w:marRight w:val="0"/>
      <w:marTop w:val="0"/>
      <w:marBottom w:val="0"/>
      <w:divBdr>
        <w:top w:val="none" w:sz="0" w:space="0" w:color="auto"/>
        <w:left w:val="none" w:sz="0" w:space="0" w:color="auto"/>
        <w:bottom w:val="none" w:sz="0" w:space="0" w:color="auto"/>
        <w:right w:val="none" w:sz="0" w:space="0" w:color="auto"/>
      </w:divBdr>
    </w:div>
    <w:div w:id="2001737196">
      <w:bodyDiv w:val="1"/>
      <w:marLeft w:val="0"/>
      <w:marRight w:val="0"/>
      <w:marTop w:val="0"/>
      <w:marBottom w:val="0"/>
      <w:divBdr>
        <w:top w:val="none" w:sz="0" w:space="0" w:color="auto"/>
        <w:left w:val="none" w:sz="0" w:space="0" w:color="auto"/>
        <w:bottom w:val="none" w:sz="0" w:space="0" w:color="auto"/>
        <w:right w:val="none" w:sz="0" w:space="0" w:color="auto"/>
      </w:divBdr>
    </w:div>
    <w:div w:id="2014799243">
      <w:bodyDiv w:val="1"/>
      <w:marLeft w:val="0"/>
      <w:marRight w:val="0"/>
      <w:marTop w:val="0"/>
      <w:marBottom w:val="0"/>
      <w:divBdr>
        <w:top w:val="none" w:sz="0" w:space="0" w:color="auto"/>
        <w:left w:val="none" w:sz="0" w:space="0" w:color="auto"/>
        <w:bottom w:val="none" w:sz="0" w:space="0" w:color="auto"/>
        <w:right w:val="none" w:sz="0" w:space="0" w:color="auto"/>
      </w:divBdr>
    </w:div>
    <w:div w:id="2015957270">
      <w:bodyDiv w:val="1"/>
      <w:marLeft w:val="0"/>
      <w:marRight w:val="0"/>
      <w:marTop w:val="0"/>
      <w:marBottom w:val="0"/>
      <w:divBdr>
        <w:top w:val="none" w:sz="0" w:space="0" w:color="auto"/>
        <w:left w:val="none" w:sz="0" w:space="0" w:color="auto"/>
        <w:bottom w:val="none" w:sz="0" w:space="0" w:color="auto"/>
        <w:right w:val="none" w:sz="0" w:space="0" w:color="auto"/>
      </w:divBdr>
    </w:div>
    <w:div w:id="2025521376">
      <w:bodyDiv w:val="1"/>
      <w:marLeft w:val="0"/>
      <w:marRight w:val="0"/>
      <w:marTop w:val="0"/>
      <w:marBottom w:val="0"/>
      <w:divBdr>
        <w:top w:val="none" w:sz="0" w:space="0" w:color="auto"/>
        <w:left w:val="none" w:sz="0" w:space="0" w:color="auto"/>
        <w:bottom w:val="none" w:sz="0" w:space="0" w:color="auto"/>
        <w:right w:val="none" w:sz="0" w:space="0" w:color="auto"/>
      </w:divBdr>
    </w:div>
    <w:div w:id="2058894857">
      <w:bodyDiv w:val="1"/>
      <w:marLeft w:val="0"/>
      <w:marRight w:val="0"/>
      <w:marTop w:val="0"/>
      <w:marBottom w:val="0"/>
      <w:divBdr>
        <w:top w:val="none" w:sz="0" w:space="0" w:color="auto"/>
        <w:left w:val="none" w:sz="0" w:space="0" w:color="auto"/>
        <w:bottom w:val="none" w:sz="0" w:space="0" w:color="auto"/>
        <w:right w:val="none" w:sz="0" w:space="0" w:color="auto"/>
      </w:divBdr>
    </w:div>
    <w:div w:id="2071464412">
      <w:bodyDiv w:val="1"/>
      <w:marLeft w:val="0"/>
      <w:marRight w:val="0"/>
      <w:marTop w:val="0"/>
      <w:marBottom w:val="0"/>
      <w:divBdr>
        <w:top w:val="none" w:sz="0" w:space="0" w:color="auto"/>
        <w:left w:val="none" w:sz="0" w:space="0" w:color="auto"/>
        <w:bottom w:val="none" w:sz="0" w:space="0" w:color="auto"/>
        <w:right w:val="none" w:sz="0" w:space="0" w:color="auto"/>
      </w:divBdr>
    </w:div>
    <w:div w:id="2086686384">
      <w:bodyDiv w:val="1"/>
      <w:marLeft w:val="0"/>
      <w:marRight w:val="0"/>
      <w:marTop w:val="0"/>
      <w:marBottom w:val="0"/>
      <w:divBdr>
        <w:top w:val="none" w:sz="0" w:space="0" w:color="auto"/>
        <w:left w:val="none" w:sz="0" w:space="0" w:color="auto"/>
        <w:bottom w:val="none" w:sz="0" w:space="0" w:color="auto"/>
        <w:right w:val="none" w:sz="0" w:space="0" w:color="auto"/>
      </w:divBdr>
    </w:div>
    <w:div w:id="2097480489">
      <w:bodyDiv w:val="1"/>
      <w:marLeft w:val="0"/>
      <w:marRight w:val="0"/>
      <w:marTop w:val="0"/>
      <w:marBottom w:val="0"/>
      <w:divBdr>
        <w:top w:val="none" w:sz="0" w:space="0" w:color="auto"/>
        <w:left w:val="none" w:sz="0" w:space="0" w:color="auto"/>
        <w:bottom w:val="none" w:sz="0" w:space="0" w:color="auto"/>
        <w:right w:val="none" w:sz="0" w:space="0" w:color="auto"/>
      </w:divBdr>
      <w:divsChild>
        <w:div w:id="135028598">
          <w:marLeft w:val="360"/>
          <w:marRight w:val="0"/>
          <w:marTop w:val="0"/>
          <w:marBottom w:val="0"/>
          <w:divBdr>
            <w:top w:val="none" w:sz="0" w:space="0" w:color="auto"/>
            <w:left w:val="none" w:sz="0" w:space="0" w:color="auto"/>
            <w:bottom w:val="none" w:sz="0" w:space="0" w:color="auto"/>
            <w:right w:val="none" w:sz="0" w:space="0" w:color="auto"/>
          </w:divBdr>
        </w:div>
        <w:div w:id="513500025">
          <w:marLeft w:val="1080"/>
          <w:marRight w:val="0"/>
          <w:marTop w:val="0"/>
          <w:marBottom w:val="0"/>
          <w:divBdr>
            <w:top w:val="none" w:sz="0" w:space="0" w:color="auto"/>
            <w:left w:val="none" w:sz="0" w:space="0" w:color="auto"/>
            <w:bottom w:val="none" w:sz="0" w:space="0" w:color="auto"/>
            <w:right w:val="none" w:sz="0" w:space="0" w:color="auto"/>
          </w:divBdr>
        </w:div>
        <w:div w:id="640504861">
          <w:marLeft w:val="1080"/>
          <w:marRight w:val="0"/>
          <w:marTop w:val="0"/>
          <w:marBottom w:val="0"/>
          <w:divBdr>
            <w:top w:val="none" w:sz="0" w:space="0" w:color="auto"/>
            <w:left w:val="none" w:sz="0" w:space="0" w:color="auto"/>
            <w:bottom w:val="none" w:sz="0" w:space="0" w:color="auto"/>
            <w:right w:val="none" w:sz="0" w:space="0" w:color="auto"/>
          </w:divBdr>
        </w:div>
        <w:div w:id="1992129756">
          <w:marLeft w:val="1080"/>
          <w:marRight w:val="0"/>
          <w:marTop w:val="0"/>
          <w:marBottom w:val="0"/>
          <w:divBdr>
            <w:top w:val="none" w:sz="0" w:space="0" w:color="auto"/>
            <w:left w:val="none" w:sz="0" w:space="0" w:color="auto"/>
            <w:bottom w:val="none" w:sz="0" w:space="0" w:color="auto"/>
            <w:right w:val="none" w:sz="0" w:space="0" w:color="auto"/>
          </w:divBdr>
        </w:div>
      </w:divsChild>
    </w:div>
    <w:div w:id="210267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ved=2ahUKEwjS0fmvwtT3AhWUhv0HHVgGCacQFnoECAIQAQ&amp;url=https://news.un.org/pages/wp-content/uploads/2022/04/UN-GCRG-Brief-1.pdf&amp;usg=AOvVaw0WPUlkW_Cqpd-2PB0HmR9y" TargetMode="External"/><Relationship Id="rId13" Type="http://schemas.openxmlformats.org/officeDocument/2006/relationships/hyperlink" Target="https://www.irena.org/publications/2019/Apr/Global-energy-transformation-A-roadmap-to-2050-2019Edition" TargetMode="External"/><Relationship Id="rId3" Type="http://schemas.openxmlformats.org/officeDocument/2006/relationships/hyperlink" Target="https://energy.ec.europa.eu/topics/infrastructure/trans-european-networks-energy_en" TargetMode="External"/><Relationship Id="rId7" Type="http://schemas.openxmlformats.org/officeDocument/2006/relationships/hyperlink" Target="https://www.google.com/url?sa=t&amp;rct=j&amp;q=&amp;esrc=s&amp;source=web&amp;cd=&amp;ved=2ahUKEwid0JLOwtT3AhWwgv0HHVBeAp0QFnoECAgQAQ&amp;url=https://unctad.org/system/files/official-document/tdr2021-update1_en.pdf&amp;usg=AOvVaw1q0T_D_CdKLHEmOokFKnji" TargetMode="External"/><Relationship Id="rId12" Type="http://schemas.openxmlformats.org/officeDocument/2006/relationships/hyperlink" Target="https://www.irena.org/publications/2019/Apr/Global-energy-transformation-A-roadmap-to-2050-2019Edition" TargetMode="External"/><Relationship Id="rId17" Type="http://schemas.openxmlformats.org/officeDocument/2006/relationships/hyperlink" Target="https://eur-lex.europa.eu/legal-content/EN/ALL/?uri=CELEX:52021JC0003" TargetMode="External"/><Relationship Id="rId2" Type="http://schemas.openxmlformats.org/officeDocument/2006/relationships/hyperlink" Target="https://ec.europa.eu/commission/presscorner/detail/en/STATEMENT_22_1989" TargetMode="External"/><Relationship Id="rId16" Type="http://schemas.openxmlformats.org/officeDocument/2006/relationships/hyperlink" Target="https://ec.europa.eu/info/energy-climate-change-environment/standards-tools-and-labels/products-labelling-rules-and-requirements/sustainable-products/about-sustainable-products_en" TargetMode="External"/><Relationship Id="rId1" Type="http://schemas.openxmlformats.org/officeDocument/2006/relationships/hyperlink" Target="https://ec.europa.eu/commission/presscorner/detail/en/STATEMENT_22_2041" TargetMode="External"/><Relationship Id="rId6" Type="http://schemas.openxmlformats.org/officeDocument/2006/relationships/hyperlink" Target="https://www.globalmethanepledge.org/" TargetMode="External"/><Relationship Id="rId11" Type="http://schemas.openxmlformats.org/officeDocument/2006/relationships/hyperlink" Target="https://www.irena.org/publications/2022/Mar/World-Energy-Transitions-Outlook-2022" TargetMode="External"/><Relationship Id="rId5" Type="http://schemas.openxmlformats.org/officeDocument/2006/relationships/hyperlink" Target="https://ec.europa.eu/info/law/better-regulation/have-your-say/initiatives/12504-EU-methane-strategy_en" TargetMode="External"/><Relationship Id="rId15" Type="http://schemas.openxmlformats.org/officeDocument/2006/relationships/hyperlink" Target="https://ec.europa.eu/docsroom/documents/42881" TargetMode="External"/><Relationship Id="rId10" Type="http://schemas.openxmlformats.org/officeDocument/2006/relationships/hyperlink" Target="https://www.irena.org/publications/2022/Mar/World-Energy-Transitions-Outlook-2022" TargetMode="External"/><Relationship Id="rId4" Type="http://schemas.openxmlformats.org/officeDocument/2006/relationships/hyperlink" Target="https://www.iea.org/reports/methane-tracker-2020" TargetMode="External"/><Relationship Id="rId9" Type="http://schemas.openxmlformats.org/officeDocument/2006/relationships/hyperlink" Target="https://news.un.org/pages/global-crisis-response-group/" TargetMode="External"/><Relationship Id="rId14" Type="http://schemas.openxmlformats.org/officeDocument/2006/relationships/hyperlink" Target="https://ec.europa.eu/info/files/communication-global-approach-research-and-innovation_en"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CF4239AB51A4EB929CA07116AF5D7" ma:contentTypeVersion="4" ma:contentTypeDescription="Create a new document." ma:contentTypeScope="" ma:versionID="611572022f38fd8cdfc00c3437dc0d51">
  <xsd:schema xmlns:xsd="http://www.w3.org/2001/XMLSchema" xmlns:xs="http://www.w3.org/2001/XMLSchema" xmlns:p="http://schemas.microsoft.com/office/2006/metadata/properties" xmlns:ns3="b7f4df02-7fd3-4055-a763-2359051bb332" targetNamespace="http://schemas.microsoft.com/office/2006/metadata/properties" ma:root="true" ma:fieldsID="cb3359c41eeb6b905d908ac8dd0cfc60" ns3:_="">
    <xsd:import namespace="b7f4df02-7fd3-4055-a763-2359051bb3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df02-7fd3-4055-a763-2359051bb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D8970-C7B7-4F6C-89B7-16ADADECE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df02-7fd3-4055-a763-2359051bb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3BBB1-A751-4642-AA6B-F49298E7B36A}">
  <ds:schemaRefs>
    <ds:schemaRef ds:uri="b7f4df02-7fd3-4055-a763-2359051bb332"/>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5D868D-078C-4E17-98B1-AB16831A6CA8}">
  <ds:schemaRefs>
    <ds:schemaRef ds:uri="http://schemas.microsoft.com/sharepoint/v3/contenttype/forms"/>
  </ds:schemaRefs>
</ds:datastoreItem>
</file>

<file path=customXml/itemProps4.xml><?xml version="1.0" encoding="utf-8"?>
<ds:datastoreItem xmlns:ds="http://schemas.openxmlformats.org/officeDocument/2006/customXml" ds:itemID="{8699E595-0561-456F-9913-D9EE42A2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7732</Words>
  <Characters>47172</Characters>
  <Application>Microsoft Office Word</Application>
  <DocSecurity>0</DocSecurity>
  <Lines>714</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2022-05-10T09:54:00Z</cp:lastPrinted>
  <dcterms:created xsi:type="dcterms:W3CDTF">2022-05-17T20:33:00Z</dcterms:created>
  <dcterms:modified xsi:type="dcterms:W3CDTF">2022-06-09T15:05:00Z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CP-016</vt:lpwstr>
  </property>
  <property fmtid="{D5CDD505-2E9C-101B-9397-08002B2CF9AE}" pid="7" name="Last edited using">
    <vt:lpwstr>LW 8.0, Build 20220128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2022-04-24T11:00:37Z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05e13524-d70e-4b76-98d3-6f4f6b3db628</vt:lpwstr>
  </property>
  <property fmtid="{D5CDD505-2E9C-101B-9397-08002B2CF9AE}" pid="15" name="MSIP_Label_6bd9ddd1-4d20-43f6-abfa-fc3c07406f94_ContentBits">
    <vt:lpwstr>0</vt:lpwstr>
  </property>
  <property fmtid="{D5CDD505-2E9C-101B-9397-08002B2CF9AE}" pid="16" name="ContentTypeId">
    <vt:lpwstr>0x010100FA6CF4239AB51A4EB929CA07116AF5D7</vt:lpwstr>
  </property>
</Properties>
</file>