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24510" w14:textId="727CBE53" w:rsidR="00DB139D" w:rsidRPr="00A35177" w:rsidRDefault="00347D6E" w:rsidP="00347D6E">
      <w:pPr>
        <w:pStyle w:val="Pagedecouverture"/>
        <w:rPr>
          <w:noProof/>
        </w:rPr>
      </w:pPr>
      <w:r>
        <w:rPr>
          <w:noProof/>
        </w:rPr>
        <w:pict w14:anchorId="38A1F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A388D456-916E-4DFA-8040-A8CE62202393" style="width:455.25pt;height:399pt">
            <v:imagedata r:id="rId11" o:title=""/>
          </v:shape>
        </w:pict>
      </w:r>
    </w:p>
    <w:p w14:paraId="27105C31" w14:textId="77777777" w:rsidR="00DB139D" w:rsidRPr="00A35177" w:rsidRDefault="00DB139D" w:rsidP="00DB139D">
      <w:pPr>
        <w:rPr>
          <w:noProof/>
        </w:rPr>
        <w:sectPr w:rsidR="00DB139D" w:rsidRPr="00A35177" w:rsidSect="00347D6E"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9AD946D" w14:textId="77777777" w:rsidR="00DB139D" w:rsidRPr="00A35177" w:rsidRDefault="00DB139D" w:rsidP="00825B19">
      <w:pPr>
        <w:pStyle w:val="Exposdesmotifstitre"/>
        <w:rPr>
          <w:noProof/>
        </w:rPr>
      </w:pPr>
      <w:bookmarkStart w:id="0" w:name="_GoBack"/>
      <w:bookmarkEnd w:id="0"/>
      <w:r w:rsidRPr="00A35177">
        <w:rPr>
          <w:noProof/>
        </w:rPr>
        <w:lastRenderedPageBreak/>
        <w:t>OBRAZLOŽENJE</w:t>
      </w:r>
    </w:p>
    <w:p w14:paraId="5323DE28" w14:textId="77777777" w:rsidR="00D44D4F" w:rsidRPr="00A35177" w:rsidRDefault="00D44D4F" w:rsidP="001C5834">
      <w:pPr>
        <w:rPr>
          <w:noProof/>
        </w:rPr>
      </w:pPr>
    </w:p>
    <w:p w14:paraId="220E8617" w14:textId="77777777" w:rsidR="00A73103" w:rsidRPr="00A35177" w:rsidRDefault="00A73103" w:rsidP="00A73103">
      <w:pPr>
        <w:pStyle w:val="ManualHeading1"/>
        <w:rPr>
          <w:noProof/>
        </w:rPr>
      </w:pPr>
      <w:r w:rsidRPr="00A35177">
        <w:rPr>
          <w:noProof/>
        </w:rPr>
        <w:t>1.</w:t>
      </w:r>
      <w:r w:rsidRPr="00A35177">
        <w:rPr>
          <w:noProof/>
        </w:rPr>
        <w:tab/>
        <w:t>KONTEKST PRIJEDLOGA</w:t>
      </w:r>
    </w:p>
    <w:p w14:paraId="223AE6DD" w14:textId="77777777" w:rsidR="00A73103" w:rsidRPr="00A35177" w:rsidRDefault="00A73103" w:rsidP="00A73103">
      <w:pPr>
        <w:pStyle w:val="ManualHeading2"/>
        <w:rPr>
          <w:rFonts w:eastAsia="Arial Unicode MS"/>
          <w:noProof/>
        </w:rPr>
      </w:pPr>
      <w:r w:rsidRPr="00A35177">
        <w:rPr>
          <w:noProof/>
          <w:color w:val="000000"/>
          <w:bdr w:val="none" w:sz="0" w:space="0" w:color="auto" w:frame="1"/>
        </w:rPr>
        <w:t>•</w:t>
      </w:r>
      <w:r w:rsidRPr="00A35177">
        <w:rPr>
          <w:noProof/>
        </w:rPr>
        <w:tab/>
        <w:t>Razlozi i ciljevi prijedloga</w:t>
      </w:r>
    </w:p>
    <w:p w14:paraId="48B78334" w14:textId="77777777" w:rsidR="008503A4" w:rsidRPr="00A35177" w:rsidRDefault="008503A4" w:rsidP="008503A4">
      <w:pPr>
        <w:rPr>
          <w:noProof/>
        </w:rPr>
      </w:pPr>
      <w:r w:rsidRPr="00A35177">
        <w:rPr>
          <w:noProof/>
        </w:rPr>
        <w:t>Europske organizacije za normizaciju privatne su organizacije koje imaju posebnu ulogu u europskom normizacijskom sustavu. Kako je utvrđeno u Uredbi (EU) br. 1025/2012 Europskog parlamenta i Vijeća od 25. listopada 2012.</w:t>
      </w:r>
      <w:r w:rsidRPr="00A35177">
        <w:rPr>
          <w:rStyle w:val="FootnoteReference"/>
          <w:noProof/>
        </w:rPr>
        <w:footnoteReference w:id="2"/>
      </w:r>
      <w:r w:rsidRPr="00A35177">
        <w:rPr>
          <w:noProof/>
        </w:rPr>
        <w:t xml:space="preserve">, europsku normizaciju za interesne skupine organiziraju same interesne skupine na temelju nacionalne zastupljenosti (u Europskom odboru za normizaciju (CEN) i Europskom odboru za elektrotehničku normizaciju (CENELEC)) i izravnog sudjelovanja članova (u Europskom institutu za telekomunikacijske norme (ETSI)). Kad Komisija podnese zahtjev za normizaciju, europske organizacije za normizaciju, kako su definirane u Uredbi (EU) br. 1025/2012, jedina su tijela koja mogu izdavati norme i normizacijske dokumente. One to čine u skladu s posebnim postupcima utvrđenima u članku 10. Uredbe (EU) br. 1025/2012 (dalje u tekstu „Uredba o normizaciji”). Uredbom o normizaciji predviđeno je i da Europska unija može financijski podupirati europske organizacije za normizaciju. </w:t>
      </w:r>
    </w:p>
    <w:p w14:paraId="43313057" w14:textId="77777777" w:rsidR="008503A4" w:rsidRPr="00A35177" w:rsidRDefault="008503A4" w:rsidP="008503A4">
      <w:pPr>
        <w:rPr>
          <w:noProof/>
        </w:rPr>
      </w:pPr>
      <w:r w:rsidRPr="00A35177">
        <w:rPr>
          <w:noProof/>
        </w:rPr>
        <w:t xml:space="preserve">Europske organizacije za normizaciju definirane su u članku 2. točki 8. i Prilogu I. Uredbi o normizaciji. Postoje tri europske organizacije za normizaciju: CEN, CENELEC i ETSI. One imaju isključivu ulogu u obavljanju rada na normizaciji koji Komisija zatraži kao potporu zakonodavstvu i politikama EU-a. </w:t>
      </w:r>
    </w:p>
    <w:p w14:paraId="51185A43" w14:textId="77777777" w:rsidR="00A73103" w:rsidRPr="00A35177" w:rsidRDefault="00A73103" w:rsidP="00A73103">
      <w:pPr>
        <w:rPr>
          <w:noProof/>
        </w:rPr>
      </w:pPr>
      <w:r w:rsidRPr="00A35177">
        <w:rPr>
          <w:noProof/>
        </w:rPr>
        <w:t xml:space="preserve">Razlog za to je prije svega povijesni. Osamdesetih godina prošlog stoljeća, kad su postojeće europske organizacije za normizaciju osnovane i kad je utvrđena njihova uloga u izradi normi, sustav je bio usmjeren uglavnom na interesne skupine u Europskoj uniji. </w:t>
      </w:r>
    </w:p>
    <w:p w14:paraId="2E4BA252" w14:textId="77777777" w:rsidR="008503A4" w:rsidRPr="00A35177" w:rsidRDefault="008503A4" w:rsidP="008503A4">
      <w:pPr>
        <w:rPr>
          <w:noProof/>
        </w:rPr>
      </w:pPr>
      <w:r w:rsidRPr="00A35177">
        <w:rPr>
          <w:noProof/>
        </w:rPr>
        <w:t>Danas je situacija drugačija, a unutarnje upravljanje europskim organizacijama za normizaciju, njihovi postupci za donošenje odluka i struktura njihova članstva više puta su se mijenjali. Europske organizacije za normizaciju sad surađuju sa širokim rasponom interesnih skupina, uključujući one iz trećih zemalja, i omogućuju im da sudjeluju ne samo u tehničkom radu nego i u unutarnjem donošenju politika i odluka. Takva je suradnja dobrodošla, međutim, potrebne su zaštitne mjere zbog situacija u kojima bi europske organizacije za normizaciju trebale prvenstveno pružati potporu zakonodavstvu i politikama EU-a kako bi se u skladu sa strateškim prioritetima i zakonodavnim potrebama osigurao pravilan postupak i uravnotežena zastupljenost interesa pojedinačnih interesnih skupina. To se posebno odnosi na unutarnje odluke o razvoju normi i normizacijskih dokumenata koje je zatražila Komisija na temelju članka 10. stavka 1. Uredbe o normizaciji. Te se unutarnje odluke mogu odnositi na pitanja kao što su odluke o prihvaćanju zahtjeva za normizaciju, prihvaćanju novih poslova te donošenju, reviziji i povlačenju europskih normizacijskih dokumenata. U tim slučajevima, a posebno kad europske organizacije za normizaciju podržavaju primjenu zakonodavstva EU-a i razvijaju norme koje su ključne za širu javnost i poduzeća u EU-u, u unutarnjem upravljanju europskih organizacija moraju se uzeti u obzir stajališta svih europskih dionika (uključujući mala i srednja poduzeća i organizacije civilnog društva). To je posebno važno s obzirom na to da se neke europske organizacije za normizaciju sastoje uglavnom od gospodarskih subjekata koji imaju prava glasa i da je u nekim slučajevima sudjelovanje organizacija civilnog društva i javnih tijela ograničeno.</w:t>
      </w:r>
    </w:p>
    <w:p w14:paraId="269EDF6F" w14:textId="77777777" w:rsidR="008503A4" w:rsidRPr="00A35177" w:rsidRDefault="008503A4" w:rsidP="008503A4">
      <w:pPr>
        <w:rPr>
          <w:b/>
          <w:noProof/>
          <w:szCs w:val="20"/>
        </w:rPr>
      </w:pPr>
      <w:r w:rsidRPr="00A35177">
        <w:rPr>
          <w:noProof/>
        </w:rPr>
        <w:t xml:space="preserve">Stoga je potrebno dodatno pojašnjenje kako bi se osiguralo da cijeli unutarnji postupak donošenja odluka u pogledu izdavanja normi i normizacijskih dokumenata koje je Komisija zatražila na temelju članka 10. stavka 1. Uredbe o normizaciji bude u skladu s očekivanjima koja institucije EU-a imaju od tijela za razvoj normi koje je službeno priznato kao europska organizacija za normizaciju. </w:t>
      </w:r>
    </w:p>
    <w:p w14:paraId="37EE6F47" w14:textId="77777777" w:rsidR="008503A4" w:rsidRPr="00A35177" w:rsidRDefault="008503A4" w:rsidP="008503A4">
      <w:pPr>
        <w:spacing w:before="0" w:after="240"/>
        <w:rPr>
          <w:rFonts w:eastAsia="Arial Unicode MS"/>
          <w:noProof/>
        </w:rPr>
      </w:pPr>
      <w:r w:rsidRPr="00A35177">
        <w:rPr>
          <w:noProof/>
        </w:rPr>
        <w:t>Zahtijevanjem određenog zastupanja nacionalnih tijela za normizaciju i njihovih ovlasti za donošenje odluka u pogledu normi koje je zatražila Komisija uspostavile bi se dostatne provjere i postigla dostatna ravnoteža za osiguravanje usklađenosti sa zakonodavstvom i politikama EU-a.</w:t>
      </w:r>
    </w:p>
    <w:p w14:paraId="512FDB59" w14:textId="77777777" w:rsidR="00A73103" w:rsidRPr="00A35177" w:rsidRDefault="00A73103" w:rsidP="00A73103">
      <w:pPr>
        <w:pStyle w:val="ManualHeading2"/>
        <w:rPr>
          <w:noProof/>
          <w:color w:val="000000"/>
          <w:bdr w:val="none" w:sz="0" w:space="0" w:color="auto" w:frame="1"/>
        </w:rPr>
      </w:pPr>
      <w:r w:rsidRPr="00A35177">
        <w:rPr>
          <w:noProof/>
          <w:color w:val="000000"/>
          <w:bdr w:val="none" w:sz="0" w:space="0" w:color="auto" w:frame="1"/>
        </w:rPr>
        <w:t>•</w:t>
      </w:r>
      <w:r w:rsidRPr="00A35177">
        <w:rPr>
          <w:noProof/>
        </w:rPr>
        <w:tab/>
        <w:t>Dosljednost s postojećim odredbama politike u tom području</w:t>
      </w:r>
    </w:p>
    <w:p w14:paraId="33FEB608" w14:textId="77777777" w:rsidR="008503A4" w:rsidRPr="00A35177" w:rsidRDefault="008503A4" w:rsidP="008503A4">
      <w:pPr>
        <w:rPr>
          <w:noProof/>
          <w:szCs w:val="24"/>
        </w:rPr>
      </w:pPr>
      <w:r w:rsidRPr="00A35177">
        <w:rPr>
          <w:noProof/>
        </w:rPr>
        <w:t>Komisija je u svojoj inicijativi Ažuriranje nove industrijske strategije za 2020. (COM(2021) 350)</w:t>
      </w:r>
      <w:r w:rsidRPr="00A35177">
        <w:rPr>
          <w:rStyle w:val="FootnoteReference"/>
          <w:noProof/>
          <w:szCs w:val="24"/>
        </w:rPr>
        <w:footnoteReference w:id="3"/>
      </w:r>
      <w:r w:rsidRPr="00A35177">
        <w:rPr>
          <w:noProof/>
        </w:rPr>
        <w:t xml:space="preserve"> najavila da će predložiti izmjenu Uredbe (EU) br. 1025/2012 zajedno s normizacijskom strategijom koja se predstavlja istovremeno s ovim prijedlogom.</w:t>
      </w:r>
    </w:p>
    <w:p w14:paraId="4D9A1C6F" w14:textId="77777777" w:rsidR="00A73103" w:rsidRPr="00A35177" w:rsidRDefault="00A73103" w:rsidP="00A73103">
      <w:pPr>
        <w:pStyle w:val="ManualHeading2"/>
        <w:rPr>
          <w:rFonts w:eastAsia="Arial Unicode MS"/>
          <w:noProof/>
        </w:rPr>
      </w:pPr>
      <w:r w:rsidRPr="00A35177">
        <w:rPr>
          <w:noProof/>
          <w:color w:val="000000"/>
          <w:bdr w:val="none" w:sz="0" w:space="0" w:color="auto" w:frame="1"/>
        </w:rPr>
        <w:t>•</w:t>
      </w:r>
      <w:r w:rsidRPr="00A35177">
        <w:rPr>
          <w:noProof/>
        </w:rPr>
        <w:tab/>
        <w:t>Dosljednost u odnosu na druge politike Unije</w:t>
      </w:r>
    </w:p>
    <w:p w14:paraId="2C41ABC3" w14:textId="77777777" w:rsidR="00A73103" w:rsidRPr="00A35177" w:rsidRDefault="00A73103" w:rsidP="00A73103">
      <w:pPr>
        <w:spacing w:before="0" w:after="240"/>
        <w:rPr>
          <w:rFonts w:eastAsia="Arial Unicode MS"/>
          <w:noProof/>
        </w:rPr>
      </w:pPr>
      <w:r w:rsidRPr="00A35177">
        <w:rPr>
          <w:noProof/>
        </w:rPr>
        <w:t>Predložena zakonodavna izmjena u skladu je s političkom važnošću normi, kako je istaknuto u drugim ključnim inicijativama Komisije, kao što su Izgradnja digitalne budućnosti Europe (COM(2020) 67)</w:t>
      </w:r>
      <w:r w:rsidRPr="00A35177">
        <w:rPr>
          <w:rStyle w:val="FootnoteReference"/>
          <w:noProof/>
          <w:szCs w:val="24"/>
        </w:rPr>
        <w:footnoteReference w:id="4"/>
      </w:r>
      <w:r w:rsidRPr="00A35177">
        <w:rPr>
          <w:noProof/>
        </w:rPr>
        <w:t xml:space="preserve"> i Global Gateway (JOIN(2021) 30</w:t>
      </w:r>
      <w:r w:rsidRPr="00A35177">
        <w:rPr>
          <w:rStyle w:val="FootnoteReference"/>
          <w:noProof/>
          <w:szCs w:val="24"/>
        </w:rPr>
        <w:footnoteReference w:id="5"/>
      </w:r>
      <w:r w:rsidRPr="00A35177">
        <w:rPr>
          <w:noProof/>
        </w:rPr>
        <w:t>), i u izjavi Vijeća kojom pozdravlja „namjeru Komisije da razvije strategiju za normizaciju kako bi se ojačali europski normizacijski sustav i upravljanje njime.” (zaključci Vijeća od 9. lipnja 2020.</w:t>
      </w:r>
      <w:r w:rsidRPr="00A35177">
        <w:rPr>
          <w:rStyle w:val="FootnoteReference"/>
          <w:noProof/>
          <w:szCs w:val="24"/>
        </w:rPr>
        <w:footnoteReference w:id="6"/>
      </w:r>
      <w:r w:rsidRPr="00A35177">
        <w:rPr>
          <w:noProof/>
        </w:rPr>
        <w:t>).</w:t>
      </w:r>
    </w:p>
    <w:p w14:paraId="6E671EB8" w14:textId="77777777" w:rsidR="00A73103" w:rsidRPr="00A35177" w:rsidRDefault="00A73103" w:rsidP="00A73103">
      <w:pPr>
        <w:pStyle w:val="ManualHeading1"/>
        <w:rPr>
          <w:noProof/>
        </w:rPr>
      </w:pPr>
      <w:r w:rsidRPr="00A35177">
        <w:rPr>
          <w:noProof/>
        </w:rPr>
        <w:t>2.</w:t>
      </w:r>
      <w:r w:rsidRPr="00A35177">
        <w:rPr>
          <w:noProof/>
        </w:rPr>
        <w:tab/>
        <w:t>PRAVNA OSNOVA, SUPSIDIJARNOST I PROPORCIONALNOST</w:t>
      </w:r>
    </w:p>
    <w:p w14:paraId="0512729B" w14:textId="77777777" w:rsidR="00A73103" w:rsidRPr="00A35177" w:rsidRDefault="00A73103" w:rsidP="00A73103">
      <w:pPr>
        <w:pStyle w:val="ManualHeading2"/>
        <w:rPr>
          <w:noProof/>
          <w:bdr w:val="none" w:sz="0" w:space="0" w:color="auto" w:frame="1"/>
        </w:rPr>
      </w:pPr>
      <w:r w:rsidRPr="00A35177">
        <w:rPr>
          <w:noProof/>
          <w:bdr w:val="none" w:sz="0" w:space="0" w:color="auto" w:frame="1"/>
        </w:rPr>
        <w:t>•</w:t>
      </w:r>
      <w:r w:rsidRPr="00A35177">
        <w:rPr>
          <w:noProof/>
        </w:rPr>
        <w:tab/>
      </w:r>
      <w:r w:rsidRPr="00A35177">
        <w:rPr>
          <w:noProof/>
          <w:bdr w:val="none" w:sz="0" w:space="0" w:color="auto" w:frame="1"/>
        </w:rPr>
        <w:t>Pravna osnova</w:t>
      </w:r>
    </w:p>
    <w:p w14:paraId="2FC35E3B" w14:textId="77777777" w:rsidR="00A73103" w:rsidRPr="00A35177" w:rsidRDefault="00A73103" w:rsidP="00A73103">
      <w:pPr>
        <w:spacing w:before="0" w:after="240"/>
        <w:rPr>
          <w:rFonts w:eastAsia="Arial Unicode MS"/>
          <w:noProof/>
        </w:rPr>
      </w:pPr>
      <w:r w:rsidRPr="00A35177">
        <w:rPr>
          <w:noProof/>
        </w:rPr>
        <w:t>Pravna je osnova ove inicijative članak 114. Ugovora o funkcioniranju Europske unije.</w:t>
      </w:r>
    </w:p>
    <w:p w14:paraId="7502C091" w14:textId="77777777" w:rsidR="00A73103" w:rsidRPr="00A35177" w:rsidRDefault="00A73103" w:rsidP="00A73103">
      <w:pPr>
        <w:pStyle w:val="ManualHeading2"/>
        <w:rPr>
          <w:noProof/>
          <w:bdr w:val="none" w:sz="0" w:space="0" w:color="auto" w:frame="1"/>
        </w:rPr>
      </w:pPr>
      <w:r w:rsidRPr="00A35177">
        <w:rPr>
          <w:noProof/>
          <w:bdr w:val="none" w:sz="0" w:space="0" w:color="auto" w:frame="1"/>
        </w:rPr>
        <w:t>•</w:t>
      </w:r>
      <w:r w:rsidRPr="00A35177">
        <w:rPr>
          <w:noProof/>
        </w:rPr>
        <w:tab/>
      </w:r>
      <w:r w:rsidRPr="00A35177">
        <w:rPr>
          <w:noProof/>
          <w:bdr w:val="none" w:sz="0" w:space="0" w:color="auto" w:frame="1"/>
        </w:rPr>
        <w:t xml:space="preserve">Supsidijarnost (za djelovanje u kojem europske organizacije za normizaciju nemaju isključivu nadležnost) </w:t>
      </w:r>
    </w:p>
    <w:p w14:paraId="05A2714B" w14:textId="77777777" w:rsidR="008503A4" w:rsidRPr="00A35177" w:rsidRDefault="008503A4" w:rsidP="008503A4">
      <w:pPr>
        <w:spacing w:before="0" w:after="240"/>
        <w:rPr>
          <w:rFonts w:eastAsia="Arial Unicode MS"/>
          <w:noProof/>
        </w:rPr>
      </w:pPr>
      <w:r w:rsidRPr="00A35177">
        <w:rPr>
          <w:noProof/>
        </w:rPr>
        <w:t>Pitanje supsidijarnosti nije relevantno. Cilj je ove inicijative izmijeniti uredbu EU-a kojom se uređuje europski normizacijski sustav. Njome se posebno nastoje zaštititi načela dobrog upravljanja prilikom izrade normi koje je Komisija zatražila u skladu s člankom 10. stavkom 1. Uredbe o normizaciji. Ovom će se inicijativom ojačati uloga nacionalnih predstavnika (tj. nacionalnih tijela za normizaciju) u sustavu.</w:t>
      </w:r>
    </w:p>
    <w:p w14:paraId="43E0EC0A" w14:textId="77777777" w:rsidR="00DB139D" w:rsidRPr="00A35177" w:rsidRDefault="00DB139D" w:rsidP="00825B19">
      <w:pPr>
        <w:pStyle w:val="ManualHeading2"/>
        <w:rPr>
          <w:rFonts w:eastAsia="Arial Unicode MS"/>
          <w:noProof/>
          <w:u w:color="000000"/>
          <w:bdr w:val="nil"/>
        </w:rPr>
      </w:pPr>
      <w:r w:rsidRPr="00A35177">
        <w:rPr>
          <w:noProof/>
          <w:u w:color="000000"/>
          <w:bdr w:val="nil"/>
        </w:rPr>
        <w:t>•</w:t>
      </w:r>
      <w:r w:rsidRPr="00A35177">
        <w:rPr>
          <w:noProof/>
        </w:rPr>
        <w:tab/>
      </w:r>
      <w:r w:rsidRPr="00A35177">
        <w:rPr>
          <w:noProof/>
          <w:u w:color="000000"/>
          <w:bdr w:val="nil"/>
        </w:rPr>
        <w:t>Proporcionalnost</w:t>
      </w:r>
    </w:p>
    <w:p w14:paraId="26CC1267" w14:textId="77777777" w:rsidR="001C5834" w:rsidRPr="00A35177" w:rsidRDefault="000170F1" w:rsidP="00825B1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A35177">
        <w:rPr>
          <w:noProof/>
        </w:rPr>
        <w:t xml:space="preserve">Predložena izmjena Uredbe (EU) br. 1025/2012 vrlo je ograničena i usmjerena na rad koji europske organizacije za normizaciju obavljaju na zahtjev Komisije. Ti se zahtjevi temelje na ovlaštenju javne politike te je stoga važno osigurati načela dobrog upravljanja u skladu s donošenjem odluka u EU-u. Prijedlog je u skladu s načelom proporcionalnosti jer ne izlazi iz okvira onog što je potrebno za postizanje ciljeva osiguravanja da se u svakoj fazi postupka zajamči nacionalna zastupljenost/sudjelovanje prilikom izrade europskih normi i normizacijskih dokumenata na temelju zahtjeva u skladu s člankom 10. Uredbe (EU) br. 1025/2012. </w:t>
      </w:r>
    </w:p>
    <w:p w14:paraId="7DEAB9EE" w14:textId="77777777" w:rsidR="00DB139D" w:rsidRPr="00A35177" w:rsidRDefault="00DB139D" w:rsidP="00825B19">
      <w:pPr>
        <w:pStyle w:val="ManualHeading2"/>
        <w:rPr>
          <w:rFonts w:eastAsia="Arial Unicode MS"/>
          <w:noProof/>
          <w:u w:color="000000"/>
          <w:bdr w:val="nil"/>
        </w:rPr>
      </w:pPr>
      <w:r w:rsidRPr="00A35177">
        <w:rPr>
          <w:noProof/>
          <w:u w:color="000000"/>
          <w:bdr w:val="nil"/>
        </w:rPr>
        <w:t>•</w:t>
      </w:r>
      <w:r w:rsidRPr="00A35177">
        <w:rPr>
          <w:noProof/>
        </w:rPr>
        <w:tab/>
      </w:r>
      <w:r w:rsidRPr="00A35177">
        <w:rPr>
          <w:noProof/>
          <w:u w:color="000000"/>
          <w:bdr w:val="nil"/>
        </w:rPr>
        <w:t>Odabir instrumenta</w:t>
      </w:r>
    </w:p>
    <w:p w14:paraId="30EBC85D" w14:textId="77777777" w:rsidR="00DB139D" w:rsidRPr="00A35177" w:rsidRDefault="00DB139D" w:rsidP="00825B1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A35177">
        <w:rPr>
          <w:noProof/>
        </w:rPr>
        <w:t>Uredba o izmjeni Uredbe.</w:t>
      </w:r>
    </w:p>
    <w:p w14:paraId="607256A6" w14:textId="77777777" w:rsidR="00DB139D" w:rsidRPr="00A35177" w:rsidRDefault="00DB139D" w:rsidP="00F4411E">
      <w:pPr>
        <w:pStyle w:val="ManualHeading1"/>
        <w:rPr>
          <w:noProof/>
        </w:rPr>
      </w:pPr>
      <w:r w:rsidRPr="00A35177">
        <w:rPr>
          <w:noProof/>
        </w:rPr>
        <w:t>3.</w:t>
      </w:r>
      <w:r w:rsidRPr="00A35177">
        <w:rPr>
          <w:noProof/>
        </w:rPr>
        <w:tab/>
        <w:t>REZULTATI EX POST EVALUACIJA, SAVJETOVANJA S DIONICIMA I PROCJENA UČINKA</w:t>
      </w:r>
    </w:p>
    <w:p w14:paraId="1D73075B" w14:textId="77777777" w:rsidR="00A73103" w:rsidRPr="00A35177" w:rsidRDefault="00A73103" w:rsidP="00A73103">
      <w:pPr>
        <w:pStyle w:val="ManualHeading2"/>
        <w:rPr>
          <w:noProof/>
          <w:bdr w:val="none" w:sz="0" w:space="0" w:color="auto" w:frame="1"/>
        </w:rPr>
      </w:pPr>
      <w:r w:rsidRPr="00A35177">
        <w:rPr>
          <w:noProof/>
          <w:bdr w:val="none" w:sz="0" w:space="0" w:color="auto" w:frame="1"/>
        </w:rPr>
        <w:t>•</w:t>
      </w:r>
      <w:r w:rsidRPr="00A35177">
        <w:rPr>
          <w:noProof/>
        </w:rPr>
        <w:tab/>
      </w:r>
      <w:r w:rsidRPr="00A35177">
        <w:rPr>
          <w:noProof/>
          <w:bdr w:val="none" w:sz="0" w:space="0" w:color="auto" w:frame="1"/>
        </w:rPr>
        <w:t>Savjetovanja s dionicima</w:t>
      </w:r>
    </w:p>
    <w:p w14:paraId="60EDFADC" w14:textId="77777777" w:rsidR="00A73103" w:rsidRPr="00A35177" w:rsidRDefault="00A73103" w:rsidP="00A73103">
      <w:pPr>
        <w:rPr>
          <w:noProof/>
        </w:rPr>
      </w:pPr>
      <w:r w:rsidRPr="00A35177">
        <w:rPr>
          <w:noProof/>
        </w:rPr>
        <w:t>Komisija je o tom pitanju provela ciljano savjetovanje s dionicima (posebno s europskim organizacijama za normizaciju, nacionalnim tijelima za normizaciju, državama članicama EU-a te dionicima iz industrije i civilnog društva). Ti su dionici imali priliku izraziti svoja stajališta i dati svoj doprinos radu Komisije.</w:t>
      </w:r>
    </w:p>
    <w:p w14:paraId="24BDAABB" w14:textId="77777777" w:rsidR="008503A4" w:rsidRPr="00A35177" w:rsidRDefault="008503A4" w:rsidP="008503A4">
      <w:pPr>
        <w:rPr>
          <w:noProof/>
        </w:rPr>
      </w:pPr>
      <w:r w:rsidRPr="00A35177">
        <w:rPr>
          <w:noProof/>
        </w:rPr>
        <w:t>Tijekom savjetovanja o planu za normizacijsku strategiju dionici su na Komisijinu portalu za bolju regulativu pružili vrijedne informacije o upravljanju i transparentnosti europskog normizacijskog sustava</w:t>
      </w:r>
      <w:r w:rsidRPr="00A35177">
        <w:rPr>
          <w:rStyle w:val="FootnoteReference"/>
          <w:noProof/>
        </w:rPr>
        <w:footnoteReference w:id="7"/>
      </w:r>
      <w:r w:rsidRPr="00A35177">
        <w:rPr>
          <w:noProof/>
        </w:rPr>
        <w:t>. Komisija je dobila slične informacije iz izvješća koja su izdale europske organizacije interesnih skupina u skladu s člankom 24. stavkom 2. Uredbe o normizaciji.</w:t>
      </w:r>
    </w:p>
    <w:p w14:paraId="1B4B957D" w14:textId="77777777" w:rsidR="00DB139D" w:rsidRPr="00A35177" w:rsidRDefault="00DB139D" w:rsidP="00825B19">
      <w:pPr>
        <w:pStyle w:val="ManualHeading2"/>
        <w:rPr>
          <w:rFonts w:eastAsia="Arial Unicode MS"/>
          <w:noProof/>
          <w:u w:color="000000"/>
          <w:bdr w:val="nil"/>
        </w:rPr>
      </w:pPr>
      <w:r w:rsidRPr="00A35177">
        <w:rPr>
          <w:noProof/>
          <w:u w:color="000000"/>
          <w:bdr w:val="nil"/>
        </w:rPr>
        <w:t>•</w:t>
      </w:r>
      <w:r w:rsidRPr="00A35177">
        <w:rPr>
          <w:noProof/>
        </w:rPr>
        <w:tab/>
      </w:r>
      <w:r w:rsidRPr="00A35177">
        <w:rPr>
          <w:noProof/>
          <w:u w:color="000000"/>
          <w:bdr w:val="nil"/>
        </w:rPr>
        <w:t>Procjena učinka</w:t>
      </w:r>
    </w:p>
    <w:p w14:paraId="3DB28FD0" w14:textId="77777777" w:rsidR="008503A4" w:rsidRPr="00A35177" w:rsidRDefault="008503A4" w:rsidP="008503A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A35177">
        <w:rPr>
          <w:noProof/>
        </w:rPr>
        <w:t>Komisija nije provela procjenu učinka za ovu inicijativu. Predložena inicijativa odnosi se na administrativne odluke europskih organizacija za normizaciju donesene o zahtjevima Komisije utemeljenima na političkoj ili pravnoj potrebi. Te administrativne odluke obuhvaćaju upravljačke/administrativne odluke za politike Unije. Učinak tih administrativnih odluka ograničen je na dionike koje je moguće identificirati. Budući da izmjena jest ili bi bila ograničenog dosega, ciljana i usmjerena na tehničke izmjene postojećeg zakonodavstva u pogledu pitanja upravljanja, zaključak je da nije bilo potrebe za procjenom učinka i povezanim javnim savjetovanjem.</w:t>
      </w:r>
    </w:p>
    <w:p w14:paraId="0643E945" w14:textId="77777777" w:rsidR="00DB139D" w:rsidRPr="00A35177" w:rsidRDefault="00DB139D" w:rsidP="00825B19">
      <w:pPr>
        <w:pStyle w:val="ManualHeading1"/>
        <w:rPr>
          <w:noProof/>
        </w:rPr>
      </w:pPr>
      <w:r w:rsidRPr="00A35177">
        <w:rPr>
          <w:noProof/>
        </w:rPr>
        <w:t>4.</w:t>
      </w:r>
      <w:r w:rsidRPr="00A35177">
        <w:rPr>
          <w:noProof/>
        </w:rPr>
        <w:tab/>
        <w:t>UTJECAJ NA PRORAČUN</w:t>
      </w:r>
    </w:p>
    <w:p w14:paraId="7658B336" w14:textId="77777777" w:rsidR="00DB139D" w:rsidRPr="00A35177" w:rsidRDefault="00DB139D" w:rsidP="00825B1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A35177">
        <w:rPr>
          <w:noProof/>
        </w:rPr>
        <w:t>Prijedlog ne utječe na proračun institucija EU-a.</w:t>
      </w:r>
    </w:p>
    <w:p w14:paraId="43E012D5" w14:textId="77777777" w:rsidR="00DB139D" w:rsidRPr="00A35177" w:rsidRDefault="00DB139D" w:rsidP="00825B19">
      <w:pPr>
        <w:pStyle w:val="ManualHeading1"/>
        <w:rPr>
          <w:noProof/>
        </w:rPr>
      </w:pPr>
      <w:r w:rsidRPr="00A35177">
        <w:rPr>
          <w:noProof/>
        </w:rPr>
        <w:t>5.</w:t>
      </w:r>
      <w:r w:rsidRPr="00A35177">
        <w:rPr>
          <w:noProof/>
        </w:rPr>
        <w:tab/>
        <w:t>DRUGI ELEMENTI</w:t>
      </w:r>
    </w:p>
    <w:p w14:paraId="063F44BB" w14:textId="77777777" w:rsidR="00DB139D" w:rsidRPr="00A35177" w:rsidRDefault="00DB139D" w:rsidP="00825B19">
      <w:pPr>
        <w:pStyle w:val="ManualHeading2"/>
        <w:rPr>
          <w:rFonts w:eastAsia="Arial Unicode MS"/>
          <w:noProof/>
          <w:u w:color="000000"/>
          <w:bdr w:val="nil"/>
        </w:rPr>
      </w:pPr>
      <w:r w:rsidRPr="00A35177">
        <w:rPr>
          <w:noProof/>
          <w:u w:color="000000"/>
          <w:bdr w:val="nil"/>
        </w:rPr>
        <w:t>•</w:t>
      </w:r>
      <w:r w:rsidRPr="00A35177">
        <w:rPr>
          <w:noProof/>
        </w:rPr>
        <w:tab/>
      </w:r>
      <w:r w:rsidRPr="00A35177">
        <w:rPr>
          <w:noProof/>
          <w:u w:color="000000"/>
          <w:bdr w:val="nil"/>
        </w:rPr>
        <w:t>Planovi provedbe i mehanizmi praćenja, evaluacije i izvješćivanja</w:t>
      </w:r>
    </w:p>
    <w:p w14:paraId="443C7B1F" w14:textId="77777777" w:rsidR="00A73103" w:rsidRPr="00A35177" w:rsidRDefault="00A73103" w:rsidP="00A73103">
      <w:pPr>
        <w:rPr>
          <w:noProof/>
        </w:rPr>
      </w:pPr>
      <w:r w:rsidRPr="00A35177">
        <w:rPr>
          <w:noProof/>
        </w:rPr>
        <w:t xml:space="preserve">Predlaže se izmjena samo dvaju članaka. </w:t>
      </w:r>
    </w:p>
    <w:p w14:paraId="5F4C2F26" w14:textId="77777777" w:rsidR="00A73103" w:rsidRPr="00A35177" w:rsidRDefault="00A73103" w:rsidP="00A73103">
      <w:pPr>
        <w:rPr>
          <w:noProof/>
        </w:rPr>
      </w:pPr>
      <w:r w:rsidRPr="00A35177">
        <w:rPr>
          <w:noProof/>
        </w:rPr>
        <w:t>Kako bi se europskim organizacijama za normizaciju omogućilo da prema potrebi prilagode svoj unutarnji poslovnik, u izmjeni je propisano prijelazno razdoblje od šest mjeseci do stupanja na snagu.</w:t>
      </w:r>
    </w:p>
    <w:p w14:paraId="08B9AB4F" w14:textId="77777777" w:rsidR="00DB139D" w:rsidRPr="00A35177" w:rsidRDefault="008503A4" w:rsidP="00477B0E">
      <w:pPr>
        <w:spacing w:before="0" w:after="240"/>
        <w:rPr>
          <w:noProof/>
        </w:rPr>
        <w:sectPr w:rsidR="00DB139D" w:rsidRPr="00A35177" w:rsidSect="00347D6E">
          <w:footerReference w:type="default" r:id="rId13"/>
          <w:footerReference w:type="first" r:id="rId14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  <w:r w:rsidRPr="00A35177">
        <w:rPr>
          <w:noProof/>
        </w:rPr>
        <w:t>Komisija će pomoći europskim organizacijama za normizaciju da izmijene svoje unutarnja pravila za donošenje odluka o normama i normizacijskim dokumentima koje Komisija zatraži u skladu s člankom 10. stavkom 1. Uredbe o normizaciji.</w:t>
      </w:r>
      <w:r w:rsidRPr="00A35177">
        <w:rPr>
          <w:noProof/>
        </w:rPr>
        <w:tab/>
      </w:r>
    </w:p>
    <w:p w14:paraId="232BDB3B" w14:textId="2F0D9D36" w:rsidR="00970E3E" w:rsidRPr="00A35177" w:rsidRDefault="00944D3B" w:rsidP="00944D3B">
      <w:pPr>
        <w:pStyle w:val="Rfrenceinterinstitutionnelle"/>
        <w:rPr>
          <w:noProof/>
        </w:rPr>
      </w:pPr>
      <w:r w:rsidRPr="00944D3B">
        <w:t>2022/0021 (COD)</w:t>
      </w:r>
    </w:p>
    <w:p w14:paraId="55EDBBC2" w14:textId="3CEE92CD" w:rsidR="00DB139D" w:rsidRPr="00A35177" w:rsidRDefault="001D40A3" w:rsidP="001D40A3">
      <w:pPr>
        <w:pStyle w:val="Statut"/>
        <w:rPr>
          <w:noProof/>
        </w:rPr>
      </w:pPr>
      <w:r w:rsidRPr="00A35177">
        <w:rPr>
          <w:noProof/>
        </w:rPr>
        <w:t>Prijedlog</w:t>
      </w:r>
    </w:p>
    <w:p w14:paraId="1C48D4F3" w14:textId="56801415" w:rsidR="00DB139D" w:rsidRPr="00A35177" w:rsidRDefault="001D40A3" w:rsidP="001D40A3">
      <w:pPr>
        <w:pStyle w:val="Typedudocument"/>
        <w:rPr>
          <w:noProof/>
        </w:rPr>
      </w:pPr>
      <w:r w:rsidRPr="00A35177">
        <w:rPr>
          <w:noProof/>
        </w:rPr>
        <w:t>UREDBE EUROPSKOG PARLAMENTA I VIJEĆA</w:t>
      </w:r>
    </w:p>
    <w:p w14:paraId="311E2F17" w14:textId="355B616C" w:rsidR="00DB139D" w:rsidRPr="00A35177" w:rsidRDefault="001D40A3" w:rsidP="001D40A3">
      <w:pPr>
        <w:pStyle w:val="Titreobjet"/>
        <w:rPr>
          <w:noProof/>
        </w:rPr>
      </w:pPr>
      <w:r w:rsidRPr="00A35177">
        <w:rPr>
          <w:noProof/>
        </w:rPr>
        <w:t>o izmjeni Uredbe (EU) br. 1025/2012 u pogledu odluka europskih organizacija za normizaciju koje se odnose na europske norme i europske normizacijske dokumente</w:t>
      </w:r>
    </w:p>
    <w:p w14:paraId="6E0163C3" w14:textId="7C263167" w:rsidR="00DB139D" w:rsidRPr="00A35177" w:rsidRDefault="001D40A3" w:rsidP="001D40A3">
      <w:pPr>
        <w:pStyle w:val="IntrtEEE"/>
        <w:rPr>
          <w:noProof/>
        </w:rPr>
      </w:pPr>
      <w:r w:rsidRPr="00A35177">
        <w:rPr>
          <w:noProof/>
        </w:rPr>
        <w:t>(Tekst značajan za EGP)</w:t>
      </w:r>
    </w:p>
    <w:p w14:paraId="465D2AF2" w14:textId="77777777" w:rsidR="00DB139D" w:rsidRPr="00A35177" w:rsidRDefault="00DB139D" w:rsidP="00825B19">
      <w:pPr>
        <w:pStyle w:val="Institutionquiagit"/>
        <w:rPr>
          <w:noProof/>
        </w:rPr>
      </w:pPr>
      <w:r w:rsidRPr="00A35177">
        <w:rPr>
          <w:noProof/>
        </w:rPr>
        <w:t>EUROPSKI PARLAMENT I VIJEĆE EUROPSKE UNIJE,</w:t>
      </w:r>
    </w:p>
    <w:p w14:paraId="7F457089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>uzimajući u obzir Ugovor o funkcioniranju Europske unije, a posebno njegov članak 114.,</w:t>
      </w:r>
    </w:p>
    <w:p w14:paraId="25FB23D1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>uzimajući u obzir prijedlog Europske komisije,</w:t>
      </w:r>
    </w:p>
    <w:p w14:paraId="2E99E012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>nakon prosljeđivanja nacrta zakonodavnog akta nacionalnim parlamentima,</w:t>
      </w:r>
    </w:p>
    <w:p w14:paraId="6035CF87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>uzimajući u obzir mišljenje Europskoga gospodarskog i socijalnog odbora</w:t>
      </w:r>
      <w:r w:rsidRPr="00A35177">
        <w:rPr>
          <w:rStyle w:val="FootnoteReference"/>
          <w:noProof/>
        </w:rPr>
        <w:footnoteReference w:id="8"/>
      </w:r>
      <w:r w:rsidRPr="00A35177">
        <w:rPr>
          <w:noProof/>
        </w:rPr>
        <w:t xml:space="preserve">, </w:t>
      </w:r>
    </w:p>
    <w:p w14:paraId="0B6768B4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>u skladu s redovnim zakonodavnim postupkom,</w:t>
      </w:r>
    </w:p>
    <w:p w14:paraId="4215036E" w14:textId="6BD75C87" w:rsidR="00D34432" w:rsidRPr="00A35177" w:rsidRDefault="00DB139D" w:rsidP="001534E5">
      <w:pPr>
        <w:rPr>
          <w:noProof/>
        </w:rPr>
      </w:pPr>
      <w:r w:rsidRPr="00A35177">
        <w:rPr>
          <w:noProof/>
        </w:rPr>
        <w:t>budući da:</w:t>
      </w:r>
    </w:p>
    <w:p w14:paraId="3B316BD4" w14:textId="60D1F8F7" w:rsidR="00DF5A8F" w:rsidRPr="00A35177" w:rsidRDefault="00B6306D" w:rsidP="00B6306D">
      <w:pPr>
        <w:pStyle w:val="ManualConsidrant"/>
        <w:rPr>
          <w:noProof/>
        </w:rPr>
      </w:pPr>
      <w:r w:rsidRPr="00B6306D">
        <w:t>(1)</w:t>
      </w:r>
      <w:r w:rsidRPr="00B6306D">
        <w:tab/>
      </w:r>
      <w:r w:rsidR="001C6095" w:rsidRPr="00A35177">
        <w:rPr>
          <w:noProof/>
        </w:rPr>
        <w:t>Uredbom (EU) br. 1025/2012 Europskog parlamenta i Vijeća</w:t>
      </w:r>
      <w:r w:rsidR="001C6095" w:rsidRPr="00A35177">
        <w:rPr>
          <w:rStyle w:val="FootnoteReference"/>
          <w:noProof/>
        </w:rPr>
        <w:footnoteReference w:id="9"/>
      </w:r>
      <w:r w:rsidR="001C6095" w:rsidRPr="00A35177">
        <w:rPr>
          <w:noProof/>
        </w:rPr>
        <w:t xml:space="preserve"> utvrđuju se pravila o uvođenju europskih normi i europskih normizacijskih dokumenata za proizvode i usluge koji predstavljaju potporu zakonodavstvu i politikama Unije. </w:t>
      </w:r>
    </w:p>
    <w:p w14:paraId="720267D3" w14:textId="68AA1AC5" w:rsidR="00D34432" w:rsidRPr="00A35177" w:rsidRDefault="00B6306D" w:rsidP="00B6306D">
      <w:pPr>
        <w:pStyle w:val="ManualConsidrant"/>
        <w:rPr>
          <w:noProof/>
        </w:rPr>
      </w:pPr>
      <w:r w:rsidRPr="00B6306D">
        <w:t>(2)</w:t>
      </w:r>
      <w:r w:rsidRPr="00B6306D">
        <w:tab/>
      </w:r>
      <w:r w:rsidR="00817786" w:rsidRPr="00A35177">
        <w:rPr>
          <w:noProof/>
        </w:rPr>
        <w:t>U skladu s člankom 10. Uredbe (EU) br. 1025/2012 Komisija može zatražiti od jedne ili nekoliko europskih organizacija za normizaciju da izrade europsku normu ili europski normizacijski dokument.</w:t>
      </w:r>
    </w:p>
    <w:p w14:paraId="6155F240" w14:textId="7CC33A8C" w:rsidR="00694935" w:rsidRPr="00A35177" w:rsidRDefault="00B6306D" w:rsidP="00B6306D">
      <w:pPr>
        <w:pStyle w:val="ManualConsidrant"/>
        <w:rPr>
          <w:noProof/>
        </w:rPr>
      </w:pPr>
      <w:r w:rsidRPr="00B6306D">
        <w:t>(3)</w:t>
      </w:r>
      <w:r w:rsidRPr="00B6306D">
        <w:tab/>
      </w:r>
      <w:r w:rsidR="00694935" w:rsidRPr="00A35177">
        <w:rPr>
          <w:noProof/>
        </w:rPr>
        <w:t>Europske norme i europski normizacijski dokumenti važni su za unutarnje tržište. Primjerice, usklađene norme mogu se upotrijebiti kako bi se stvorila pretpostavka da su, ako su sukladni s usklađenim normama, proizvodi koji se stavljaju na tržište sukladni s bitnim zahtjevima utvrđenima u relevantnom zakonodavstvu Unije o usklađivanju za te proizvode.</w:t>
      </w:r>
    </w:p>
    <w:p w14:paraId="393B70F8" w14:textId="12D47CC5" w:rsidR="00694935" w:rsidRPr="00A35177" w:rsidRDefault="00B6306D" w:rsidP="00B6306D">
      <w:pPr>
        <w:pStyle w:val="ManualConsidrant"/>
        <w:rPr>
          <w:noProof/>
        </w:rPr>
      </w:pPr>
      <w:r w:rsidRPr="00B6306D">
        <w:t>(4)</w:t>
      </w:r>
      <w:r w:rsidRPr="00B6306D">
        <w:tab/>
      </w:r>
      <w:r w:rsidR="00C61A34" w:rsidRPr="00A35177">
        <w:rPr>
          <w:noProof/>
        </w:rPr>
        <w:t>Posljednjih godina praksa europskih organizacija za normizaciju promijenila se u pogledu njihova unutarnjeg upravljanja i postupaka donošenja odluka. To je dovelo do pojačane suradnje europskih organizacija za normizaciju s međunarodnim i europskim dionicima. Takva je suradnja dobrodošla jer pridonosi transparentnom, otvorenom i nepristranom postupku normizacije koji se temelji na konsenzusu. Međutim, kad europske organizacije za normizaciju izvršavaju zahtjeve za normizaciju radi potpore zakonodavstvu i politikama Unije, neograničeno sudjelovanje bilo kojeg dionika u njihovu unutarnjem donošenju odluka može dovesti do odluka u kojima se ne uzimaju u potpunosti u obzir interesi, ciljevi politike i vrijednosti Unije ni javni interes općenito.</w:t>
      </w:r>
    </w:p>
    <w:p w14:paraId="3869AD44" w14:textId="7A9A7702" w:rsidR="008113CE" w:rsidRPr="00A35177" w:rsidRDefault="00B6306D" w:rsidP="00B6306D">
      <w:pPr>
        <w:pStyle w:val="ManualConsidrant"/>
        <w:rPr>
          <w:noProof/>
        </w:rPr>
      </w:pPr>
      <w:r w:rsidRPr="00B6306D">
        <w:t>(5)</w:t>
      </w:r>
      <w:r w:rsidRPr="00B6306D">
        <w:tab/>
      </w:r>
      <w:r w:rsidR="009D3145" w:rsidRPr="00A35177">
        <w:rPr>
          <w:noProof/>
        </w:rPr>
        <w:t>Nacionalna tijela za normizaciju imaju ključnu ulogu u normizacijskom sustavu i na razini Unije, u skladu s Uredbom (EU) br. 1025/2012, i na razini država članica. Nacionalna tijela za normizaciju stoga su u najboljem položaju da se pobrinu da se interesi, ciljevi politike i vrijednosti Unije te opći javni interes na odgovarajući način uzimaju u obzir u europskim organizacijama za normizaciju. Stoga treba ojačati njihovu ulogu u tijelima za donošenje odluka u europskim organizacijama za normizaciju kad ta tijela donose odluke o europskim normama i europskim normizacijskim dokumentima koje je zatražila Komisija u skladu s člankom 10. stavkom 1. Uredbe (EU) br. 1025/2012.</w:t>
      </w:r>
    </w:p>
    <w:p w14:paraId="4928D501" w14:textId="1C54C1C6" w:rsidR="00834E7C" w:rsidRPr="00A35177" w:rsidRDefault="00B6306D" w:rsidP="00B6306D">
      <w:pPr>
        <w:pStyle w:val="ManualConsidrant"/>
        <w:rPr>
          <w:noProof/>
        </w:rPr>
      </w:pPr>
      <w:r w:rsidRPr="00B6306D">
        <w:t>(6)</w:t>
      </w:r>
      <w:r w:rsidRPr="00B6306D">
        <w:tab/>
      </w:r>
      <w:r w:rsidR="008113CE" w:rsidRPr="00A35177">
        <w:rPr>
          <w:noProof/>
        </w:rPr>
        <w:t>Sudjelovanje u tijelima za donošenje odluka u europskim organizacijama za normizaciju otvoreno je ne samo nacionalnim tijelima za normizaciju nego, među ostalim, i nacionalnim organizacijama za normizaciju zemalja pristupnica, zemalja kandidatkinja i potencijalnih kandidatkinja za pristup Uniji. Kako bi se izbjeglo isključivanje tih organizacija iz sudjelovanja u radu tih tijela za donošenje odluka, treba samo osigurati da odluke tih tijela koje se odnose na europske norme i europske normizacijske dokumente zatražene u skladu s člankom 10. stavkom 1. Uredbe (EU) br. 1025/2012 donose isključivo predstavnici nacionalnih tijela za normizaciju, bez nametanja bilo kakvih drugih zahtjeva za rad tijela za donošenje odluka u europskim organizacijama za normizaciju.</w:t>
      </w:r>
    </w:p>
    <w:p w14:paraId="3E807642" w14:textId="64473F50" w:rsidR="00A1491E" w:rsidRPr="00A35177" w:rsidRDefault="00B6306D" w:rsidP="00B6306D">
      <w:pPr>
        <w:pStyle w:val="ManualConsidrant"/>
        <w:rPr>
          <w:noProof/>
        </w:rPr>
      </w:pPr>
      <w:r w:rsidRPr="00B6306D">
        <w:t>(7)</w:t>
      </w:r>
      <w:r w:rsidRPr="00B6306D">
        <w:tab/>
      </w:r>
      <w:r w:rsidR="009B1499" w:rsidRPr="00A35177">
        <w:rPr>
          <w:noProof/>
        </w:rPr>
        <w:t>Kako bi se osigurala djelotvornost zahtjeva da odluke tijela za donošenje odluka u europskim organizacijama za normizaciju o europskim normama i europskim normizacijskim dokumentima koje je zatražila Komisija u skladu s člankom 10. stavkom 1. Uredbe (EU) br. 1025/2012 donose isključivo predstavnici nacionalnih tijela za normizaciju, treba propisati da Komisija takve zahtjeve može podnijeti samo europskoj organizaciji za normizaciju koja ispunjava taj zahtjev.</w:t>
      </w:r>
    </w:p>
    <w:p w14:paraId="61459538" w14:textId="4DE4F992" w:rsidR="002E69BD" w:rsidRPr="00A35177" w:rsidRDefault="00B6306D" w:rsidP="00B6306D">
      <w:pPr>
        <w:pStyle w:val="ManualConsidrant"/>
        <w:rPr>
          <w:noProof/>
        </w:rPr>
      </w:pPr>
      <w:r w:rsidRPr="00B6306D">
        <w:t>(8)</w:t>
      </w:r>
      <w:r w:rsidRPr="00B6306D">
        <w:tab/>
      </w:r>
      <w:r w:rsidR="002E69BD" w:rsidRPr="00A35177">
        <w:rPr>
          <w:noProof/>
        </w:rPr>
        <w:t>Uredbu (EU) br. 1025/2012 trebalo bi stoga na odgovarajući način izmijeniti.</w:t>
      </w:r>
    </w:p>
    <w:p w14:paraId="073FCA99" w14:textId="05314306" w:rsidR="00BF1DE8" w:rsidRPr="00A35177" w:rsidRDefault="00B6306D" w:rsidP="00B6306D">
      <w:pPr>
        <w:pStyle w:val="ManualConsidrant"/>
        <w:rPr>
          <w:noProof/>
        </w:rPr>
      </w:pPr>
      <w:r w:rsidRPr="00B6306D">
        <w:t>(9)</w:t>
      </w:r>
      <w:r w:rsidRPr="00B6306D">
        <w:tab/>
      </w:r>
      <w:r w:rsidR="00C61A34" w:rsidRPr="00A35177">
        <w:rPr>
          <w:noProof/>
        </w:rPr>
        <w:t>Kako bi se europskim organizacijama za normizaciju omogućilo da prema potrebi prilagode svoje unutarnje poslovnike zahtjevima ove Uredbe, njezinu bi primjenu trebalo odgoditi,</w:t>
      </w:r>
    </w:p>
    <w:p w14:paraId="354BFCD7" w14:textId="77777777" w:rsidR="00DB139D" w:rsidRPr="00A35177" w:rsidRDefault="00DB139D" w:rsidP="00825B19">
      <w:pPr>
        <w:pStyle w:val="Formuledadoption"/>
        <w:rPr>
          <w:noProof/>
        </w:rPr>
      </w:pPr>
      <w:r w:rsidRPr="00A35177">
        <w:rPr>
          <w:noProof/>
        </w:rPr>
        <w:t>DONIJELI SU OVU UREDBU:</w:t>
      </w:r>
    </w:p>
    <w:p w14:paraId="3F2F92DB" w14:textId="77777777" w:rsidR="00DB139D" w:rsidRPr="00A35177" w:rsidRDefault="00DB139D" w:rsidP="00825B19">
      <w:pPr>
        <w:pStyle w:val="Titrearticle"/>
        <w:rPr>
          <w:noProof/>
        </w:rPr>
      </w:pPr>
      <w:r w:rsidRPr="00A35177">
        <w:rPr>
          <w:noProof/>
        </w:rPr>
        <w:t>Članak 1.</w:t>
      </w:r>
    </w:p>
    <w:p w14:paraId="1F21B1BA" w14:textId="77777777" w:rsidR="00834E7C" w:rsidRPr="00A35177" w:rsidRDefault="00834E7C" w:rsidP="00834E7C">
      <w:pPr>
        <w:rPr>
          <w:noProof/>
        </w:rPr>
      </w:pPr>
      <w:r w:rsidRPr="00A35177">
        <w:rPr>
          <w:noProof/>
        </w:rPr>
        <w:t>Članak 10. Uredbe (EU) br. 1025/2012 mijenja se kako slijedi:</w:t>
      </w:r>
    </w:p>
    <w:p w14:paraId="6AAC0210" w14:textId="77777777" w:rsidR="00834E7C" w:rsidRPr="00A35177" w:rsidRDefault="00003C6A" w:rsidP="00003C6A">
      <w:pPr>
        <w:ind w:firstLine="360"/>
        <w:rPr>
          <w:noProof/>
        </w:rPr>
      </w:pPr>
      <w:r w:rsidRPr="00A35177">
        <w:rPr>
          <w:noProof/>
        </w:rPr>
        <w:t>(1) u stavku 1. prva se rečenica zamjenjuje sljedećim:</w:t>
      </w:r>
    </w:p>
    <w:p w14:paraId="63D80351" w14:textId="77777777" w:rsidR="00103923" w:rsidRPr="00A35177" w:rsidRDefault="00834E7C" w:rsidP="00FE1C7A">
      <w:pPr>
        <w:ind w:left="360"/>
        <w:rPr>
          <w:noProof/>
        </w:rPr>
      </w:pPr>
      <w:r w:rsidRPr="00A35177">
        <w:rPr>
          <w:noProof/>
        </w:rPr>
        <w:t>„U okviru nadležnosti propisanih u Ugovorima Komisija može zatražiti od jedne ili nekoliko europskih organizacija za normizaciju da izrade europsku normu ili europski normizacijski dokument u određenom roku, pod uvjetom da ta europska organizacija za normizaciju ispunjava zahtjeve iz stavka 2.a.”;</w:t>
      </w:r>
    </w:p>
    <w:p w14:paraId="71041CA7" w14:textId="77777777" w:rsidR="00834E7C" w:rsidRPr="00A35177" w:rsidRDefault="009E2996" w:rsidP="00D633E1">
      <w:pPr>
        <w:ind w:left="360"/>
        <w:rPr>
          <w:noProof/>
        </w:rPr>
      </w:pPr>
      <w:r w:rsidRPr="00A35177">
        <w:rPr>
          <w:noProof/>
        </w:rPr>
        <w:t>(2)</w:t>
      </w:r>
      <w:r w:rsidRPr="00A35177">
        <w:rPr>
          <w:noProof/>
        </w:rPr>
        <w:tab/>
        <w:t>umeće se stavak 2.a:</w:t>
      </w:r>
    </w:p>
    <w:p w14:paraId="45CC37E4" w14:textId="77777777" w:rsidR="00834E7C" w:rsidRPr="00A35177" w:rsidRDefault="00834E7C" w:rsidP="00834E7C">
      <w:pPr>
        <w:ind w:left="360"/>
        <w:rPr>
          <w:noProof/>
        </w:rPr>
      </w:pPr>
      <w:r w:rsidRPr="00A35177">
        <w:rPr>
          <w:noProof/>
        </w:rPr>
        <w:t>„2.a</w:t>
      </w:r>
      <w:r w:rsidRPr="00A35177">
        <w:rPr>
          <w:noProof/>
        </w:rPr>
        <w:tab/>
        <w:t xml:space="preserve">Svaka europska organizacija za normizaciju dužna se pobrinuti da sljedeće odluke o europskim normama i europskim normizacijskim dokumentima iz stavka 1. donose isključivo predstavnici nacionalnih tijela za normizaciju u okviru nadležnog tijela za donošenje odluka u toj organizaciji: </w:t>
      </w:r>
    </w:p>
    <w:p w14:paraId="4688FE2B" w14:textId="77777777" w:rsidR="00834E7C" w:rsidRPr="00A35177" w:rsidRDefault="00834E7C" w:rsidP="00834E7C">
      <w:pPr>
        <w:ind w:left="720"/>
        <w:rPr>
          <w:noProof/>
        </w:rPr>
      </w:pPr>
      <w:r w:rsidRPr="00A35177">
        <w:rPr>
          <w:noProof/>
        </w:rPr>
        <w:t>a) odluke o prihvaćanju, odbijanju i izvršavanju zahtjeva za normizaciju;</w:t>
      </w:r>
    </w:p>
    <w:p w14:paraId="108B9762" w14:textId="77777777" w:rsidR="00834E7C" w:rsidRPr="00A35177" w:rsidRDefault="00834E7C" w:rsidP="00834E7C">
      <w:pPr>
        <w:ind w:left="720"/>
        <w:rPr>
          <w:noProof/>
        </w:rPr>
      </w:pPr>
      <w:r w:rsidRPr="00A35177">
        <w:rPr>
          <w:noProof/>
        </w:rPr>
        <w:t xml:space="preserve">b) odluke o prihvaćanju novih poslova </w:t>
      </w:r>
    </w:p>
    <w:p w14:paraId="563B4352" w14:textId="77777777" w:rsidR="00DB139D" w:rsidRPr="00A35177" w:rsidRDefault="00834E7C" w:rsidP="00F03CB0">
      <w:pPr>
        <w:ind w:left="720"/>
        <w:rPr>
          <w:noProof/>
        </w:rPr>
      </w:pPr>
      <w:r w:rsidRPr="00A35177">
        <w:rPr>
          <w:noProof/>
        </w:rPr>
        <w:t>c) odluke o donošenju, reviziji i povlačenju europskih normi i europskih normizacijskih dokumenata.”.</w:t>
      </w:r>
    </w:p>
    <w:p w14:paraId="3A928DE3" w14:textId="77777777" w:rsidR="00103923" w:rsidRPr="00A35177" w:rsidRDefault="00103923" w:rsidP="00090DBE">
      <w:pPr>
        <w:rPr>
          <w:noProof/>
        </w:rPr>
      </w:pPr>
    </w:p>
    <w:p w14:paraId="235A02ED" w14:textId="77777777" w:rsidR="00DB139D" w:rsidRPr="00A35177" w:rsidRDefault="00DB139D" w:rsidP="00825B19">
      <w:pPr>
        <w:pStyle w:val="Titrearticle"/>
        <w:rPr>
          <w:noProof/>
        </w:rPr>
      </w:pPr>
      <w:r w:rsidRPr="00A35177">
        <w:rPr>
          <w:noProof/>
        </w:rPr>
        <w:t>Članak 2.</w:t>
      </w:r>
    </w:p>
    <w:p w14:paraId="4F2F002F" w14:textId="77777777" w:rsidR="00DB139D" w:rsidRPr="00A35177" w:rsidRDefault="00DB139D" w:rsidP="00825B19">
      <w:pPr>
        <w:rPr>
          <w:noProof/>
        </w:rPr>
      </w:pPr>
      <w:r w:rsidRPr="00A35177">
        <w:rPr>
          <w:noProof/>
        </w:rPr>
        <w:t xml:space="preserve">Ova Uredba stupa na snagu dvadesetog dana od dana objave u </w:t>
      </w:r>
      <w:r w:rsidRPr="00A35177">
        <w:rPr>
          <w:i/>
          <w:iCs/>
          <w:noProof/>
        </w:rPr>
        <w:t>Službenom listu Europske unije</w:t>
      </w:r>
      <w:r w:rsidRPr="00A35177">
        <w:rPr>
          <w:noProof/>
        </w:rPr>
        <w:t>.</w:t>
      </w:r>
    </w:p>
    <w:p w14:paraId="5926ECDB" w14:textId="77777777" w:rsidR="00D215E9" w:rsidRPr="00A35177" w:rsidRDefault="00D215E9" w:rsidP="00D215E9">
      <w:pPr>
        <w:rPr>
          <w:noProof/>
          <w:color w:val="00B050"/>
        </w:rPr>
      </w:pPr>
      <w:r w:rsidRPr="00A35177">
        <w:rPr>
          <w:noProof/>
        </w:rPr>
        <w:t>Primjenjuje se od....[</w:t>
      </w:r>
      <w:r w:rsidRPr="00A35177">
        <w:rPr>
          <w:i/>
          <w:iCs/>
          <w:noProof/>
        </w:rPr>
        <w:t>Ured za publikacije:</w:t>
      </w:r>
      <w:r w:rsidRPr="00A35177">
        <w:rPr>
          <w:i/>
          <w:noProof/>
        </w:rPr>
        <w:t xml:space="preserve"> </w:t>
      </w:r>
      <w:r w:rsidRPr="00A35177">
        <w:rPr>
          <w:i/>
          <w:iCs/>
          <w:noProof/>
        </w:rPr>
        <w:t>Unijeti datum – 6 mjeseci od datuma stupanja na snagu ove Uredbe]</w:t>
      </w:r>
    </w:p>
    <w:p w14:paraId="455968F9" w14:textId="77777777" w:rsidR="00DB139D" w:rsidRPr="00A35177" w:rsidRDefault="00DB139D" w:rsidP="00825B19">
      <w:pPr>
        <w:pStyle w:val="Applicationdirecte"/>
        <w:rPr>
          <w:noProof/>
        </w:rPr>
      </w:pPr>
      <w:r w:rsidRPr="00A35177">
        <w:rPr>
          <w:noProof/>
        </w:rPr>
        <w:t>Ova je Uredba u cijelosti obvezujuća i izravno se primjenjuje u svim državama članicama.</w:t>
      </w:r>
    </w:p>
    <w:p w14:paraId="121CE304" w14:textId="4CCF0EF2" w:rsidR="00DB139D" w:rsidRPr="00A35177" w:rsidRDefault="006D3359" w:rsidP="00F02E62">
      <w:pPr>
        <w:pStyle w:val="Fait"/>
        <w:rPr>
          <w:noProof/>
        </w:rPr>
      </w:pPr>
      <w:r w:rsidRPr="006D3359">
        <w:t>Sastavljeno u Bruxellesu,</w:t>
      </w:r>
    </w:p>
    <w:p w14:paraId="793DB9A9" w14:textId="77777777" w:rsidR="00DB139D" w:rsidRPr="00A35177" w:rsidRDefault="00DB139D" w:rsidP="00F02E62">
      <w:pPr>
        <w:pStyle w:val="Institutionquisigne"/>
        <w:rPr>
          <w:noProof/>
        </w:rPr>
      </w:pPr>
      <w:r w:rsidRPr="00A35177">
        <w:rPr>
          <w:noProof/>
        </w:rPr>
        <w:t>Za Europski parlament</w:t>
      </w:r>
      <w:r w:rsidRPr="00A35177">
        <w:rPr>
          <w:noProof/>
        </w:rPr>
        <w:tab/>
        <w:t>Za Vijeće</w:t>
      </w:r>
    </w:p>
    <w:p w14:paraId="500884DA" w14:textId="77777777" w:rsidR="00DB139D" w:rsidRPr="00A35177" w:rsidRDefault="00DB139D" w:rsidP="00DB139D">
      <w:pPr>
        <w:pStyle w:val="Personnequisigne"/>
        <w:rPr>
          <w:noProof/>
        </w:rPr>
      </w:pPr>
      <w:r w:rsidRPr="00A35177">
        <w:rPr>
          <w:noProof/>
        </w:rPr>
        <w:t>Predsjednica</w:t>
      </w:r>
      <w:r w:rsidRPr="00A35177">
        <w:rPr>
          <w:noProof/>
        </w:rPr>
        <w:tab/>
        <w:t>Predsjednik</w:t>
      </w:r>
    </w:p>
    <w:sectPr w:rsidR="00DB139D" w:rsidRPr="00A35177" w:rsidSect="00347D6E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BA60" w14:textId="77777777" w:rsidR="00BC26F1" w:rsidRDefault="00BC26F1" w:rsidP="00DB139D">
      <w:pPr>
        <w:spacing w:before="0" w:after="0"/>
      </w:pPr>
      <w:r>
        <w:separator/>
      </w:r>
    </w:p>
  </w:endnote>
  <w:endnote w:type="continuationSeparator" w:id="0">
    <w:p w14:paraId="229A6D90" w14:textId="77777777" w:rsidR="00BC26F1" w:rsidRDefault="00BC26F1" w:rsidP="00DB139D">
      <w:pPr>
        <w:spacing w:before="0" w:after="0"/>
      </w:pPr>
      <w:r>
        <w:continuationSeparator/>
      </w:r>
    </w:p>
  </w:endnote>
  <w:endnote w:type="continuationNotice" w:id="1">
    <w:p w14:paraId="79CB1E98" w14:textId="77777777" w:rsidR="00B12290" w:rsidRDefault="00B122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9FAD" w14:textId="07E88F04" w:rsidR="00825B19" w:rsidRPr="00347D6E" w:rsidRDefault="00347D6E" w:rsidP="00347D6E">
    <w:pPr>
      <w:pStyle w:val="Footer"/>
      <w:rPr>
        <w:rFonts w:ascii="Arial" w:hAnsi="Arial" w:cs="Arial"/>
        <w:b/>
        <w:sz w:val="48"/>
      </w:rPr>
    </w:pPr>
    <w:r w:rsidRPr="00347D6E">
      <w:rPr>
        <w:rFonts w:ascii="Arial" w:hAnsi="Arial" w:cs="Arial"/>
        <w:b/>
        <w:sz w:val="48"/>
      </w:rPr>
      <w:t>HR</w:t>
    </w:r>
    <w:r w:rsidRPr="00347D6E">
      <w:rPr>
        <w:rFonts w:ascii="Arial" w:hAnsi="Arial" w:cs="Arial"/>
        <w:b/>
        <w:sz w:val="48"/>
      </w:rPr>
      <w:tab/>
    </w:r>
    <w:r w:rsidRPr="00347D6E">
      <w:rPr>
        <w:rFonts w:ascii="Arial" w:hAnsi="Arial" w:cs="Arial"/>
        <w:b/>
        <w:sz w:val="48"/>
      </w:rPr>
      <w:tab/>
    </w:r>
    <w:r w:rsidRPr="00347D6E">
      <w:tab/>
    </w:r>
    <w:r w:rsidRPr="00347D6E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8B22" w14:textId="72715C27" w:rsidR="00347D6E" w:rsidRPr="00347D6E" w:rsidRDefault="00347D6E" w:rsidP="00347D6E">
    <w:pPr>
      <w:pStyle w:val="Footer"/>
      <w:rPr>
        <w:rFonts w:ascii="Arial" w:hAnsi="Arial" w:cs="Arial"/>
        <w:b/>
        <w:sz w:val="48"/>
      </w:rPr>
    </w:pPr>
    <w:r w:rsidRPr="00347D6E">
      <w:rPr>
        <w:rFonts w:ascii="Arial" w:hAnsi="Arial" w:cs="Arial"/>
        <w:b/>
        <w:sz w:val="48"/>
      </w:rPr>
      <w:t>HR</w:t>
    </w:r>
    <w:r w:rsidRPr="00347D6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02E62">
      <w:rPr>
        <w:noProof/>
      </w:rPr>
      <w:t>7</w:t>
    </w:r>
    <w:r>
      <w:fldChar w:fldCharType="end"/>
    </w:r>
    <w:r>
      <w:tab/>
    </w:r>
    <w:r w:rsidRPr="00347D6E">
      <w:tab/>
    </w:r>
    <w:r w:rsidRPr="00347D6E"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E6D4" w14:textId="77777777" w:rsidR="00347D6E" w:rsidRPr="00347D6E" w:rsidRDefault="00347D6E" w:rsidP="0034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1731" w14:textId="77777777" w:rsidR="00BC26F1" w:rsidRDefault="00BC26F1" w:rsidP="00DB139D">
      <w:pPr>
        <w:spacing w:before="0" w:after="0"/>
      </w:pPr>
      <w:r>
        <w:separator/>
      </w:r>
    </w:p>
  </w:footnote>
  <w:footnote w:type="continuationSeparator" w:id="0">
    <w:p w14:paraId="30DE6BBA" w14:textId="77777777" w:rsidR="00BC26F1" w:rsidRDefault="00BC26F1" w:rsidP="00DB139D">
      <w:pPr>
        <w:spacing w:before="0" w:after="0"/>
      </w:pPr>
      <w:r>
        <w:continuationSeparator/>
      </w:r>
    </w:p>
  </w:footnote>
  <w:footnote w:type="continuationNotice" w:id="1">
    <w:p w14:paraId="7FC44852" w14:textId="77777777" w:rsidR="00B12290" w:rsidRDefault="00B12290">
      <w:pPr>
        <w:spacing w:before="0" w:after="0"/>
      </w:pPr>
    </w:p>
  </w:footnote>
  <w:footnote w:id="2">
    <w:p w14:paraId="6827D34C" w14:textId="2F86F978" w:rsidR="008503A4" w:rsidRDefault="008503A4" w:rsidP="008503A4">
      <w:pPr>
        <w:pStyle w:val="FootnoteText"/>
      </w:pPr>
      <w:r>
        <w:rPr>
          <w:rStyle w:val="FootnoteReference"/>
        </w:rPr>
        <w:footnoteRef/>
      </w:r>
      <w:r>
        <w:tab/>
        <w:t>Uredba (EU) br. 1025/2012 Europskog parlamenta i Vijeća od 25. listopada 2012. o europskoj normizaciji, o izmjeni direktiva Vijeća 89/686/EEZ i 93/15/EEZ i direktiva 94/9/EZ, 94/25/EZ, 95/16/EZ, 97/23/EZ, 98/34/EZ, 2004/22/EZ, 2007/23/EZ, 2009/23/EZ i 2009/105/EZ Europskog parlamenta i Vijeća te o stavljanju izvan snage Odluke Vijeća 87/95/EEZ i Odluke br. 1673/2006/EZ Europskog parlamenta i Vijeća (SL L 316, 14.11.2012., str. 12.).</w:t>
      </w:r>
    </w:p>
  </w:footnote>
  <w:footnote w:id="3">
    <w:p w14:paraId="5AE2002C" w14:textId="44AF4DAA" w:rsidR="008503A4" w:rsidRDefault="008503A4" w:rsidP="008503A4">
      <w:pPr>
        <w:pStyle w:val="FootnoteText"/>
      </w:pPr>
      <w:r>
        <w:rPr>
          <w:rStyle w:val="FootnoteReference"/>
        </w:rPr>
        <w:footnoteRef/>
      </w:r>
      <w:r>
        <w:tab/>
        <w:t>https://eur-lex.europa.eu/legal-content/HR/TXT/?uri=COM:2021:350:FIN</w:t>
      </w:r>
    </w:p>
  </w:footnote>
  <w:footnote w:id="4">
    <w:p w14:paraId="2B2D719A" w14:textId="72D612A9" w:rsidR="00A73103" w:rsidRDefault="00A73103" w:rsidP="00A73103">
      <w:pPr>
        <w:pStyle w:val="FootnoteText"/>
      </w:pPr>
      <w:r>
        <w:rPr>
          <w:rStyle w:val="FootnoteReference"/>
        </w:rPr>
        <w:footnoteRef/>
      </w:r>
      <w:r>
        <w:tab/>
        <w:t>https://eur-lex.europa.eu/legal-content/hr/TXT/?uri=CELEX:52020DC0067</w:t>
      </w:r>
    </w:p>
  </w:footnote>
  <w:footnote w:id="5">
    <w:p w14:paraId="096BDDB7" w14:textId="487B8DE3" w:rsidR="00A73103" w:rsidRDefault="00A73103" w:rsidP="00A73103">
      <w:pPr>
        <w:pStyle w:val="FootnoteText"/>
      </w:pPr>
      <w:r>
        <w:rPr>
          <w:rStyle w:val="FootnoteReference"/>
        </w:rPr>
        <w:footnoteRef/>
      </w:r>
      <w:r>
        <w:tab/>
        <w:t>https://eur-lex.europa.eu/legal-content/HR/TXT/?uri=JOIN%3A2021%3A30%3AFIN</w:t>
      </w:r>
    </w:p>
  </w:footnote>
  <w:footnote w:id="6">
    <w:p w14:paraId="0A2574E0" w14:textId="4836D46B" w:rsidR="00A73103" w:rsidRDefault="00A73103" w:rsidP="00A73103">
      <w:pPr>
        <w:pStyle w:val="FootnoteText"/>
      </w:pPr>
      <w:r>
        <w:rPr>
          <w:rStyle w:val="FootnoteReference"/>
        </w:rPr>
        <w:footnoteRef/>
      </w:r>
      <w:r>
        <w:tab/>
        <w:t>https://eur-lex.europa.eu/legal-content/HR/TXT/?uri=CELEX%3A52020XG0616%2801%29</w:t>
      </w:r>
    </w:p>
  </w:footnote>
  <w:footnote w:id="7">
    <w:p w14:paraId="5A015C1D" w14:textId="038369E1" w:rsidR="008503A4" w:rsidRDefault="008503A4" w:rsidP="008503A4">
      <w:pPr>
        <w:pStyle w:val="FootnoteText"/>
      </w:pPr>
      <w:r>
        <w:rPr>
          <w:rStyle w:val="FootnoteReference"/>
        </w:rPr>
        <w:footnoteRef/>
      </w:r>
      <w:r>
        <w:tab/>
        <w:t>https://ec.europa.eu/info/law/better-regulation/have-your-say/initiatives/13099-Standardisation-strategy_hr</w:t>
      </w:r>
    </w:p>
  </w:footnote>
  <w:footnote w:id="8">
    <w:p w14:paraId="01379ADB" w14:textId="77777777" w:rsidR="00825B19" w:rsidRDefault="00825B19" w:rsidP="00825B19">
      <w:pPr>
        <w:pStyle w:val="FootnoteText"/>
      </w:pPr>
      <w:r>
        <w:rPr>
          <w:rStyle w:val="FootnoteReference"/>
        </w:rPr>
        <w:footnoteRef/>
      </w:r>
      <w:r>
        <w:tab/>
        <w:t>SL C …, …, str. ….</w:t>
      </w:r>
    </w:p>
  </w:footnote>
  <w:footnote w:id="9">
    <w:p w14:paraId="4D3C80A0" w14:textId="77777777" w:rsidR="00825B19" w:rsidRDefault="00825B19" w:rsidP="001C6095">
      <w:pPr>
        <w:pStyle w:val="FootnoteText"/>
      </w:pPr>
      <w:r>
        <w:rPr>
          <w:rStyle w:val="FootnoteReference"/>
        </w:rPr>
        <w:footnoteRef/>
      </w:r>
      <w:r>
        <w:tab/>
        <w:t>Uredba (EU) br. 1025/2012 Europskog parlamenta i Vijeća od 25. listopada 2012. o europskoj normizaciji, o izmjeni direktiva Vijeća 89/686/EEZ i 93/15/EEZ i direktiva 94/9/EZ, 94/25/EZ, 95/16/EZ, 97/23/EZ, 98/34/EZ, 2004/22/EZ, 2007/23/EZ, 2009/23/EZ i 2009/105/EZ Europskog parlamenta i Vijeća te o stavljanju izvan snage Odluke Vijeća 87/95/EEZ i Odluke br. 1673/2006/EZ Europskog parlamenta i Vijeća (SL L 316, 14.11.2012., str. 12.).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00018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68447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2824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C1DA73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000B3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688B2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E6D9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D142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2"/>
    <w:lvlOverride w:ilvl="0">
      <w:startOverride w:val="1"/>
    </w:lvlOverride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9"/>
  </w:num>
  <w:num w:numId="16">
    <w:abstractNumId w:val="20"/>
  </w:num>
  <w:num w:numId="17">
    <w:abstractNumId w:val="8"/>
  </w:num>
  <w:num w:numId="18">
    <w:abstractNumId w:val="15"/>
  </w:num>
  <w:num w:numId="19">
    <w:abstractNumId w:val="17"/>
  </w:num>
  <w:num w:numId="20">
    <w:abstractNumId w:val="18"/>
  </w:num>
  <w:num w:numId="21">
    <w:abstractNumId w:val="10"/>
  </w:num>
  <w:num w:numId="22">
    <w:abstractNumId w:val="16"/>
  </w:num>
  <w:num w:numId="23">
    <w:abstractNumId w:val="22"/>
  </w:num>
  <w:num w:numId="24">
    <w:abstractNumId w:val="19"/>
  </w:num>
  <w:num w:numId="25">
    <w:abstractNumId w:val="12"/>
  </w:num>
  <w:num w:numId="26">
    <w:abstractNumId w:val="21"/>
  </w:num>
  <w:num w:numId="27">
    <w:abstractNumId w:val="11"/>
  </w:num>
  <w:num w:numId="28">
    <w:abstractNumId w:val="13"/>
  </w:num>
  <w:num w:numId="29">
    <w:abstractNumId w:val="9"/>
  </w:num>
  <w:num w:numId="30">
    <w:abstractNumId w:val="20"/>
  </w:num>
  <w:num w:numId="31">
    <w:abstractNumId w:val="8"/>
  </w:num>
  <w:num w:numId="32">
    <w:abstractNumId w:val="15"/>
  </w:num>
  <w:num w:numId="33">
    <w:abstractNumId w:val="17"/>
  </w:num>
  <w:num w:numId="34">
    <w:abstractNumId w:val="18"/>
  </w:num>
  <w:num w:numId="35">
    <w:abstractNumId w:val="10"/>
  </w:num>
  <w:num w:numId="36">
    <w:abstractNumId w:val="16"/>
  </w:num>
  <w:num w:numId="37">
    <w:abstractNumId w:val="22"/>
  </w:num>
  <w:num w:numId="38">
    <w:abstractNumId w:val="20"/>
  </w:num>
  <w:num w:numId="39">
    <w:abstractNumId w:val="20"/>
  </w:num>
  <w:num w:numId="40">
    <w:abstractNumId w:val="20"/>
  </w:num>
  <w:num w:numId="41">
    <w:abstractNumId w:val="14"/>
  </w:num>
  <w:num w:numId="42">
    <w:abstractNumId w:val="9"/>
  </w:num>
  <w:num w:numId="43">
    <w:abstractNumId w:val="9"/>
  </w:num>
  <w:num w:numId="4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2-10 09:49:4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7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FigNum" w:val="1"/>
    <w:docVar w:name="LW_CORRIGENDUM" w:val="&lt;UNUSED&gt;"/>
    <w:docVar w:name="LW_COVERPAGE_EXISTS" w:val="True"/>
    <w:docVar w:name="LW_COVERPAGE_GUID" w:val="A388D456-916E-4DFA-8040-A8CE62202393"/>
    <w:docVar w:name="LW_COVERPAGE_TYPE" w:val="1"/>
    <w:docVar w:name="LW_CROSSREFERENCE" w:val="&lt;UNUSED&gt;"/>
    <w:docVar w:name="LW_DocType" w:val="COM"/>
    <w:docVar w:name="LW_EMISSION" w:val="2.2.2022."/>
    <w:docVar w:name="LW_EMISSION_ISODATE" w:val="2022-02-02"/>
    <w:docVar w:name="LW_EMISSION_LOCATION" w:val="BRX"/>
    <w:docVar w:name="LW_EMISSION_PREFIX" w:val="Bruxelles, "/>
    <w:docVar w:name="LW_EMISSION_SUFFIX" w:val="&lt;EMPTY&gt;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(Tekst značajan za EGP)"/>
    <w:docVar w:name="LW_LANGUE" w:val="HR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21"/>
    <w:docVar w:name="LW_REF.II.NEW.CP_YEAR" w:val="2022"/>
    <w:docVar w:name="LW_REF.INST.NEW" w:val="COM"/>
    <w:docVar w:name="LW_REF.INST.NEW_ADOPTED" w:val="final"/>
    <w:docVar w:name="LW_REF.INST.NEW_TEXT" w:val="(2022) 3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ijedlog"/>
    <w:docVar w:name="LW_SUPERTITRE" w:val="&lt;UNUSED&gt;"/>
    <w:docVar w:name="LW_TITRE.OBJ.CP" w:val="o izmjeni Uredbe (EU) br. 1025/2012 u pogledu odluka europskih organizacija za normizaciju koje se odnose na europske norme i europske normizacijske dokumente"/>
    <w:docVar w:name="LW_TYPE.DOC.CP" w:val="UREDBE EUROPSKOG PARLAMENTA I VIJEĆA"/>
    <w:docVar w:name="LwApiVersions" w:val="LW4CoDe 1.23.2.0; LW 8.0, Build 20211117"/>
  </w:docVars>
  <w:rsids>
    <w:rsidRoot w:val="00DB139D"/>
    <w:rsid w:val="00001474"/>
    <w:rsid w:val="00003C6A"/>
    <w:rsid w:val="0000669E"/>
    <w:rsid w:val="000170F1"/>
    <w:rsid w:val="00034A7E"/>
    <w:rsid w:val="0003702E"/>
    <w:rsid w:val="0005003A"/>
    <w:rsid w:val="000572A9"/>
    <w:rsid w:val="00065A6B"/>
    <w:rsid w:val="00090DBE"/>
    <w:rsid w:val="00091B05"/>
    <w:rsid w:val="000A0220"/>
    <w:rsid w:val="000A2035"/>
    <w:rsid w:val="000A49DB"/>
    <w:rsid w:val="000A516B"/>
    <w:rsid w:val="000A7517"/>
    <w:rsid w:val="000B2D59"/>
    <w:rsid w:val="000B5AD5"/>
    <w:rsid w:val="000B5F45"/>
    <w:rsid w:val="000C0DC7"/>
    <w:rsid w:val="000C2F08"/>
    <w:rsid w:val="000C4EBC"/>
    <w:rsid w:val="000E198E"/>
    <w:rsid w:val="000E32A6"/>
    <w:rsid w:val="000E40A8"/>
    <w:rsid w:val="000F2582"/>
    <w:rsid w:val="001008CD"/>
    <w:rsid w:val="00100D1B"/>
    <w:rsid w:val="00102C6D"/>
    <w:rsid w:val="00103923"/>
    <w:rsid w:val="001125AB"/>
    <w:rsid w:val="00117A36"/>
    <w:rsid w:val="00140F93"/>
    <w:rsid w:val="001534E5"/>
    <w:rsid w:val="0016022A"/>
    <w:rsid w:val="0016530A"/>
    <w:rsid w:val="00190AF9"/>
    <w:rsid w:val="001B498B"/>
    <w:rsid w:val="001C2816"/>
    <w:rsid w:val="001C5434"/>
    <w:rsid w:val="001C5834"/>
    <w:rsid w:val="001C6095"/>
    <w:rsid w:val="001D40A3"/>
    <w:rsid w:val="001E7A85"/>
    <w:rsid w:val="001F0B26"/>
    <w:rsid w:val="00210B10"/>
    <w:rsid w:val="00224013"/>
    <w:rsid w:val="002326A6"/>
    <w:rsid w:val="00232E98"/>
    <w:rsid w:val="00233AE4"/>
    <w:rsid w:val="002409DD"/>
    <w:rsid w:val="00241283"/>
    <w:rsid w:val="00242075"/>
    <w:rsid w:val="00256F47"/>
    <w:rsid w:val="0027515B"/>
    <w:rsid w:val="00277E9D"/>
    <w:rsid w:val="00296B8D"/>
    <w:rsid w:val="002A350D"/>
    <w:rsid w:val="002B1BD2"/>
    <w:rsid w:val="002C3E81"/>
    <w:rsid w:val="002C530A"/>
    <w:rsid w:val="002E69BD"/>
    <w:rsid w:val="002F2029"/>
    <w:rsid w:val="003106B5"/>
    <w:rsid w:val="00311649"/>
    <w:rsid w:val="0031625C"/>
    <w:rsid w:val="003235A7"/>
    <w:rsid w:val="00323E57"/>
    <w:rsid w:val="003257DE"/>
    <w:rsid w:val="00347D6E"/>
    <w:rsid w:val="00351880"/>
    <w:rsid w:val="00361E3F"/>
    <w:rsid w:val="00363011"/>
    <w:rsid w:val="003659F0"/>
    <w:rsid w:val="003669D2"/>
    <w:rsid w:val="00371166"/>
    <w:rsid w:val="0037269B"/>
    <w:rsid w:val="003738F0"/>
    <w:rsid w:val="0038446D"/>
    <w:rsid w:val="00396EAF"/>
    <w:rsid w:val="003A185C"/>
    <w:rsid w:val="003B68A9"/>
    <w:rsid w:val="003C361A"/>
    <w:rsid w:val="003D6127"/>
    <w:rsid w:val="003E54F4"/>
    <w:rsid w:val="003F007A"/>
    <w:rsid w:val="003F6BE1"/>
    <w:rsid w:val="003F7899"/>
    <w:rsid w:val="004020D8"/>
    <w:rsid w:val="00404AB4"/>
    <w:rsid w:val="004057B6"/>
    <w:rsid w:val="00411B5C"/>
    <w:rsid w:val="004139D1"/>
    <w:rsid w:val="00414D58"/>
    <w:rsid w:val="00416B70"/>
    <w:rsid w:val="004215B3"/>
    <w:rsid w:val="00433DF1"/>
    <w:rsid w:val="00435BD8"/>
    <w:rsid w:val="00442C16"/>
    <w:rsid w:val="004471D1"/>
    <w:rsid w:val="0045168A"/>
    <w:rsid w:val="00456F54"/>
    <w:rsid w:val="00466844"/>
    <w:rsid w:val="00470A6F"/>
    <w:rsid w:val="00474EF0"/>
    <w:rsid w:val="00477B0E"/>
    <w:rsid w:val="004976A1"/>
    <w:rsid w:val="004A3113"/>
    <w:rsid w:val="004A5BF0"/>
    <w:rsid w:val="004B6D4E"/>
    <w:rsid w:val="004D2CD9"/>
    <w:rsid w:val="004D3A65"/>
    <w:rsid w:val="004F02AE"/>
    <w:rsid w:val="005023CC"/>
    <w:rsid w:val="0050247D"/>
    <w:rsid w:val="00510128"/>
    <w:rsid w:val="00523548"/>
    <w:rsid w:val="00572E21"/>
    <w:rsid w:val="00574C30"/>
    <w:rsid w:val="005943A7"/>
    <w:rsid w:val="005A0BCD"/>
    <w:rsid w:val="005B6004"/>
    <w:rsid w:val="005D6DB1"/>
    <w:rsid w:val="005E27FC"/>
    <w:rsid w:val="005E5C26"/>
    <w:rsid w:val="005F1F7A"/>
    <w:rsid w:val="00610600"/>
    <w:rsid w:val="006163C2"/>
    <w:rsid w:val="006179C6"/>
    <w:rsid w:val="00630AF3"/>
    <w:rsid w:val="0065437E"/>
    <w:rsid w:val="00666036"/>
    <w:rsid w:val="00666D79"/>
    <w:rsid w:val="00671ED0"/>
    <w:rsid w:val="00694935"/>
    <w:rsid w:val="006A30E9"/>
    <w:rsid w:val="006A6622"/>
    <w:rsid w:val="006A74EF"/>
    <w:rsid w:val="006D3359"/>
    <w:rsid w:val="006E32B8"/>
    <w:rsid w:val="006E4A62"/>
    <w:rsid w:val="006F1853"/>
    <w:rsid w:val="006F38BF"/>
    <w:rsid w:val="006F53C7"/>
    <w:rsid w:val="006F56CC"/>
    <w:rsid w:val="0070128F"/>
    <w:rsid w:val="007117EE"/>
    <w:rsid w:val="00712F31"/>
    <w:rsid w:val="0072024D"/>
    <w:rsid w:val="00730FCF"/>
    <w:rsid w:val="007319C4"/>
    <w:rsid w:val="00734681"/>
    <w:rsid w:val="00734CED"/>
    <w:rsid w:val="00740749"/>
    <w:rsid w:val="007716EB"/>
    <w:rsid w:val="007903CE"/>
    <w:rsid w:val="00793420"/>
    <w:rsid w:val="007A2FC6"/>
    <w:rsid w:val="007B4AFC"/>
    <w:rsid w:val="007C06F6"/>
    <w:rsid w:val="007C7658"/>
    <w:rsid w:val="007D1599"/>
    <w:rsid w:val="007D15E2"/>
    <w:rsid w:val="007D50EF"/>
    <w:rsid w:val="007F6F39"/>
    <w:rsid w:val="007F71DE"/>
    <w:rsid w:val="0080618C"/>
    <w:rsid w:val="008113CE"/>
    <w:rsid w:val="0081678F"/>
    <w:rsid w:val="0081749B"/>
    <w:rsid w:val="00817786"/>
    <w:rsid w:val="00825B19"/>
    <w:rsid w:val="0083314A"/>
    <w:rsid w:val="00834E7C"/>
    <w:rsid w:val="0083638F"/>
    <w:rsid w:val="008503A4"/>
    <w:rsid w:val="00853C65"/>
    <w:rsid w:val="00866232"/>
    <w:rsid w:val="00876909"/>
    <w:rsid w:val="00892D63"/>
    <w:rsid w:val="00896BA3"/>
    <w:rsid w:val="008B6BEA"/>
    <w:rsid w:val="008C1215"/>
    <w:rsid w:val="008C4125"/>
    <w:rsid w:val="008E14E8"/>
    <w:rsid w:val="008E3945"/>
    <w:rsid w:val="008F41C3"/>
    <w:rsid w:val="008F66D1"/>
    <w:rsid w:val="00904BA0"/>
    <w:rsid w:val="00920255"/>
    <w:rsid w:val="00920981"/>
    <w:rsid w:val="00923035"/>
    <w:rsid w:val="00927FBA"/>
    <w:rsid w:val="00930A22"/>
    <w:rsid w:val="00942964"/>
    <w:rsid w:val="00944D3B"/>
    <w:rsid w:val="00945F65"/>
    <w:rsid w:val="00947BD1"/>
    <w:rsid w:val="00964046"/>
    <w:rsid w:val="00970E3E"/>
    <w:rsid w:val="00986B33"/>
    <w:rsid w:val="00987AD5"/>
    <w:rsid w:val="009B1499"/>
    <w:rsid w:val="009B45EC"/>
    <w:rsid w:val="009B7138"/>
    <w:rsid w:val="009B731E"/>
    <w:rsid w:val="009D3145"/>
    <w:rsid w:val="009E2996"/>
    <w:rsid w:val="009F152B"/>
    <w:rsid w:val="009F38C6"/>
    <w:rsid w:val="00A014D7"/>
    <w:rsid w:val="00A1491E"/>
    <w:rsid w:val="00A35177"/>
    <w:rsid w:val="00A448FE"/>
    <w:rsid w:val="00A60FB8"/>
    <w:rsid w:val="00A675B2"/>
    <w:rsid w:val="00A73103"/>
    <w:rsid w:val="00AB09A4"/>
    <w:rsid w:val="00AC18B6"/>
    <w:rsid w:val="00AC5F91"/>
    <w:rsid w:val="00AD4F9F"/>
    <w:rsid w:val="00AE3170"/>
    <w:rsid w:val="00AF2022"/>
    <w:rsid w:val="00AF276A"/>
    <w:rsid w:val="00AF3488"/>
    <w:rsid w:val="00AF5499"/>
    <w:rsid w:val="00AF7DDF"/>
    <w:rsid w:val="00B0185D"/>
    <w:rsid w:val="00B0551C"/>
    <w:rsid w:val="00B065B5"/>
    <w:rsid w:val="00B10495"/>
    <w:rsid w:val="00B12290"/>
    <w:rsid w:val="00B13598"/>
    <w:rsid w:val="00B16BE1"/>
    <w:rsid w:val="00B17DBA"/>
    <w:rsid w:val="00B46916"/>
    <w:rsid w:val="00B5447E"/>
    <w:rsid w:val="00B6306D"/>
    <w:rsid w:val="00B80E70"/>
    <w:rsid w:val="00BA1A25"/>
    <w:rsid w:val="00BA2746"/>
    <w:rsid w:val="00BC21A2"/>
    <w:rsid w:val="00BC26F1"/>
    <w:rsid w:val="00BC6864"/>
    <w:rsid w:val="00BC755D"/>
    <w:rsid w:val="00BD62CA"/>
    <w:rsid w:val="00BD6746"/>
    <w:rsid w:val="00BE0FD0"/>
    <w:rsid w:val="00BE246D"/>
    <w:rsid w:val="00BE73C8"/>
    <w:rsid w:val="00BF17AA"/>
    <w:rsid w:val="00BF1C19"/>
    <w:rsid w:val="00BF1DE8"/>
    <w:rsid w:val="00BF31D3"/>
    <w:rsid w:val="00BF7648"/>
    <w:rsid w:val="00C051C1"/>
    <w:rsid w:val="00C075D3"/>
    <w:rsid w:val="00C15479"/>
    <w:rsid w:val="00C24556"/>
    <w:rsid w:val="00C3184A"/>
    <w:rsid w:val="00C55758"/>
    <w:rsid w:val="00C57686"/>
    <w:rsid w:val="00C61A34"/>
    <w:rsid w:val="00C63964"/>
    <w:rsid w:val="00C7142E"/>
    <w:rsid w:val="00C76DB7"/>
    <w:rsid w:val="00C807D4"/>
    <w:rsid w:val="00C8167A"/>
    <w:rsid w:val="00C8482F"/>
    <w:rsid w:val="00CA1BEA"/>
    <w:rsid w:val="00CB2E26"/>
    <w:rsid w:val="00CB7BDB"/>
    <w:rsid w:val="00CC1425"/>
    <w:rsid w:val="00CC5629"/>
    <w:rsid w:val="00CD4FB4"/>
    <w:rsid w:val="00CE05A1"/>
    <w:rsid w:val="00CE4BE8"/>
    <w:rsid w:val="00D10286"/>
    <w:rsid w:val="00D215E9"/>
    <w:rsid w:val="00D3051D"/>
    <w:rsid w:val="00D34432"/>
    <w:rsid w:val="00D3556A"/>
    <w:rsid w:val="00D44D4F"/>
    <w:rsid w:val="00D61B81"/>
    <w:rsid w:val="00D6212F"/>
    <w:rsid w:val="00D633E1"/>
    <w:rsid w:val="00D7004F"/>
    <w:rsid w:val="00D735AB"/>
    <w:rsid w:val="00D766FC"/>
    <w:rsid w:val="00D77950"/>
    <w:rsid w:val="00D83444"/>
    <w:rsid w:val="00D9461D"/>
    <w:rsid w:val="00D969D6"/>
    <w:rsid w:val="00DA0C8F"/>
    <w:rsid w:val="00DA29CF"/>
    <w:rsid w:val="00DB139D"/>
    <w:rsid w:val="00DB59D7"/>
    <w:rsid w:val="00DC2433"/>
    <w:rsid w:val="00DC47A2"/>
    <w:rsid w:val="00DD372C"/>
    <w:rsid w:val="00DD6DCC"/>
    <w:rsid w:val="00DF1EFC"/>
    <w:rsid w:val="00DF5A8F"/>
    <w:rsid w:val="00E16AF3"/>
    <w:rsid w:val="00E235DC"/>
    <w:rsid w:val="00E314AA"/>
    <w:rsid w:val="00E360F6"/>
    <w:rsid w:val="00E727E0"/>
    <w:rsid w:val="00E82F46"/>
    <w:rsid w:val="00E84028"/>
    <w:rsid w:val="00E84BBC"/>
    <w:rsid w:val="00EA4ABB"/>
    <w:rsid w:val="00EC00F8"/>
    <w:rsid w:val="00EC0D20"/>
    <w:rsid w:val="00EC563B"/>
    <w:rsid w:val="00EE121A"/>
    <w:rsid w:val="00EE389E"/>
    <w:rsid w:val="00EE45A6"/>
    <w:rsid w:val="00F00B0D"/>
    <w:rsid w:val="00F00E84"/>
    <w:rsid w:val="00F029B6"/>
    <w:rsid w:val="00F02E62"/>
    <w:rsid w:val="00F03CB0"/>
    <w:rsid w:val="00F04E1E"/>
    <w:rsid w:val="00F12839"/>
    <w:rsid w:val="00F16547"/>
    <w:rsid w:val="00F20062"/>
    <w:rsid w:val="00F25B32"/>
    <w:rsid w:val="00F33A91"/>
    <w:rsid w:val="00F4411E"/>
    <w:rsid w:val="00F50B1D"/>
    <w:rsid w:val="00F65292"/>
    <w:rsid w:val="00F75921"/>
    <w:rsid w:val="00F801A0"/>
    <w:rsid w:val="00F87B34"/>
    <w:rsid w:val="00F935BF"/>
    <w:rsid w:val="00FA7535"/>
    <w:rsid w:val="00FB40A8"/>
    <w:rsid w:val="00FC36AB"/>
    <w:rsid w:val="00FD7072"/>
    <w:rsid w:val="00FD744C"/>
    <w:rsid w:val="00FE1C7A"/>
    <w:rsid w:val="00FF1CED"/>
    <w:rsid w:val="321F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459C81"/>
  <w15:docId w15:val="{E7378A80-DF19-41EA-8C54-A14826BB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r-HR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4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4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4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4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671ED0"/>
    <w:pPr>
      <w:keepNext/>
      <w:numPr>
        <w:ilvl w:val="4"/>
        <w:numId w:val="4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671ED0"/>
    <w:pPr>
      <w:keepNext/>
      <w:numPr>
        <w:ilvl w:val="5"/>
        <w:numId w:val="4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671ED0"/>
    <w:pPr>
      <w:keepNext/>
      <w:numPr>
        <w:ilvl w:val="6"/>
        <w:numId w:val="4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139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34E7C"/>
    <w:pPr>
      <w:spacing w:before="0" w:after="240"/>
      <w:ind w:left="720"/>
      <w:contextualSpacing/>
    </w:pPr>
    <w:rPr>
      <w:rFonts w:eastAsia="Times New Roman"/>
      <w:szCs w:val="20"/>
      <w:lang w:eastAsia="fr-BE"/>
    </w:rPr>
  </w:style>
  <w:style w:type="paragraph" w:styleId="ListBullet">
    <w:name w:val="List Bullet"/>
    <w:basedOn w:val="Normal"/>
    <w:uiPriority w:val="99"/>
    <w:semiHidden/>
    <w:unhideWhenUsed/>
    <w:rsid w:val="001125A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125A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125A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125AB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5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50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2C3E8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5B32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25B32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F25B32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5B32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5B32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5B32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6A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76A"/>
    <w:rPr>
      <w:rFonts w:ascii="Times New Roman" w:hAnsi="Times New Roman" w:cs="Times New Roman"/>
      <w:b/>
      <w:bCs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F27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4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D6E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47D6E"/>
    <w:rPr>
      <w:rFonts w:ascii="Times New Roman" w:hAnsi="Times New Roman" w:cs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47D6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347D6E"/>
    <w:rPr>
      <w:rFonts w:ascii="Times New Roman" w:hAnsi="Times New Roman" w:cs="Times New Roman"/>
      <w:sz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347D6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347D6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4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347D6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34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4"/>
      </w:numPr>
    </w:pPr>
  </w:style>
  <w:style w:type="paragraph" w:customStyle="1" w:styleId="Tiret1">
    <w:name w:val="Tiret 1"/>
    <w:basedOn w:val="Point1"/>
    <w:rsid w:val="009B7138"/>
    <w:pPr>
      <w:numPr>
        <w:numId w:val="25"/>
      </w:numPr>
    </w:pPr>
  </w:style>
  <w:style w:type="paragraph" w:customStyle="1" w:styleId="Tiret2">
    <w:name w:val="Tiret 2"/>
    <w:basedOn w:val="Point2"/>
    <w:rsid w:val="009B7138"/>
    <w:pPr>
      <w:numPr>
        <w:numId w:val="26"/>
      </w:numPr>
    </w:pPr>
  </w:style>
  <w:style w:type="paragraph" w:customStyle="1" w:styleId="Tiret3">
    <w:name w:val="Tiret 3"/>
    <w:basedOn w:val="Point3"/>
    <w:rsid w:val="009B7138"/>
    <w:pPr>
      <w:numPr>
        <w:numId w:val="27"/>
      </w:numPr>
    </w:pPr>
  </w:style>
  <w:style w:type="paragraph" w:customStyle="1" w:styleId="Tiret4">
    <w:name w:val="Tiret 4"/>
    <w:basedOn w:val="Point4"/>
    <w:rsid w:val="009B7138"/>
    <w:pPr>
      <w:numPr>
        <w:numId w:val="2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44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44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44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44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6E4A62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3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9B7138"/>
    <w:pPr>
      <w:numPr>
        <w:numId w:val="32"/>
      </w:numPr>
    </w:pPr>
  </w:style>
  <w:style w:type="paragraph" w:customStyle="1" w:styleId="Bullet1">
    <w:name w:val="Bullet 1"/>
    <w:basedOn w:val="Normal"/>
    <w:rsid w:val="009B7138"/>
    <w:pPr>
      <w:numPr>
        <w:numId w:val="33"/>
      </w:numPr>
    </w:pPr>
  </w:style>
  <w:style w:type="paragraph" w:customStyle="1" w:styleId="Bullet2">
    <w:name w:val="Bullet 2"/>
    <w:basedOn w:val="Normal"/>
    <w:rsid w:val="009B7138"/>
    <w:pPr>
      <w:numPr>
        <w:numId w:val="34"/>
      </w:numPr>
    </w:pPr>
  </w:style>
  <w:style w:type="paragraph" w:customStyle="1" w:styleId="Bullet3">
    <w:name w:val="Bullet 3"/>
    <w:basedOn w:val="Normal"/>
    <w:rsid w:val="009B7138"/>
    <w:pPr>
      <w:numPr>
        <w:numId w:val="35"/>
      </w:numPr>
    </w:pPr>
  </w:style>
  <w:style w:type="paragraph" w:customStyle="1" w:styleId="Bullet4">
    <w:name w:val="Bullet 4"/>
    <w:basedOn w:val="Normal"/>
    <w:rsid w:val="009B7138"/>
    <w:pPr>
      <w:numPr>
        <w:numId w:val="3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71ED0"/>
    <w:rPr>
      <w:rFonts w:ascii="Times New Roman" w:eastAsiaTheme="majorEastAsia" w:hAnsi="Times New Roman" w:cs="Times New Roman"/>
      <w:sz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ED0"/>
    <w:rPr>
      <w:rFonts w:ascii="Times New Roman" w:eastAsiaTheme="majorEastAsia" w:hAnsi="Times New Roman" w:cs="Times New Roman"/>
      <w:iCs/>
      <w:sz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ED0"/>
    <w:rPr>
      <w:rFonts w:ascii="Times New Roman" w:eastAsiaTheme="majorEastAsia" w:hAnsi="Times New Roman" w:cs="Times New Roman"/>
      <w:iCs/>
      <w:sz w:val="24"/>
      <w:lang w:val="hr-HR"/>
    </w:rPr>
  </w:style>
  <w:style w:type="paragraph" w:customStyle="1" w:styleId="ManualHeading5">
    <w:name w:val="Manual Heading 5"/>
    <w:basedOn w:val="Normal"/>
    <w:next w:val="Text2"/>
    <w:rsid w:val="00671ED0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671ED0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671ED0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671ED0"/>
    <w:pPr>
      <w:ind w:left="3118"/>
    </w:pPr>
  </w:style>
  <w:style w:type="paragraph" w:customStyle="1" w:styleId="Text6">
    <w:name w:val="Text 6"/>
    <w:basedOn w:val="Normal"/>
    <w:rsid w:val="00671ED0"/>
    <w:pPr>
      <w:ind w:left="3685"/>
    </w:pPr>
  </w:style>
  <w:style w:type="paragraph" w:customStyle="1" w:styleId="Point5">
    <w:name w:val="Point 5"/>
    <w:basedOn w:val="Normal"/>
    <w:rsid w:val="00671ED0"/>
    <w:pPr>
      <w:ind w:left="3685" w:hanging="567"/>
    </w:pPr>
  </w:style>
  <w:style w:type="paragraph" w:customStyle="1" w:styleId="Tiret5">
    <w:name w:val="Tiret 5"/>
    <w:basedOn w:val="Point5"/>
    <w:rsid w:val="00671ED0"/>
    <w:pPr>
      <w:numPr>
        <w:numId w:val="41"/>
      </w:numPr>
    </w:pPr>
  </w:style>
  <w:style w:type="paragraph" w:customStyle="1" w:styleId="NumPar5">
    <w:name w:val="NumPar 5"/>
    <w:basedOn w:val="Normal"/>
    <w:next w:val="Text2"/>
    <w:rsid w:val="00671ED0"/>
    <w:pPr>
      <w:numPr>
        <w:ilvl w:val="4"/>
        <w:numId w:val="44"/>
      </w:numPr>
    </w:pPr>
  </w:style>
  <w:style w:type="paragraph" w:customStyle="1" w:styleId="NumPar6">
    <w:name w:val="NumPar 6"/>
    <w:basedOn w:val="Normal"/>
    <w:next w:val="Text2"/>
    <w:rsid w:val="00671ED0"/>
    <w:pPr>
      <w:numPr>
        <w:ilvl w:val="5"/>
        <w:numId w:val="44"/>
      </w:numPr>
    </w:pPr>
  </w:style>
  <w:style w:type="paragraph" w:customStyle="1" w:styleId="NumPar7">
    <w:name w:val="NumPar 7"/>
    <w:basedOn w:val="Normal"/>
    <w:next w:val="Text2"/>
    <w:rsid w:val="00671ED0"/>
    <w:pPr>
      <w:numPr>
        <w:ilvl w:val="6"/>
        <w:numId w:val="44"/>
      </w:numPr>
    </w:pPr>
  </w:style>
  <w:style w:type="paragraph" w:customStyle="1" w:styleId="ManualNumPar5">
    <w:name w:val="Manual NumPar 5"/>
    <w:basedOn w:val="Normal"/>
    <w:next w:val="Text2"/>
    <w:rsid w:val="00671ED0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671ED0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671ED0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AFC18838DFC5594A8C4C39FB99B0A7E5" ma:contentTypeVersion="0" ma:contentTypeDescription="Create a new document in this library." ma:contentTypeScope="" ma:versionID="e1f2c132d1f8817ca6bc114585c1e621">
  <xsd:schema xmlns:xsd="http://www.w3.org/2001/XMLSchema" xmlns:xs="http://www.w3.org/2001/XMLSchema" xmlns:p="http://schemas.microsoft.com/office/2006/metadata/properties" xmlns:ns2="http://schemas.microsoft.com/sharepoint/v3/fields" xmlns:ns3="dc8a0960-67d3-484a-bce9-86574ea0ba84" targetNamespace="http://schemas.microsoft.com/office/2006/metadata/properties" ma:root="true" ma:fieldsID="dde22bff10c28eac2c2c36a2570375bf" ns2:_="" ns3:_="">
    <xsd:import namespace="http://schemas.microsoft.com/sharepoint/v3/fields"/>
    <xsd:import namespace="dc8a0960-67d3-484a-bce9-86574ea0ba84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a0960-67d3-484a-bce9-86574ea0ba8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dc8a0960-67d3-484a-bce9-86574ea0ba84">Not Started</EC_Collab_Status>
    <_Status xmlns="http://schemas.microsoft.com/sharepoint/v3/fields">Not Started</_Status>
    <EC_Collab_Reference xmlns="dc8a0960-67d3-484a-bce9-86574ea0ba84" xsi:nil="true"/>
    <EC_Collab_DocumentLanguage xmlns="dc8a0960-67d3-484a-bce9-86574ea0ba84">EN</EC_Collab_Document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A0A5-30DB-4EDF-A320-812A18A7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c8a0960-67d3-484a-bce9-86574ea0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CADF8-212F-4173-B09F-81A731C59C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8a0960-67d3-484a-bce9-86574ea0ba84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6292F9-0831-41A1-BB98-0D04476BB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71C78-2BF7-4E8D-B4C3-28205AC1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8</Pages>
  <Words>1959</Words>
  <Characters>12073</Characters>
  <Application>Microsoft Office Word</Application>
  <DocSecurity>0</DocSecurity>
  <Lines>211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39</cp:revision>
  <dcterms:created xsi:type="dcterms:W3CDTF">2022-02-09T11:33:00Z</dcterms:created>
  <dcterms:modified xsi:type="dcterms:W3CDTF">2022-02-10T08:49:00Z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ContentTypeId">
    <vt:lpwstr>0x010100258AA79CEB83498886A3A0868112325000AFC18838DFC5594A8C4C39FB99B0A7E5</vt:lpwstr>
  </property>
  <property fmtid="{D5CDD505-2E9C-101B-9397-08002B2CF9AE}" pid="11" name="DQCStatus">
    <vt:lpwstr>Green (DQC version 03)</vt:lpwstr>
  </property>
</Properties>
</file>