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50626" w14:textId="4622E75A" w:rsidR="00BC1FA7" w:rsidRDefault="008A6239" w:rsidP="00DB15B8">
      <w:pPr>
        <w:pStyle w:val="Pagedecouverture"/>
        <w:rPr>
          <w:noProof/>
        </w:rPr>
      </w:pPr>
      <w:bookmarkStart w:id="0" w:name="LW_BM_COVERPAGE"/>
      <w:r>
        <w:rPr>
          <w:noProof/>
        </w:rPr>
        <w:pict w14:anchorId="1928F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4146574-9529-40CF-9660-EF0944B6473D" style="width:455.15pt;height:544pt">
            <v:imagedata r:id="rId11" o:title=""/>
          </v:shape>
        </w:pict>
      </w:r>
    </w:p>
    <w:bookmarkEnd w:id="0"/>
    <w:p w14:paraId="043A9154" w14:textId="77777777" w:rsidR="00BC1FA7" w:rsidRDefault="00BC1FA7" w:rsidP="00BC1FA7">
      <w:pPr>
        <w:rPr>
          <w:noProof/>
        </w:rPr>
        <w:sectPr w:rsidR="00BC1FA7" w:rsidSect="00DB15B8">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3735CF94" w14:textId="77777777" w:rsidR="00244E6A" w:rsidRPr="007C1494" w:rsidRDefault="00244E6A" w:rsidP="00244E6A">
      <w:pPr>
        <w:pStyle w:val="TOCHeading"/>
        <w:rPr>
          <w:noProof/>
          <w:sz w:val="28"/>
          <w:szCs w:val="28"/>
        </w:rPr>
      </w:pPr>
      <w:r w:rsidRPr="007C1494">
        <w:rPr>
          <w:noProof/>
          <w:sz w:val="28"/>
          <w:szCs w:val="28"/>
        </w:rPr>
        <w:lastRenderedPageBreak/>
        <w:t>Table of contents</w:t>
      </w:r>
    </w:p>
    <w:p w14:paraId="420F19F1" w14:textId="77777777" w:rsidR="00476B39" w:rsidRPr="007C1494" w:rsidRDefault="00476B39">
      <w:pPr>
        <w:rPr>
          <w:b/>
          <w:noProof/>
          <w:sz w:val="28"/>
          <w:szCs w:val="28"/>
        </w:rPr>
      </w:pPr>
    </w:p>
    <w:sdt>
      <w:sdtPr>
        <w:rPr>
          <w:b w:val="0"/>
          <w:caps/>
          <w:noProof/>
          <w:sz w:val="20"/>
        </w:rPr>
        <w:id w:val="-1675950259"/>
        <w:docPartObj>
          <w:docPartGallery w:val="Table of Contents"/>
          <w:docPartUnique/>
        </w:docPartObj>
      </w:sdtPr>
      <w:sdtEndPr>
        <w:rPr>
          <w:bCs/>
        </w:rPr>
      </w:sdtEndPr>
      <w:sdtContent>
        <w:p w14:paraId="614D66C1" w14:textId="344F2E68" w:rsidR="00476B39" w:rsidRPr="007C1494" w:rsidRDefault="00476B39">
          <w:pPr>
            <w:pStyle w:val="TOCHeading"/>
            <w:rPr>
              <w:noProof/>
            </w:rPr>
          </w:pPr>
          <w:r w:rsidRPr="007C1494">
            <w:rPr>
              <w:noProof/>
            </w:rPr>
            <w:t>Contents</w:t>
          </w:r>
        </w:p>
        <w:p w14:paraId="3D4EEEA6" w14:textId="70FF1FB9" w:rsidR="0021755A" w:rsidRPr="00A313D7" w:rsidRDefault="00D72AFD">
          <w:pPr>
            <w:pStyle w:val="TOC1"/>
            <w:rPr>
              <w:rFonts w:asciiTheme="minorHAnsi" w:eastAsiaTheme="minorEastAsia" w:hAnsiTheme="minorHAnsi" w:cstheme="minorBidi"/>
              <w:caps w:val="0"/>
              <w:noProof/>
              <w:sz w:val="24"/>
              <w:szCs w:val="24"/>
              <w:lang w:eastAsia="zh-CN"/>
            </w:rPr>
          </w:pPr>
          <w:r w:rsidRPr="007C1494">
            <w:rPr>
              <w:noProof/>
            </w:rPr>
            <w:fldChar w:fldCharType="begin"/>
          </w:r>
          <w:r w:rsidRPr="007C1494">
            <w:rPr>
              <w:noProof/>
            </w:rPr>
            <w:instrText xml:space="preserve"> TOC \o "1-3" \h \z \u </w:instrText>
          </w:r>
          <w:r w:rsidRPr="007C1494">
            <w:rPr>
              <w:noProof/>
            </w:rPr>
            <w:fldChar w:fldCharType="separate"/>
          </w:r>
          <w:hyperlink w:anchor="_Toc84591885" w:history="1">
            <w:r w:rsidR="0021755A" w:rsidRPr="00A313D7">
              <w:rPr>
                <w:rStyle w:val="Hyperlink"/>
                <w:noProof/>
                <w:sz w:val="24"/>
                <w:szCs w:val="24"/>
              </w:rPr>
              <w:t>1</w:t>
            </w:r>
            <w:r w:rsidR="0021755A" w:rsidRPr="00A313D7">
              <w:rPr>
                <w:rFonts w:asciiTheme="minorHAnsi" w:eastAsiaTheme="minorEastAsia" w:hAnsiTheme="minorHAnsi" w:cstheme="minorBidi"/>
                <w:caps w:val="0"/>
                <w:noProof/>
                <w:sz w:val="24"/>
                <w:szCs w:val="24"/>
                <w:lang w:eastAsia="zh-CN"/>
              </w:rPr>
              <w:tab/>
            </w:r>
            <w:r w:rsidR="0021755A" w:rsidRPr="00A313D7">
              <w:rPr>
                <w:rStyle w:val="Hyperlink"/>
                <w:noProof/>
                <w:sz w:val="24"/>
                <w:szCs w:val="24"/>
              </w:rPr>
              <w:t>Introduction: Political and legal context</w:t>
            </w:r>
            <w:r w:rsidR="0021755A" w:rsidRPr="00A313D7">
              <w:rPr>
                <w:noProof/>
                <w:webHidden/>
                <w:sz w:val="24"/>
                <w:szCs w:val="24"/>
              </w:rPr>
              <w:tab/>
            </w:r>
            <w:r w:rsidR="0021755A" w:rsidRPr="00A313D7">
              <w:rPr>
                <w:noProof/>
                <w:webHidden/>
                <w:sz w:val="24"/>
                <w:szCs w:val="24"/>
              </w:rPr>
              <w:fldChar w:fldCharType="begin"/>
            </w:r>
            <w:r w:rsidR="0021755A" w:rsidRPr="00A313D7">
              <w:rPr>
                <w:noProof/>
                <w:webHidden/>
                <w:sz w:val="24"/>
                <w:szCs w:val="24"/>
              </w:rPr>
              <w:instrText xml:space="preserve"> PAGEREF _Toc84591885 \h </w:instrText>
            </w:r>
            <w:r w:rsidR="0021755A" w:rsidRPr="00A313D7">
              <w:rPr>
                <w:noProof/>
                <w:webHidden/>
                <w:sz w:val="24"/>
                <w:szCs w:val="24"/>
              </w:rPr>
            </w:r>
            <w:r w:rsidR="0021755A" w:rsidRPr="00A313D7">
              <w:rPr>
                <w:noProof/>
                <w:webHidden/>
                <w:sz w:val="24"/>
                <w:szCs w:val="24"/>
              </w:rPr>
              <w:fldChar w:fldCharType="separate"/>
            </w:r>
            <w:r w:rsidR="008A6239">
              <w:rPr>
                <w:noProof/>
                <w:webHidden/>
                <w:sz w:val="24"/>
                <w:szCs w:val="24"/>
              </w:rPr>
              <w:t>5</w:t>
            </w:r>
            <w:r w:rsidR="0021755A" w:rsidRPr="00A313D7">
              <w:rPr>
                <w:noProof/>
                <w:webHidden/>
                <w:sz w:val="24"/>
                <w:szCs w:val="24"/>
              </w:rPr>
              <w:fldChar w:fldCharType="end"/>
            </w:r>
          </w:hyperlink>
        </w:p>
        <w:p w14:paraId="18263551" w14:textId="16B0C0C8" w:rsidR="0021755A" w:rsidRPr="00A313D7" w:rsidRDefault="008A6239">
          <w:pPr>
            <w:pStyle w:val="TOC2"/>
            <w:tabs>
              <w:tab w:val="left" w:pos="1077"/>
            </w:tabs>
            <w:rPr>
              <w:rFonts w:asciiTheme="minorHAnsi" w:eastAsiaTheme="minorEastAsia" w:hAnsiTheme="minorHAnsi" w:cstheme="minorBidi"/>
              <w:noProof/>
              <w:szCs w:val="24"/>
              <w:lang w:eastAsia="zh-CN"/>
            </w:rPr>
          </w:pPr>
          <w:hyperlink w:anchor="_Toc84591886" w:history="1">
            <w:r w:rsidR="0021755A" w:rsidRPr="00A313D7">
              <w:rPr>
                <w:rStyle w:val="Hyperlink"/>
                <w:noProof/>
                <w:szCs w:val="24"/>
              </w:rPr>
              <w:t>1.1</w:t>
            </w:r>
            <w:r w:rsidR="0021755A" w:rsidRPr="00A313D7">
              <w:rPr>
                <w:rFonts w:asciiTheme="minorHAnsi" w:eastAsiaTheme="minorEastAsia" w:hAnsiTheme="minorHAnsi" w:cstheme="minorBidi"/>
                <w:noProof/>
                <w:szCs w:val="24"/>
                <w:lang w:eastAsia="zh-CN"/>
              </w:rPr>
              <w:tab/>
            </w:r>
            <w:r w:rsidR="0021755A" w:rsidRPr="00A313D7">
              <w:rPr>
                <w:rStyle w:val="Hyperlink"/>
                <w:noProof/>
                <w:szCs w:val="24"/>
              </w:rPr>
              <w:t>EU context</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_Toc84591886 \h </w:instrText>
            </w:r>
            <w:r w:rsidR="0021755A" w:rsidRPr="00A313D7">
              <w:rPr>
                <w:noProof/>
                <w:webHidden/>
                <w:szCs w:val="24"/>
              </w:rPr>
            </w:r>
            <w:r w:rsidR="0021755A" w:rsidRPr="00A313D7">
              <w:rPr>
                <w:noProof/>
                <w:webHidden/>
                <w:szCs w:val="24"/>
              </w:rPr>
              <w:fldChar w:fldCharType="separate"/>
            </w:r>
            <w:r>
              <w:rPr>
                <w:noProof/>
                <w:webHidden/>
                <w:szCs w:val="24"/>
              </w:rPr>
              <w:t>7</w:t>
            </w:r>
            <w:r w:rsidR="0021755A" w:rsidRPr="00A313D7">
              <w:rPr>
                <w:noProof/>
                <w:webHidden/>
                <w:szCs w:val="24"/>
              </w:rPr>
              <w:fldChar w:fldCharType="end"/>
            </w:r>
          </w:hyperlink>
        </w:p>
        <w:p w14:paraId="0CD82431" w14:textId="2B8A9B83" w:rsidR="0021755A" w:rsidRPr="00A313D7" w:rsidRDefault="008A6239">
          <w:pPr>
            <w:pStyle w:val="TOC2"/>
            <w:tabs>
              <w:tab w:val="left" w:pos="1077"/>
            </w:tabs>
            <w:rPr>
              <w:rFonts w:asciiTheme="minorHAnsi" w:eastAsiaTheme="minorEastAsia" w:hAnsiTheme="minorHAnsi" w:cstheme="minorBidi"/>
              <w:noProof/>
              <w:szCs w:val="24"/>
              <w:lang w:eastAsia="zh-CN"/>
            </w:rPr>
          </w:pPr>
          <w:hyperlink w:anchor="_Toc84591887" w:history="1">
            <w:r w:rsidR="0021755A" w:rsidRPr="00A313D7">
              <w:rPr>
                <w:rStyle w:val="Hyperlink"/>
                <w:noProof/>
                <w:szCs w:val="24"/>
              </w:rPr>
              <w:t>1.2</w:t>
            </w:r>
            <w:r w:rsidR="0021755A" w:rsidRPr="00A313D7">
              <w:rPr>
                <w:rFonts w:asciiTheme="minorHAnsi" w:eastAsiaTheme="minorEastAsia" w:hAnsiTheme="minorHAnsi" w:cstheme="minorBidi"/>
                <w:noProof/>
                <w:szCs w:val="24"/>
                <w:lang w:eastAsia="zh-CN"/>
              </w:rPr>
              <w:tab/>
            </w:r>
            <w:r w:rsidR="0021755A" w:rsidRPr="00A313D7">
              <w:rPr>
                <w:rStyle w:val="Hyperlink"/>
                <w:noProof/>
                <w:szCs w:val="24"/>
              </w:rPr>
              <w:t>International and national context</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_Toc84591887 \h </w:instrText>
            </w:r>
            <w:r w:rsidR="0021755A" w:rsidRPr="00A313D7">
              <w:rPr>
                <w:noProof/>
                <w:webHidden/>
                <w:szCs w:val="24"/>
              </w:rPr>
            </w:r>
            <w:r w:rsidR="0021755A" w:rsidRPr="00A313D7">
              <w:rPr>
                <w:noProof/>
                <w:webHidden/>
                <w:szCs w:val="24"/>
              </w:rPr>
              <w:fldChar w:fldCharType="separate"/>
            </w:r>
            <w:r>
              <w:rPr>
                <w:noProof/>
                <w:webHidden/>
                <w:szCs w:val="24"/>
              </w:rPr>
              <w:t>9</w:t>
            </w:r>
            <w:r w:rsidR="0021755A" w:rsidRPr="00A313D7">
              <w:rPr>
                <w:noProof/>
                <w:webHidden/>
                <w:szCs w:val="24"/>
              </w:rPr>
              <w:fldChar w:fldCharType="end"/>
            </w:r>
          </w:hyperlink>
        </w:p>
        <w:p w14:paraId="5AF13561" w14:textId="136513F4" w:rsidR="0021755A" w:rsidRPr="00A313D7" w:rsidRDefault="008A6239">
          <w:pPr>
            <w:pStyle w:val="TOC1"/>
            <w:rPr>
              <w:rFonts w:asciiTheme="minorHAnsi" w:eastAsiaTheme="minorEastAsia" w:hAnsiTheme="minorHAnsi" w:cstheme="minorBidi"/>
              <w:caps w:val="0"/>
              <w:noProof/>
              <w:sz w:val="24"/>
              <w:szCs w:val="24"/>
              <w:lang w:eastAsia="zh-CN"/>
            </w:rPr>
          </w:pPr>
          <w:hyperlink w:anchor="_Toc84591888" w:history="1">
            <w:r w:rsidR="0021755A" w:rsidRPr="00A313D7">
              <w:rPr>
                <w:rStyle w:val="Hyperlink"/>
                <w:noProof/>
                <w:sz w:val="24"/>
                <w:szCs w:val="24"/>
              </w:rPr>
              <w:t>2</w:t>
            </w:r>
            <w:r w:rsidR="0021755A" w:rsidRPr="00A313D7">
              <w:rPr>
                <w:rFonts w:asciiTheme="minorHAnsi" w:eastAsiaTheme="minorEastAsia" w:hAnsiTheme="minorHAnsi" w:cstheme="minorBidi"/>
                <w:caps w:val="0"/>
                <w:noProof/>
                <w:sz w:val="24"/>
                <w:szCs w:val="24"/>
                <w:lang w:eastAsia="zh-CN"/>
              </w:rPr>
              <w:tab/>
            </w:r>
            <w:r w:rsidR="0021755A" w:rsidRPr="00A313D7">
              <w:rPr>
                <w:rStyle w:val="Hyperlink"/>
                <w:noProof/>
                <w:sz w:val="24"/>
                <w:szCs w:val="24"/>
              </w:rPr>
              <w:t>Problem definition</w:t>
            </w:r>
            <w:r w:rsidR="0021755A" w:rsidRPr="00A313D7">
              <w:rPr>
                <w:noProof/>
                <w:webHidden/>
                <w:sz w:val="24"/>
                <w:szCs w:val="24"/>
              </w:rPr>
              <w:tab/>
            </w:r>
            <w:r w:rsidR="0021755A" w:rsidRPr="00A313D7">
              <w:rPr>
                <w:noProof/>
                <w:webHidden/>
                <w:sz w:val="24"/>
                <w:szCs w:val="24"/>
              </w:rPr>
              <w:fldChar w:fldCharType="begin"/>
            </w:r>
            <w:r w:rsidR="0021755A" w:rsidRPr="00A313D7">
              <w:rPr>
                <w:noProof/>
                <w:webHidden/>
                <w:sz w:val="24"/>
                <w:szCs w:val="24"/>
              </w:rPr>
              <w:instrText xml:space="preserve"> PAGEREF _Toc84591888 \h </w:instrText>
            </w:r>
            <w:r w:rsidR="0021755A" w:rsidRPr="00A313D7">
              <w:rPr>
                <w:noProof/>
                <w:webHidden/>
                <w:sz w:val="24"/>
                <w:szCs w:val="24"/>
              </w:rPr>
            </w:r>
            <w:r w:rsidR="0021755A" w:rsidRPr="00A313D7">
              <w:rPr>
                <w:noProof/>
                <w:webHidden/>
                <w:sz w:val="24"/>
                <w:szCs w:val="24"/>
              </w:rPr>
              <w:fldChar w:fldCharType="separate"/>
            </w:r>
            <w:r>
              <w:rPr>
                <w:noProof/>
                <w:webHidden/>
                <w:sz w:val="24"/>
                <w:szCs w:val="24"/>
              </w:rPr>
              <w:t>10</w:t>
            </w:r>
            <w:r w:rsidR="0021755A" w:rsidRPr="00A313D7">
              <w:rPr>
                <w:noProof/>
                <w:webHidden/>
                <w:sz w:val="24"/>
                <w:szCs w:val="24"/>
              </w:rPr>
              <w:fldChar w:fldCharType="end"/>
            </w:r>
          </w:hyperlink>
        </w:p>
        <w:p w14:paraId="7299B250" w14:textId="7432C54C" w:rsidR="0021755A" w:rsidRPr="00A313D7" w:rsidRDefault="008A6239">
          <w:pPr>
            <w:pStyle w:val="TOC2"/>
            <w:tabs>
              <w:tab w:val="left" w:pos="1077"/>
            </w:tabs>
            <w:rPr>
              <w:rFonts w:asciiTheme="minorHAnsi" w:eastAsiaTheme="minorEastAsia" w:hAnsiTheme="minorHAnsi" w:cstheme="minorBidi"/>
              <w:noProof/>
              <w:szCs w:val="24"/>
              <w:lang w:eastAsia="zh-CN"/>
            </w:rPr>
          </w:pPr>
          <w:hyperlink w:anchor="_Toc84591889" w:history="1">
            <w:r w:rsidR="0021755A" w:rsidRPr="00A313D7">
              <w:rPr>
                <w:rStyle w:val="Hyperlink"/>
                <w:noProof/>
                <w:szCs w:val="24"/>
              </w:rPr>
              <w:t>2.1</w:t>
            </w:r>
            <w:r w:rsidR="0021755A" w:rsidRPr="00A313D7">
              <w:rPr>
                <w:rFonts w:asciiTheme="minorHAnsi" w:eastAsiaTheme="minorEastAsia" w:hAnsiTheme="minorHAnsi" w:cstheme="minorBidi"/>
                <w:noProof/>
                <w:szCs w:val="24"/>
                <w:lang w:eastAsia="zh-CN"/>
              </w:rPr>
              <w:tab/>
            </w:r>
            <w:r w:rsidR="0021755A" w:rsidRPr="00A313D7">
              <w:rPr>
                <w:rStyle w:val="Hyperlink"/>
                <w:noProof/>
                <w:szCs w:val="24"/>
              </w:rPr>
              <w:t>What is/are the problems?</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_Toc84591889 \h </w:instrText>
            </w:r>
            <w:r w:rsidR="0021755A" w:rsidRPr="00A313D7">
              <w:rPr>
                <w:noProof/>
                <w:webHidden/>
                <w:szCs w:val="24"/>
              </w:rPr>
            </w:r>
            <w:r w:rsidR="0021755A" w:rsidRPr="00A313D7">
              <w:rPr>
                <w:noProof/>
                <w:webHidden/>
                <w:szCs w:val="24"/>
              </w:rPr>
              <w:fldChar w:fldCharType="separate"/>
            </w:r>
            <w:r>
              <w:rPr>
                <w:noProof/>
                <w:webHidden/>
                <w:szCs w:val="24"/>
              </w:rPr>
              <w:t>10</w:t>
            </w:r>
            <w:r w:rsidR="0021755A" w:rsidRPr="00A313D7">
              <w:rPr>
                <w:noProof/>
                <w:webHidden/>
                <w:szCs w:val="24"/>
              </w:rPr>
              <w:fldChar w:fldCharType="end"/>
            </w:r>
          </w:hyperlink>
        </w:p>
        <w:p w14:paraId="0D5A8C5E" w14:textId="28EE1684" w:rsidR="0021755A" w:rsidRPr="00A313D7" w:rsidRDefault="008A6239">
          <w:pPr>
            <w:pStyle w:val="TOC2"/>
            <w:tabs>
              <w:tab w:val="left" w:pos="1077"/>
            </w:tabs>
            <w:rPr>
              <w:rFonts w:asciiTheme="minorHAnsi" w:eastAsiaTheme="minorEastAsia" w:hAnsiTheme="minorHAnsi" w:cstheme="minorBidi"/>
              <w:noProof/>
              <w:szCs w:val="24"/>
              <w:lang w:eastAsia="zh-CN"/>
            </w:rPr>
          </w:pPr>
          <w:hyperlink w:anchor="_Toc84591890" w:history="1">
            <w:r w:rsidR="0021755A" w:rsidRPr="00A313D7">
              <w:rPr>
                <w:rStyle w:val="Hyperlink"/>
                <w:noProof/>
                <w:szCs w:val="24"/>
              </w:rPr>
              <w:t>2.2</w:t>
            </w:r>
            <w:r w:rsidR="0021755A" w:rsidRPr="00A313D7">
              <w:rPr>
                <w:rFonts w:asciiTheme="minorHAnsi" w:eastAsiaTheme="minorEastAsia" w:hAnsiTheme="minorHAnsi" w:cstheme="minorBidi"/>
                <w:noProof/>
                <w:szCs w:val="24"/>
                <w:lang w:eastAsia="zh-CN"/>
              </w:rPr>
              <w:tab/>
            </w:r>
            <w:r w:rsidR="0021755A" w:rsidRPr="00A313D7">
              <w:rPr>
                <w:rStyle w:val="Hyperlink"/>
                <w:noProof/>
                <w:szCs w:val="24"/>
              </w:rPr>
              <w:t>Who is affected by the problem?</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_Toc84591890 \h </w:instrText>
            </w:r>
            <w:r w:rsidR="0021755A" w:rsidRPr="00A313D7">
              <w:rPr>
                <w:noProof/>
                <w:webHidden/>
                <w:szCs w:val="24"/>
              </w:rPr>
            </w:r>
            <w:r w:rsidR="0021755A" w:rsidRPr="00A313D7">
              <w:rPr>
                <w:noProof/>
                <w:webHidden/>
                <w:szCs w:val="24"/>
              </w:rPr>
              <w:fldChar w:fldCharType="separate"/>
            </w:r>
            <w:r>
              <w:rPr>
                <w:noProof/>
                <w:webHidden/>
                <w:szCs w:val="24"/>
              </w:rPr>
              <w:t>15</w:t>
            </w:r>
            <w:r w:rsidR="0021755A" w:rsidRPr="00A313D7">
              <w:rPr>
                <w:noProof/>
                <w:webHidden/>
                <w:szCs w:val="24"/>
              </w:rPr>
              <w:fldChar w:fldCharType="end"/>
            </w:r>
          </w:hyperlink>
        </w:p>
        <w:p w14:paraId="65C7BBCD" w14:textId="1C6F90DA" w:rsidR="0021755A" w:rsidRPr="00A313D7" w:rsidRDefault="008A6239">
          <w:pPr>
            <w:pStyle w:val="TOC2"/>
            <w:tabs>
              <w:tab w:val="left" w:pos="1077"/>
            </w:tabs>
            <w:rPr>
              <w:rFonts w:asciiTheme="minorHAnsi" w:eastAsiaTheme="minorEastAsia" w:hAnsiTheme="minorHAnsi" w:cstheme="minorBidi"/>
              <w:noProof/>
              <w:szCs w:val="24"/>
              <w:lang w:eastAsia="zh-CN"/>
            </w:rPr>
          </w:pPr>
          <w:hyperlink w:anchor="_Toc84591891" w:history="1">
            <w:r w:rsidR="0021755A" w:rsidRPr="00A313D7">
              <w:rPr>
                <w:rStyle w:val="Hyperlink"/>
                <w:noProof/>
                <w:szCs w:val="24"/>
              </w:rPr>
              <w:t>2.3</w:t>
            </w:r>
            <w:r w:rsidR="0021755A" w:rsidRPr="00A313D7">
              <w:rPr>
                <w:rFonts w:asciiTheme="minorHAnsi" w:eastAsiaTheme="minorEastAsia" w:hAnsiTheme="minorHAnsi" w:cstheme="minorBidi"/>
                <w:noProof/>
                <w:szCs w:val="24"/>
                <w:lang w:eastAsia="zh-CN"/>
              </w:rPr>
              <w:tab/>
            </w:r>
            <w:r w:rsidR="0021755A" w:rsidRPr="00A313D7">
              <w:rPr>
                <w:rStyle w:val="Hyperlink"/>
                <w:noProof/>
                <w:szCs w:val="24"/>
              </w:rPr>
              <w:t>What are the problem drivers?</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_Toc84591891 \h </w:instrText>
            </w:r>
            <w:r w:rsidR="0021755A" w:rsidRPr="00A313D7">
              <w:rPr>
                <w:noProof/>
                <w:webHidden/>
                <w:szCs w:val="24"/>
              </w:rPr>
            </w:r>
            <w:r w:rsidR="0021755A" w:rsidRPr="00A313D7">
              <w:rPr>
                <w:noProof/>
                <w:webHidden/>
                <w:szCs w:val="24"/>
              </w:rPr>
              <w:fldChar w:fldCharType="separate"/>
            </w:r>
            <w:r>
              <w:rPr>
                <w:noProof/>
                <w:webHidden/>
                <w:szCs w:val="24"/>
              </w:rPr>
              <w:t>16</w:t>
            </w:r>
            <w:r w:rsidR="0021755A" w:rsidRPr="00A313D7">
              <w:rPr>
                <w:noProof/>
                <w:webHidden/>
                <w:szCs w:val="24"/>
              </w:rPr>
              <w:fldChar w:fldCharType="end"/>
            </w:r>
          </w:hyperlink>
        </w:p>
        <w:p w14:paraId="3A7C9684" w14:textId="3F9489EB" w:rsidR="0021755A" w:rsidRPr="00A313D7" w:rsidRDefault="008A6239">
          <w:pPr>
            <w:pStyle w:val="TOC3"/>
            <w:tabs>
              <w:tab w:val="left" w:pos="1777"/>
            </w:tabs>
            <w:rPr>
              <w:rFonts w:asciiTheme="minorHAnsi" w:eastAsiaTheme="minorEastAsia" w:hAnsiTheme="minorHAnsi"/>
              <w:noProof/>
              <w:szCs w:val="24"/>
              <w:lang w:eastAsia="zh-CN"/>
            </w:rPr>
          </w:pPr>
          <w:hyperlink w:anchor="_Toc84591892" w:history="1">
            <w:r w:rsidR="0021755A" w:rsidRPr="00A313D7">
              <w:rPr>
                <w:rStyle w:val="Hyperlink"/>
                <w:b/>
                <w:bCs/>
                <w:noProof/>
                <w:szCs w:val="24"/>
              </w:rPr>
              <w:t>2.3.1</w:t>
            </w:r>
            <w:r w:rsidR="0021755A" w:rsidRPr="00A313D7">
              <w:rPr>
                <w:rFonts w:asciiTheme="minorHAnsi" w:eastAsiaTheme="minorEastAsia" w:hAnsiTheme="minorHAnsi"/>
                <w:noProof/>
                <w:szCs w:val="24"/>
                <w:lang w:eastAsia="zh-CN"/>
              </w:rPr>
              <w:tab/>
            </w:r>
            <w:r w:rsidR="0021755A" w:rsidRPr="00A313D7">
              <w:rPr>
                <w:rStyle w:val="Hyperlink"/>
                <w:noProof/>
                <w:szCs w:val="24"/>
              </w:rPr>
              <w:t>Market and regulatory failures</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_Toc84591892 \h </w:instrText>
            </w:r>
            <w:r w:rsidR="0021755A" w:rsidRPr="00A313D7">
              <w:rPr>
                <w:noProof/>
                <w:webHidden/>
                <w:szCs w:val="24"/>
              </w:rPr>
            </w:r>
            <w:r w:rsidR="0021755A" w:rsidRPr="00A313D7">
              <w:rPr>
                <w:noProof/>
                <w:webHidden/>
                <w:szCs w:val="24"/>
              </w:rPr>
              <w:fldChar w:fldCharType="separate"/>
            </w:r>
            <w:r>
              <w:rPr>
                <w:noProof/>
                <w:webHidden/>
                <w:szCs w:val="24"/>
              </w:rPr>
              <w:t>18</w:t>
            </w:r>
            <w:r w:rsidR="0021755A" w:rsidRPr="00A313D7">
              <w:rPr>
                <w:noProof/>
                <w:webHidden/>
                <w:szCs w:val="24"/>
              </w:rPr>
              <w:fldChar w:fldCharType="end"/>
            </w:r>
          </w:hyperlink>
        </w:p>
        <w:p w14:paraId="58A72722" w14:textId="7B9341A9" w:rsidR="0021755A" w:rsidRPr="00A313D7" w:rsidRDefault="008A6239">
          <w:pPr>
            <w:pStyle w:val="TOC2"/>
            <w:tabs>
              <w:tab w:val="left" w:pos="1077"/>
            </w:tabs>
            <w:rPr>
              <w:rFonts w:asciiTheme="minorHAnsi" w:eastAsiaTheme="minorEastAsia" w:hAnsiTheme="minorHAnsi" w:cstheme="minorBidi"/>
              <w:noProof/>
              <w:szCs w:val="24"/>
              <w:lang w:eastAsia="zh-CN"/>
            </w:rPr>
          </w:pPr>
          <w:hyperlink w:anchor="_Toc84591893" w:history="1">
            <w:r w:rsidR="0021755A" w:rsidRPr="00A313D7">
              <w:rPr>
                <w:rStyle w:val="Hyperlink"/>
                <w:noProof/>
                <w:szCs w:val="24"/>
              </w:rPr>
              <w:t>2.4</w:t>
            </w:r>
            <w:r w:rsidR="0021755A" w:rsidRPr="00A313D7">
              <w:rPr>
                <w:rFonts w:asciiTheme="minorHAnsi" w:eastAsiaTheme="minorEastAsia" w:hAnsiTheme="minorHAnsi" w:cstheme="minorBidi"/>
                <w:noProof/>
                <w:szCs w:val="24"/>
                <w:lang w:eastAsia="zh-CN"/>
              </w:rPr>
              <w:tab/>
            </w:r>
            <w:r w:rsidR="0021755A" w:rsidRPr="00A313D7">
              <w:rPr>
                <w:rStyle w:val="Hyperlink"/>
                <w:noProof/>
                <w:szCs w:val="24"/>
              </w:rPr>
              <w:t>How will the problem evolve?</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_Toc84591893 \h </w:instrText>
            </w:r>
            <w:r w:rsidR="0021755A" w:rsidRPr="00A313D7">
              <w:rPr>
                <w:noProof/>
                <w:webHidden/>
                <w:szCs w:val="24"/>
              </w:rPr>
            </w:r>
            <w:r w:rsidR="0021755A" w:rsidRPr="00A313D7">
              <w:rPr>
                <w:noProof/>
                <w:webHidden/>
                <w:szCs w:val="24"/>
              </w:rPr>
              <w:fldChar w:fldCharType="separate"/>
            </w:r>
            <w:r>
              <w:rPr>
                <w:noProof/>
                <w:webHidden/>
                <w:szCs w:val="24"/>
              </w:rPr>
              <w:t>21</w:t>
            </w:r>
            <w:r w:rsidR="0021755A" w:rsidRPr="00A313D7">
              <w:rPr>
                <w:noProof/>
                <w:webHidden/>
                <w:szCs w:val="24"/>
              </w:rPr>
              <w:fldChar w:fldCharType="end"/>
            </w:r>
          </w:hyperlink>
        </w:p>
        <w:p w14:paraId="1F9533BF" w14:textId="25366CC8" w:rsidR="0021755A" w:rsidRPr="00A313D7" w:rsidRDefault="008A6239">
          <w:pPr>
            <w:pStyle w:val="TOC1"/>
            <w:rPr>
              <w:rFonts w:asciiTheme="minorHAnsi" w:eastAsiaTheme="minorEastAsia" w:hAnsiTheme="minorHAnsi" w:cstheme="minorBidi"/>
              <w:caps w:val="0"/>
              <w:noProof/>
              <w:sz w:val="24"/>
              <w:szCs w:val="24"/>
              <w:lang w:eastAsia="zh-CN"/>
            </w:rPr>
          </w:pPr>
          <w:hyperlink w:anchor="_Toc84591894" w:history="1">
            <w:r w:rsidR="0021755A" w:rsidRPr="00A313D7">
              <w:rPr>
                <w:rStyle w:val="Hyperlink"/>
                <w:noProof/>
                <w:sz w:val="24"/>
                <w:szCs w:val="24"/>
              </w:rPr>
              <w:t>3</w:t>
            </w:r>
            <w:r w:rsidR="0021755A" w:rsidRPr="00A313D7">
              <w:rPr>
                <w:rFonts w:asciiTheme="minorHAnsi" w:eastAsiaTheme="minorEastAsia" w:hAnsiTheme="minorHAnsi" w:cstheme="minorBidi"/>
                <w:caps w:val="0"/>
                <w:noProof/>
                <w:sz w:val="24"/>
                <w:szCs w:val="24"/>
                <w:lang w:eastAsia="zh-CN"/>
              </w:rPr>
              <w:tab/>
            </w:r>
            <w:r w:rsidR="0021755A" w:rsidRPr="00A313D7">
              <w:rPr>
                <w:rStyle w:val="Hyperlink"/>
                <w:noProof/>
                <w:sz w:val="24"/>
                <w:szCs w:val="24"/>
              </w:rPr>
              <w:t>Why should the EU act?</w:t>
            </w:r>
            <w:r w:rsidR="0021755A" w:rsidRPr="00A313D7">
              <w:rPr>
                <w:noProof/>
                <w:webHidden/>
                <w:sz w:val="24"/>
                <w:szCs w:val="24"/>
              </w:rPr>
              <w:tab/>
            </w:r>
            <w:r w:rsidR="0021755A" w:rsidRPr="00A313D7">
              <w:rPr>
                <w:noProof/>
                <w:webHidden/>
                <w:sz w:val="24"/>
                <w:szCs w:val="24"/>
              </w:rPr>
              <w:fldChar w:fldCharType="begin"/>
            </w:r>
            <w:r w:rsidR="0021755A" w:rsidRPr="00A313D7">
              <w:rPr>
                <w:noProof/>
                <w:webHidden/>
                <w:sz w:val="24"/>
                <w:szCs w:val="24"/>
              </w:rPr>
              <w:instrText xml:space="preserve"> PAGEREF _Toc84591894 \h </w:instrText>
            </w:r>
            <w:r w:rsidR="0021755A" w:rsidRPr="00A313D7">
              <w:rPr>
                <w:noProof/>
                <w:webHidden/>
                <w:sz w:val="24"/>
                <w:szCs w:val="24"/>
              </w:rPr>
            </w:r>
            <w:r w:rsidR="0021755A" w:rsidRPr="00A313D7">
              <w:rPr>
                <w:noProof/>
                <w:webHidden/>
                <w:sz w:val="24"/>
                <w:szCs w:val="24"/>
              </w:rPr>
              <w:fldChar w:fldCharType="separate"/>
            </w:r>
            <w:r>
              <w:rPr>
                <w:noProof/>
                <w:webHidden/>
                <w:sz w:val="24"/>
                <w:szCs w:val="24"/>
              </w:rPr>
              <w:t>22</w:t>
            </w:r>
            <w:r w:rsidR="0021755A" w:rsidRPr="00A313D7">
              <w:rPr>
                <w:noProof/>
                <w:webHidden/>
                <w:sz w:val="24"/>
                <w:szCs w:val="24"/>
              </w:rPr>
              <w:fldChar w:fldCharType="end"/>
            </w:r>
          </w:hyperlink>
        </w:p>
        <w:p w14:paraId="39EEEB8C" w14:textId="260A8316" w:rsidR="0021755A" w:rsidRPr="00A313D7" w:rsidRDefault="008A6239">
          <w:pPr>
            <w:pStyle w:val="TOC2"/>
            <w:tabs>
              <w:tab w:val="left" w:pos="1077"/>
            </w:tabs>
            <w:rPr>
              <w:rFonts w:asciiTheme="minorHAnsi" w:eastAsiaTheme="minorEastAsia" w:hAnsiTheme="minorHAnsi" w:cstheme="minorBidi"/>
              <w:noProof/>
              <w:szCs w:val="24"/>
              <w:lang w:eastAsia="zh-CN"/>
            </w:rPr>
          </w:pPr>
          <w:hyperlink w:anchor="_Toc84591895" w:history="1">
            <w:r w:rsidR="0021755A" w:rsidRPr="00A313D7">
              <w:rPr>
                <w:rStyle w:val="Hyperlink"/>
                <w:noProof/>
                <w:szCs w:val="24"/>
              </w:rPr>
              <w:t>3.1</w:t>
            </w:r>
            <w:r w:rsidR="0021755A" w:rsidRPr="00A313D7">
              <w:rPr>
                <w:rFonts w:asciiTheme="minorHAnsi" w:eastAsiaTheme="minorEastAsia" w:hAnsiTheme="minorHAnsi" w:cstheme="minorBidi"/>
                <w:noProof/>
                <w:szCs w:val="24"/>
                <w:lang w:eastAsia="zh-CN"/>
              </w:rPr>
              <w:tab/>
            </w:r>
            <w:r w:rsidR="0021755A" w:rsidRPr="00A313D7">
              <w:rPr>
                <w:rStyle w:val="Hyperlink"/>
                <w:noProof/>
                <w:szCs w:val="24"/>
              </w:rPr>
              <w:t>Legal basis</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_Toc84591895 \h </w:instrText>
            </w:r>
            <w:r w:rsidR="0021755A" w:rsidRPr="00A313D7">
              <w:rPr>
                <w:noProof/>
                <w:webHidden/>
                <w:szCs w:val="24"/>
              </w:rPr>
            </w:r>
            <w:r w:rsidR="0021755A" w:rsidRPr="00A313D7">
              <w:rPr>
                <w:noProof/>
                <w:webHidden/>
                <w:szCs w:val="24"/>
              </w:rPr>
              <w:fldChar w:fldCharType="separate"/>
            </w:r>
            <w:r>
              <w:rPr>
                <w:noProof/>
                <w:webHidden/>
                <w:szCs w:val="24"/>
              </w:rPr>
              <w:t>22</w:t>
            </w:r>
            <w:r w:rsidR="0021755A" w:rsidRPr="00A313D7">
              <w:rPr>
                <w:noProof/>
                <w:webHidden/>
                <w:szCs w:val="24"/>
              </w:rPr>
              <w:fldChar w:fldCharType="end"/>
            </w:r>
          </w:hyperlink>
        </w:p>
        <w:p w14:paraId="1DCF2670" w14:textId="7E0ED39F" w:rsidR="0021755A" w:rsidRPr="00A313D7" w:rsidRDefault="008A6239">
          <w:pPr>
            <w:pStyle w:val="TOC2"/>
            <w:tabs>
              <w:tab w:val="left" w:pos="1077"/>
            </w:tabs>
            <w:rPr>
              <w:rFonts w:asciiTheme="minorHAnsi" w:eastAsiaTheme="minorEastAsia" w:hAnsiTheme="minorHAnsi" w:cstheme="minorBidi"/>
              <w:noProof/>
              <w:szCs w:val="24"/>
              <w:lang w:eastAsia="zh-CN"/>
            </w:rPr>
          </w:pPr>
          <w:hyperlink w:anchor="_Toc84591896" w:history="1">
            <w:r w:rsidR="0021755A" w:rsidRPr="00A313D7">
              <w:rPr>
                <w:rStyle w:val="Hyperlink"/>
                <w:noProof/>
                <w:szCs w:val="24"/>
              </w:rPr>
              <w:t>3.2</w:t>
            </w:r>
            <w:r w:rsidR="0021755A" w:rsidRPr="00A313D7">
              <w:rPr>
                <w:rFonts w:asciiTheme="minorHAnsi" w:eastAsiaTheme="minorEastAsia" w:hAnsiTheme="minorHAnsi" w:cstheme="minorBidi"/>
                <w:noProof/>
                <w:szCs w:val="24"/>
                <w:lang w:eastAsia="zh-CN"/>
              </w:rPr>
              <w:tab/>
            </w:r>
            <w:r w:rsidR="0021755A" w:rsidRPr="00A313D7">
              <w:rPr>
                <w:rStyle w:val="Hyperlink"/>
                <w:noProof/>
                <w:szCs w:val="24"/>
              </w:rPr>
              <w:t>Subsidiarity: Necessity of EU action</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_Toc84591896 \h </w:instrText>
            </w:r>
            <w:r w:rsidR="0021755A" w:rsidRPr="00A313D7">
              <w:rPr>
                <w:noProof/>
                <w:webHidden/>
                <w:szCs w:val="24"/>
              </w:rPr>
            </w:r>
            <w:r w:rsidR="0021755A" w:rsidRPr="00A313D7">
              <w:rPr>
                <w:noProof/>
                <w:webHidden/>
                <w:szCs w:val="24"/>
              </w:rPr>
              <w:fldChar w:fldCharType="separate"/>
            </w:r>
            <w:r>
              <w:rPr>
                <w:noProof/>
                <w:webHidden/>
                <w:szCs w:val="24"/>
              </w:rPr>
              <w:t>22</w:t>
            </w:r>
            <w:r w:rsidR="0021755A" w:rsidRPr="00A313D7">
              <w:rPr>
                <w:noProof/>
                <w:webHidden/>
                <w:szCs w:val="24"/>
              </w:rPr>
              <w:fldChar w:fldCharType="end"/>
            </w:r>
          </w:hyperlink>
        </w:p>
        <w:p w14:paraId="2F026297" w14:textId="1DB07A97" w:rsidR="0021755A" w:rsidRPr="00A313D7" w:rsidRDefault="008A6239">
          <w:pPr>
            <w:pStyle w:val="TOC2"/>
            <w:tabs>
              <w:tab w:val="left" w:pos="1077"/>
            </w:tabs>
            <w:rPr>
              <w:rFonts w:asciiTheme="minorHAnsi" w:eastAsiaTheme="minorEastAsia" w:hAnsiTheme="minorHAnsi" w:cstheme="minorBidi"/>
              <w:noProof/>
              <w:szCs w:val="24"/>
              <w:lang w:eastAsia="zh-CN"/>
            </w:rPr>
          </w:pPr>
          <w:hyperlink w:anchor="_Toc84591897" w:history="1">
            <w:r w:rsidR="0021755A" w:rsidRPr="00A313D7">
              <w:rPr>
                <w:rStyle w:val="Hyperlink"/>
                <w:noProof/>
                <w:szCs w:val="24"/>
              </w:rPr>
              <w:t>3.3</w:t>
            </w:r>
            <w:r w:rsidR="0021755A" w:rsidRPr="00A313D7">
              <w:rPr>
                <w:rFonts w:asciiTheme="minorHAnsi" w:eastAsiaTheme="minorEastAsia" w:hAnsiTheme="minorHAnsi" w:cstheme="minorBidi"/>
                <w:noProof/>
                <w:szCs w:val="24"/>
                <w:lang w:eastAsia="zh-CN"/>
              </w:rPr>
              <w:tab/>
            </w:r>
            <w:r w:rsidR="0021755A" w:rsidRPr="00A313D7">
              <w:rPr>
                <w:rStyle w:val="Hyperlink"/>
                <w:noProof/>
                <w:szCs w:val="24"/>
              </w:rPr>
              <w:t>Subsidiarity: Added value of EU action</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_Toc84591897 \h </w:instrText>
            </w:r>
            <w:r w:rsidR="0021755A" w:rsidRPr="00A313D7">
              <w:rPr>
                <w:noProof/>
                <w:webHidden/>
                <w:szCs w:val="24"/>
              </w:rPr>
            </w:r>
            <w:r w:rsidR="0021755A" w:rsidRPr="00A313D7">
              <w:rPr>
                <w:noProof/>
                <w:webHidden/>
                <w:szCs w:val="24"/>
              </w:rPr>
              <w:fldChar w:fldCharType="separate"/>
            </w:r>
            <w:r>
              <w:rPr>
                <w:noProof/>
                <w:webHidden/>
                <w:szCs w:val="24"/>
              </w:rPr>
              <w:t>22</w:t>
            </w:r>
            <w:r w:rsidR="0021755A" w:rsidRPr="00A313D7">
              <w:rPr>
                <w:noProof/>
                <w:webHidden/>
                <w:szCs w:val="24"/>
              </w:rPr>
              <w:fldChar w:fldCharType="end"/>
            </w:r>
          </w:hyperlink>
        </w:p>
        <w:p w14:paraId="098D14C6" w14:textId="16AA04D7" w:rsidR="0021755A" w:rsidRPr="00A313D7" w:rsidRDefault="008A6239">
          <w:pPr>
            <w:pStyle w:val="TOC1"/>
            <w:rPr>
              <w:rFonts w:asciiTheme="minorHAnsi" w:eastAsiaTheme="minorEastAsia" w:hAnsiTheme="minorHAnsi" w:cstheme="minorBidi"/>
              <w:caps w:val="0"/>
              <w:noProof/>
              <w:sz w:val="24"/>
              <w:szCs w:val="24"/>
              <w:lang w:eastAsia="zh-CN"/>
            </w:rPr>
          </w:pPr>
          <w:hyperlink w:anchor="_Toc84591898" w:history="1">
            <w:r w:rsidR="0021755A" w:rsidRPr="00A313D7">
              <w:rPr>
                <w:rStyle w:val="Hyperlink"/>
                <w:noProof/>
                <w:sz w:val="24"/>
                <w:szCs w:val="24"/>
              </w:rPr>
              <w:t>4</w:t>
            </w:r>
            <w:r w:rsidR="0021755A" w:rsidRPr="00A313D7">
              <w:rPr>
                <w:rFonts w:asciiTheme="minorHAnsi" w:eastAsiaTheme="minorEastAsia" w:hAnsiTheme="minorHAnsi" w:cstheme="minorBidi"/>
                <w:caps w:val="0"/>
                <w:noProof/>
                <w:sz w:val="24"/>
                <w:szCs w:val="24"/>
                <w:lang w:eastAsia="zh-CN"/>
              </w:rPr>
              <w:tab/>
            </w:r>
            <w:r w:rsidR="0021755A" w:rsidRPr="00A313D7">
              <w:rPr>
                <w:rStyle w:val="Hyperlink"/>
                <w:noProof/>
                <w:sz w:val="24"/>
                <w:szCs w:val="24"/>
              </w:rPr>
              <w:t>Objectives: What is to be achieved?</w:t>
            </w:r>
            <w:r w:rsidR="0021755A" w:rsidRPr="00A313D7">
              <w:rPr>
                <w:noProof/>
                <w:webHidden/>
                <w:sz w:val="24"/>
                <w:szCs w:val="24"/>
              </w:rPr>
              <w:tab/>
            </w:r>
            <w:r w:rsidR="0021755A" w:rsidRPr="00A313D7">
              <w:rPr>
                <w:noProof/>
                <w:webHidden/>
                <w:sz w:val="24"/>
                <w:szCs w:val="24"/>
              </w:rPr>
              <w:fldChar w:fldCharType="begin"/>
            </w:r>
            <w:r w:rsidR="0021755A" w:rsidRPr="00A313D7">
              <w:rPr>
                <w:noProof/>
                <w:webHidden/>
                <w:sz w:val="24"/>
                <w:szCs w:val="24"/>
              </w:rPr>
              <w:instrText xml:space="preserve"> PAGEREF _Toc84591898 \h </w:instrText>
            </w:r>
            <w:r w:rsidR="0021755A" w:rsidRPr="00A313D7">
              <w:rPr>
                <w:noProof/>
                <w:webHidden/>
                <w:sz w:val="24"/>
                <w:szCs w:val="24"/>
              </w:rPr>
            </w:r>
            <w:r w:rsidR="0021755A" w:rsidRPr="00A313D7">
              <w:rPr>
                <w:noProof/>
                <w:webHidden/>
                <w:sz w:val="24"/>
                <w:szCs w:val="24"/>
              </w:rPr>
              <w:fldChar w:fldCharType="separate"/>
            </w:r>
            <w:r>
              <w:rPr>
                <w:noProof/>
                <w:webHidden/>
                <w:sz w:val="24"/>
                <w:szCs w:val="24"/>
              </w:rPr>
              <w:t>23</w:t>
            </w:r>
            <w:r w:rsidR="0021755A" w:rsidRPr="00A313D7">
              <w:rPr>
                <w:noProof/>
                <w:webHidden/>
                <w:sz w:val="24"/>
                <w:szCs w:val="24"/>
              </w:rPr>
              <w:fldChar w:fldCharType="end"/>
            </w:r>
          </w:hyperlink>
        </w:p>
        <w:p w14:paraId="0462A236" w14:textId="23764BE9" w:rsidR="0021755A" w:rsidRPr="00A313D7" w:rsidRDefault="008A6239">
          <w:pPr>
            <w:pStyle w:val="TOC2"/>
            <w:tabs>
              <w:tab w:val="left" w:pos="1077"/>
            </w:tabs>
            <w:rPr>
              <w:rFonts w:asciiTheme="minorHAnsi" w:eastAsiaTheme="minorEastAsia" w:hAnsiTheme="minorHAnsi" w:cstheme="minorBidi"/>
              <w:noProof/>
              <w:szCs w:val="24"/>
              <w:lang w:eastAsia="zh-CN"/>
            </w:rPr>
          </w:pPr>
          <w:hyperlink w:anchor="_Toc84591899" w:history="1">
            <w:r w:rsidR="0021755A" w:rsidRPr="00A313D7">
              <w:rPr>
                <w:rStyle w:val="Hyperlink"/>
                <w:noProof/>
                <w:szCs w:val="24"/>
              </w:rPr>
              <w:t>4.1</w:t>
            </w:r>
            <w:r w:rsidR="0021755A" w:rsidRPr="00A313D7">
              <w:rPr>
                <w:rFonts w:asciiTheme="minorHAnsi" w:eastAsiaTheme="minorEastAsia" w:hAnsiTheme="minorHAnsi" w:cstheme="minorBidi"/>
                <w:noProof/>
                <w:szCs w:val="24"/>
                <w:lang w:eastAsia="zh-CN"/>
              </w:rPr>
              <w:tab/>
            </w:r>
            <w:r w:rsidR="0021755A" w:rsidRPr="00A313D7">
              <w:rPr>
                <w:rStyle w:val="Hyperlink"/>
                <w:noProof/>
                <w:szCs w:val="24"/>
              </w:rPr>
              <w:t>General objective</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_Toc84591899 \h </w:instrText>
            </w:r>
            <w:r w:rsidR="0021755A" w:rsidRPr="00A313D7">
              <w:rPr>
                <w:noProof/>
                <w:webHidden/>
                <w:szCs w:val="24"/>
              </w:rPr>
            </w:r>
            <w:r w:rsidR="0021755A" w:rsidRPr="00A313D7">
              <w:rPr>
                <w:noProof/>
                <w:webHidden/>
                <w:szCs w:val="24"/>
              </w:rPr>
              <w:fldChar w:fldCharType="separate"/>
            </w:r>
            <w:r>
              <w:rPr>
                <w:noProof/>
                <w:webHidden/>
                <w:szCs w:val="24"/>
              </w:rPr>
              <w:t>24</w:t>
            </w:r>
            <w:r w:rsidR="0021755A" w:rsidRPr="00A313D7">
              <w:rPr>
                <w:noProof/>
                <w:webHidden/>
                <w:szCs w:val="24"/>
              </w:rPr>
              <w:fldChar w:fldCharType="end"/>
            </w:r>
          </w:hyperlink>
        </w:p>
        <w:p w14:paraId="56F5A085" w14:textId="6E4C3268" w:rsidR="0021755A" w:rsidRPr="00A313D7" w:rsidRDefault="008A6239">
          <w:pPr>
            <w:pStyle w:val="TOC2"/>
            <w:tabs>
              <w:tab w:val="left" w:pos="1077"/>
            </w:tabs>
            <w:rPr>
              <w:rFonts w:asciiTheme="minorHAnsi" w:eastAsiaTheme="minorEastAsia" w:hAnsiTheme="minorHAnsi" w:cstheme="minorBidi"/>
              <w:noProof/>
              <w:szCs w:val="24"/>
              <w:lang w:eastAsia="zh-CN"/>
            </w:rPr>
          </w:pPr>
          <w:hyperlink w:anchor="_Toc84591900" w:history="1">
            <w:r w:rsidR="0021755A" w:rsidRPr="00A313D7">
              <w:rPr>
                <w:rStyle w:val="Hyperlink"/>
                <w:noProof/>
                <w:szCs w:val="24"/>
              </w:rPr>
              <w:t>4.2</w:t>
            </w:r>
            <w:r w:rsidR="0021755A" w:rsidRPr="00A313D7">
              <w:rPr>
                <w:rFonts w:asciiTheme="minorHAnsi" w:eastAsiaTheme="minorEastAsia" w:hAnsiTheme="minorHAnsi" w:cstheme="minorBidi"/>
                <w:noProof/>
                <w:szCs w:val="24"/>
                <w:lang w:eastAsia="zh-CN"/>
              </w:rPr>
              <w:tab/>
            </w:r>
            <w:r w:rsidR="0021755A" w:rsidRPr="00A313D7">
              <w:rPr>
                <w:rStyle w:val="Hyperlink"/>
                <w:noProof/>
                <w:szCs w:val="24"/>
              </w:rPr>
              <w:t>Specific objectives</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_Toc84591900 \h </w:instrText>
            </w:r>
            <w:r w:rsidR="0021755A" w:rsidRPr="00A313D7">
              <w:rPr>
                <w:noProof/>
                <w:webHidden/>
                <w:szCs w:val="24"/>
              </w:rPr>
            </w:r>
            <w:r w:rsidR="0021755A" w:rsidRPr="00A313D7">
              <w:rPr>
                <w:noProof/>
                <w:webHidden/>
                <w:szCs w:val="24"/>
              </w:rPr>
              <w:fldChar w:fldCharType="separate"/>
            </w:r>
            <w:r>
              <w:rPr>
                <w:noProof/>
                <w:webHidden/>
                <w:szCs w:val="24"/>
              </w:rPr>
              <w:t>24</w:t>
            </w:r>
            <w:r w:rsidR="0021755A" w:rsidRPr="00A313D7">
              <w:rPr>
                <w:noProof/>
                <w:webHidden/>
                <w:szCs w:val="24"/>
              </w:rPr>
              <w:fldChar w:fldCharType="end"/>
            </w:r>
          </w:hyperlink>
        </w:p>
        <w:p w14:paraId="281C0348" w14:textId="07D462B1" w:rsidR="0021755A" w:rsidRPr="00A313D7" w:rsidRDefault="008A6239">
          <w:pPr>
            <w:pStyle w:val="TOC2"/>
            <w:tabs>
              <w:tab w:val="left" w:pos="1077"/>
            </w:tabs>
            <w:rPr>
              <w:rFonts w:asciiTheme="minorHAnsi" w:eastAsiaTheme="minorEastAsia" w:hAnsiTheme="minorHAnsi" w:cstheme="minorBidi"/>
              <w:noProof/>
              <w:szCs w:val="24"/>
              <w:lang w:eastAsia="zh-CN"/>
            </w:rPr>
          </w:pPr>
          <w:hyperlink w:anchor="_Toc84591901" w:history="1">
            <w:r w:rsidR="0021755A" w:rsidRPr="00A313D7">
              <w:rPr>
                <w:rStyle w:val="Hyperlink"/>
                <w:noProof/>
                <w:szCs w:val="24"/>
              </w:rPr>
              <w:t>4.3</w:t>
            </w:r>
            <w:r w:rsidR="0021755A" w:rsidRPr="00A313D7">
              <w:rPr>
                <w:rFonts w:asciiTheme="minorHAnsi" w:eastAsiaTheme="minorEastAsia" w:hAnsiTheme="minorHAnsi" w:cstheme="minorBidi"/>
                <w:noProof/>
                <w:szCs w:val="24"/>
                <w:lang w:eastAsia="zh-CN"/>
              </w:rPr>
              <w:tab/>
            </w:r>
            <w:r w:rsidR="0021755A" w:rsidRPr="00A313D7">
              <w:rPr>
                <w:rStyle w:val="Hyperlink"/>
                <w:noProof/>
                <w:szCs w:val="24"/>
              </w:rPr>
              <w:t>Intervention logic</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_Toc84591901 \h </w:instrText>
            </w:r>
            <w:r w:rsidR="0021755A" w:rsidRPr="00A313D7">
              <w:rPr>
                <w:noProof/>
                <w:webHidden/>
                <w:szCs w:val="24"/>
              </w:rPr>
            </w:r>
            <w:r w:rsidR="0021755A" w:rsidRPr="00A313D7">
              <w:rPr>
                <w:noProof/>
                <w:webHidden/>
                <w:szCs w:val="24"/>
              </w:rPr>
              <w:fldChar w:fldCharType="separate"/>
            </w:r>
            <w:r>
              <w:rPr>
                <w:noProof/>
                <w:webHidden/>
                <w:szCs w:val="24"/>
              </w:rPr>
              <w:t>25</w:t>
            </w:r>
            <w:r w:rsidR="0021755A" w:rsidRPr="00A313D7">
              <w:rPr>
                <w:noProof/>
                <w:webHidden/>
                <w:szCs w:val="24"/>
              </w:rPr>
              <w:fldChar w:fldCharType="end"/>
            </w:r>
          </w:hyperlink>
        </w:p>
        <w:p w14:paraId="55B6A963" w14:textId="562FB26C" w:rsidR="0021755A" w:rsidRPr="00A313D7" w:rsidRDefault="008A6239">
          <w:pPr>
            <w:pStyle w:val="TOC2"/>
            <w:tabs>
              <w:tab w:val="left" w:pos="1077"/>
            </w:tabs>
            <w:rPr>
              <w:rFonts w:asciiTheme="minorHAnsi" w:eastAsiaTheme="minorEastAsia" w:hAnsiTheme="minorHAnsi" w:cstheme="minorBidi"/>
              <w:noProof/>
              <w:szCs w:val="24"/>
              <w:lang w:eastAsia="zh-CN"/>
            </w:rPr>
          </w:pPr>
          <w:hyperlink w:anchor="_Toc84591902" w:history="1">
            <w:r w:rsidR="0021755A" w:rsidRPr="00A313D7">
              <w:rPr>
                <w:rStyle w:val="Hyperlink"/>
                <w:noProof/>
                <w:szCs w:val="24"/>
              </w:rPr>
              <w:t>4.4</w:t>
            </w:r>
            <w:r w:rsidR="0021755A" w:rsidRPr="00A313D7">
              <w:rPr>
                <w:rFonts w:asciiTheme="minorHAnsi" w:eastAsiaTheme="minorEastAsia" w:hAnsiTheme="minorHAnsi" w:cstheme="minorBidi"/>
                <w:noProof/>
                <w:szCs w:val="24"/>
                <w:lang w:eastAsia="zh-CN"/>
              </w:rPr>
              <w:tab/>
            </w:r>
            <w:r w:rsidR="0021755A" w:rsidRPr="00A313D7">
              <w:rPr>
                <w:rStyle w:val="Hyperlink"/>
                <w:noProof/>
                <w:szCs w:val="24"/>
              </w:rPr>
              <w:t>Deforestation-free definition</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_Toc84591902 \h </w:instrText>
            </w:r>
            <w:r w:rsidR="0021755A" w:rsidRPr="00A313D7">
              <w:rPr>
                <w:noProof/>
                <w:webHidden/>
                <w:szCs w:val="24"/>
              </w:rPr>
            </w:r>
            <w:r w:rsidR="0021755A" w:rsidRPr="00A313D7">
              <w:rPr>
                <w:noProof/>
                <w:webHidden/>
                <w:szCs w:val="24"/>
              </w:rPr>
              <w:fldChar w:fldCharType="separate"/>
            </w:r>
            <w:r>
              <w:rPr>
                <w:noProof/>
                <w:webHidden/>
                <w:szCs w:val="24"/>
              </w:rPr>
              <w:t>25</w:t>
            </w:r>
            <w:r w:rsidR="0021755A" w:rsidRPr="00A313D7">
              <w:rPr>
                <w:noProof/>
                <w:webHidden/>
                <w:szCs w:val="24"/>
              </w:rPr>
              <w:fldChar w:fldCharType="end"/>
            </w:r>
          </w:hyperlink>
        </w:p>
        <w:p w14:paraId="5B8D18B3" w14:textId="23B0D8D6" w:rsidR="0021755A" w:rsidRPr="00A313D7" w:rsidRDefault="008A6239">
          <w:pPr>
            <w:pStyle w:val="TOC2"/>
            <w:tabs>
              <w:tab w:val="left" w:pos="1077"/>
            </w:tabs>
            <w:rPr>
              <w:rFonts w:asciiTheme="minorHAnsi" w:eastAsiaTheme="minorEastAsia" w:hAnsiTheme="minorHAnsi" w:cstheme="minorBidi"/>
              <w:noProof/>
              <w:szCs w:val="24"/>
              <w:lang w:eastAsia="zh-CN"/>
            </w:rPr>
          </w:pPr>
          <w:hyperlink w:anchor="_Toc84591903" w:history="1">
            <w:r w:rsidR="0021755A" w:rsidRPr="00A313D7">
              <w:rPr>
                <w:rStyle w:val="Hyperlink"/>
                <w:noProof/>
                <w:szCs w:val="24"/>
              </w:rPr>
              <w:t>4.5</w:t>
            </w:r>
            <w:r w:rsidR="0021755A" w:rsidRPr="00A313D7">
              <w:rPr>
                <w:rFonts w:asciiTheme="minorHAnsi" w:eastAsiaTheme="minorEastAsia" w:hAnsiTheme="minorHAnsi" w:cstheme="minorBidi"/>
                <w:noProof/>
                <w:szCs w:val="24"/>
                <w:lang w:eastAsia="zh-CN"/>
              </w:rPr>
              <w:tab/>
            </w:r>
            <w:r w:rsidR="0021755A" w:rsidRPr="00A313D7">
              <w:rPr>
                <w:rStyle w:val="Hyperlink"/>
                <w:noProof/>
                <w:szCs w:val="24"/>
              </w:rPr>
              <w:t>Cut-off date</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_Toc84591903 \h </w:instrText>
            </w:r>
            <w:r w:rsidR="0021755A" w:rsidRPr="00A313D7">
              <w:rPr>
                <w:noProof/>
                <w:webHidden/>
                <w:szCs w:val="24"/>
              </w:rPr>
            </w:r>
            <w:r w:rsidR="0021755A" w:rsidRPr="00A313D7">
              <w:rPr>
                <w:noProof/>
                <w:webHidden/>
                <w:szCs w:val="24"/>
              </w:rPr>
              <w:fldChar w:fldCharType="separate"/>
            </w:r>
            <w:r>
              <w:rPr>
                <w:noProof/>
                <w:webHidden/>
                <w:szCs w:val="24"/>
              </w:rPr>
              <w:t>29</w:t>
            </w:r>
            <w:r w:rsidR="0021755A" w:rsidRPr="00A313D7">
              <w:rPr>
                <w:noProof/>
                <w:webHidden/>
                <w:szCs w:val="24"/>
              </w:rPr>
              <w:fldChar w:fldCharType="end"/>
            </w:r>
          </w:hyperlink>
        </w:p>
        <w:p w14:paraId="4EF96DC8" w14:textId="5547B949" w:rsidR="0021755A" w:rsidRPr="00A313D7" w:rsidRDefault="008A6239">
          <w:pPr>
            <w:pStyle w:val="TOC1"/>
            <w:rPr>
              <w:rFonts w:asciiTheme="minorHAnsi" w:eastAsiaTheme="minorEastAsia" w:hAnsiTheme="minorHAnsi" w:cstheme="minorBidi"/>
              <w:caps w:val="0"/>
              <w:noProof/>
              <w:sz w:val="24"/>
              <w:szCs w:val="24"/>
              <w:lang w:eastAsia="zh-CN"/>
            </w:rPr>
          </w:pPr>
          <w:hyperlink w:anchor="_Toc84591904" w:history="1">
            <w:r w:rsidR="0021755A" w:rsidRPr="00A313D7">
              <w:rPr>
                <w:rStyle w:val="Hyperlink"/>
                <w:noProof/>
                <w:sz w:val="24"/>
                <w:szCs w:val="24"/>
              </w:rPr>
              <w:t>5</w:t>
            </w:r>
            <w:r w:rsidR="0021755A" w:rsidRPr="00A313D7">
              <w:rPr>
                <w:rFonts w:asciiTheme="minorHAnsi" w:eastAsiaTheme="minorEastAsia" w:hAnsiTheme="minorHAnsi" w:cstheme="minorBidi"/>
                <w:caps w:val="0"/>
                <w:noProof/>
                <w:sz w:val="24"/>
                <w:szCs w:val="24"/>
                <w:lang w:eastAsia="zh-CN"/>
              </w:rPr>
              <w:tab/>
            </w:r>
            <w:r w:rsidR="0021755A" w:rsidRPr="00A313D7">
              <w:rPr>
                <w:rStyle w:val="Hyperlink"/>
                <w:noProof/>
                <w:sz w:val="24"/>
                <w:szCs w:val="24"/>
              </w:rPr>
              <w:t>What are the available policy options?</w:t>
            </w:r>
            <w:r w:rsidR="0021755A" w:rsidRPr="00A313D7">
              <w:rPr>
                <w:noProof/>
                <w:webHidden/>
                <w:sz w:val="24"/>
                <w:szCs w:val="24"/>
              </w:rPr>
              <w:tab/>
            </w:r>
            <w:r w:rsidR="0021755A" w:rsidRPr="00A313D7">
              <w:rPr>
                <w:noProof/>
                <w:webHidden/>
                <w:sz w:val="24"/>
                <w:szCs w:val="24"/>
              </w:rPr>
              <w:fldChar w:fldCharType="begin"/>
            </w:r>
            <w:r w:rsidR="0021755A" w:rsidRPr="00A313D7">
              <w:rPr>
                <w:noProof/>
                <w:webHidden/>
                <w:sz w:val="24"/>
                <w:szCs w:val="24"/>
              </w:rPr>
              <w:instrText xml:space="preserve"> PAGEREF _Toc84591904 \h </w:instrText>
            </w:r>
            <w:r w:rsidR="0021755A" w:rsidRPr="00A313D7">
              <w:rPr>
                <w:noProof/>
                <w:webHidden/>
                <w:sz w:val="24"/>
                <w:szCs w:val="24"/>
              </w:rPr>
            </w:r>
            <w:r w:rsidR="0021755A" w:rsidRPr="00A313D7">
              <w:rPr>
                <w:noProof/>
                <w:webHidden/>
                <w:sz w:val="24"/>
                <w:szCs w:val="24"/>
              </w:rPr>
              <w:fldChar w:fldCharType="separate"/>
            </w:r>
            <w:r>
              <w:rPr>
                <w:noProof/>
                <w:webHidden/>
                <w:sz w:val="24"/>
                <w:szCs w:val="24"/>
              </w:rPr>
              <w:t>31</w:t>
            </w:r>
            <w:r w:rsidR="0021755A" w:rsidRPr="00A313D7">
              <w:rPr>
                <w:noProof/>
                <w:webHidden/>
                <w:sz w:val="24"/>
                <w:szCs w:val="24"/>
              </w:rPr>
              <w:fldChar w:fldCharType="end"/>
            </w:r>
          </w:hyperlink>
        </w:p>
        <w:p w14:paraId="51F57AEE" w14:textId="3991E443" w:rsidR="0021755A" w:rsidRPr="00A313D7" w:rsidRDefault="008A6239">
          <w:pPr>
            <w:pStyle w:val="TOC2"/>
            <w:tabs>
              <w:tab w:val="left" w:pos="1077"/>
            </w:tabs>
            <w:rPr>
              <w:rFonts w:asciiTheme="minorHAnsi" w:eastAsiaTheme="minorEastAsia" w:hAnsiTheme="minorHAnsi" w:cstheme="minorBidi"/>
              <w:noProof/>
              <w:szCs w:val="24"/>
              <w:lang w:eastAsia="zh-CN"/>
            </w:rPr>
          </w:pPr>
          <w:hyperlink w:anchor="_Toc84591905" w:history="1">
            <w:r w:rsidR="0021755A" w:rsidRPr="00A313D7">
              <w:rPr>
                <w:rStyle w:val="Hyperlink"/>
                <w:noProof/>
                <w:szCs w:val="24"/>
              </w:rPr>
              <w:t>5.1</w:t>
            </w:r>
            <w:r w:rsidR="0021755A" w:rsidRPr="00A313D7">
              <w:rPr>
                <w:rFonts w:asciiTheme="minorHAnsi" w:eastAsiaTheme="minorEastAsia" w:hAnsiTheme="minorHAnsi" w:cstheme="minorBidi"/>
                <w:noProof/>
                <w:szCs w:val="24"/>
                <w:lang w:eastAsia="zh-CN"/>
              </w:rPr>
              <w:tab/>
            </w:r>
            <w:r w:rsidR="0021755A" w:rsidRPr="00A313D7">
              <w:rPr>
                <w:rStyle w:val="Hyperlink"/>
                <w:noProof/>
                <w:szCs w:val="24"/>
              </w:rPr>
              <w:t>Product Scope</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_Toc84591905 \h </w:instrText>
            </w:r>
            <w:r w:rsidR="0021755A" w:rsidRPr="00A313D7">
              <w:rPr>
                <w:noProof/>
                <w:webHidden/>
                <w:szCs w:val="24"/>
              </w:rPr>
            </w:r>
            <w:r w:rsidR="0021755A" w:rsidRPr="00A313D7">
              <w:rPr>
                <w:noProof/>
                <w:webHidden/>
                <w:szCs w:val="24"/>
              </w:rPr>
              <w:fldChar w:fldCharType="separate"/>
            </w:r>
            <w:r>
              <w:rPr>
                <w:noProof/>
                <w:webHidden/>
                <w:szCs w:val="24"/>
              </w:rPr>
              <w:t>31</w:t>
            </w:r>
            <w:r w:rsidR="0021755A" w:rsidRPr="00A313D7">
              <w:rPr>
                <w:noProof/>
                <w:webHidden/>
                <w:szCs w:val="24"/>
              </w:rPr>
              <w:fldChar w:fldCharType="end"/>
            </w:r>
          </w:hyperlink>
        </w:p>
        <w:p w14:paraId="5179DE2B" w14:textId="1A711A6B" w:rsidR="0021755A" w:rsidRPr="00A313D7" w:rsidRDefault="008A6239">
          <w:pPr>
            <w:pStyle w:val="TOC2"/>
            <w:tabs>
              <w:tab w:val="left" w:pos="1077"/>
            </w:tabs>
            <w:rPr>
              <w:rFonts w:asciiTheme="minorHAnsi" w:eastAsiaTheme="minorEastAsia" w:hAnsiTheme="minorHAnsi" w:cstheme="minorBidi"/>
              <w:noProof/>
              <w:szCs w:val="24"/>
              <w:lang w:eastAsia="zh-CN"/>
            </w:rPr>
          </w:pPr>
          <w:hyperlink w:anchor="_Toc84591906" w:history="1">
            <w:r w:rsidR="0021755A" w:rsidRPr="00A313D7">
              <w:rPr>
                <w:rStyle w:val="Hyperlink"/>
                <w:noProof/>
                <w:szCs w:val="24"/>
              </w:rPr>
              <w:t>5.2</w:t>
            </w:r>
            <w:r w:rsidR="0021755A" w:rsidRPr="00A313D7">
              <w:rPr>
                <w:rFonts w:asciiTheme="minorHAnsi" w:eastAsiaTheme="minorEastAsia" w:hAnsiTheme="minorHAnsi" w:cstheme="minorBidi"/>
                <w:noProof/>
                <w:szCs w:val="24"/>
                <w:lang w:eastAsia="zh-CN"/>
              </w:rPr>
              <w:tab/>
            </w:r>
            <w:r w:rsidR="0021755A" w:rsidRPr="00A313D7">
              <w:rPr>
                <w:rStyle w:val="Hyperlink"/>
                <w:noProof/>
                <w:szCs w:val="24"/>
              </w:rPr>
              <w:t>What is the baseline from which options are assessed?</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_Toc84591906 \h </w:instrText>
            </w:r>
            <w:r w:rsidR="0021755A" w:rsidRPr="00A313D7">
              <w:rPr>
                <w:noProof/>
                <w:webHidden/>
                <w:szCs w:val="24"/>
              </w:rPr>
            </w:r>
            <w:r w:rsidR="0021755A" w:rsidRPr="00A313D7">
              <w:rPr>
                <w:noProof/>
                <w:webHidden/>
                <w:szCs w:val="24"/>
              </w:rPr>
              <w:fldChar w:fldCharType="separate"/>
            </w:r>
            <w:r>
              <w:rPr>
                <w:noProof/>
                <w:webHidden/>
                <w:szCs w:val="24"/>
              </w:rPr>
              <w:t>35</w:t>
            </w:r>
            <w:r w:rsidR="0021755A" w:rsidRPr="00A313D7">
              <w:rPr>
                <w:noProof/>
                <w:webHidden/>
                <w:szCs w:val="24"/>
              </w:rPr>
              <w:fldChar w:fldCharType="end"/>
            </w:r>
          </w:hyperlink>
        </w:p>
        <w:p w14:paraId="4B4CEC11" w14:textId="017591E9" w:rsidR="0021755A" w:rsidRPr="00A313D7" w:rsidRDefault="008A6239">
          <w:pPr>
            <w:pStyle w:val="TOC2"/>
            <w:tabs>
              <w:tab w:val="left" w:pos="1077"/>
            </w:tabs>
            <w:rPr>
              <w:rFonts w:asciiTheme="minorHAnsi" w:eastAsiaTheme="minorEastAsia" w:hAnsiTheme="minorHAnsi" w:cstheme="minorBidi"/>
              <w:noProof/>
              <w:szCs w:val="24"/>
              <w:lang w:eastAsia="zh-CN"/>
            </w:rPr>
          </w:pPr>
          <w:hyperlink w:anchor="_Toc84591907" w:history="1">
            <w:r w:rsidR="0021755A" w:rsidRPr="00A313D7">
              <w:rPr>
                <w:rStyle w:val="Hyperlink"/>
                <w:noProof/>
                <w:szCs w:val="24"/>
              </w:rPr>
              <w:t>5.3</w:t>
            </w:r>
            <w:r w:rsidR="0021755A" w:rsidRPr="00A313D7">
              <w:rPr>
                <w:rFonts w:asciiTheme="minorHAnsi" w:eastAsiaTheme="minorEastAsia" w:hAnsiTheme="minorHAnsi" w:cstheme="minorBidi"/>
                <w:noProof/>
                <w:szCs w:val="24"/>
                <w:lang w:eastAsia="zh-CN"/>
              </w:rPr>
              <w:tab/>
            </w:r>
            <w:r w:rsidR="0021755A" w:rsidRPr="00A313D7">
              <w:rPr>
                <w:rStyle w:val="Hyperlink"/>
                <w:noProof/>
                <w:szCs w:val="24"/>
              </w:rPr>
              <w:t>Description of the policy options</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_Toc84591907 \h </w:instrText>
            </w:r>
            <w:r w:rsidR="0021755A" w:rsidRPr="00A313D7">
              <w:rPr>
                <w:noProof/>
                <w:webHidden/>
                <w:szCs w:val="24"/>
              </w:rPr>
            </w:r>
            <w:r w:rsidR="0021755A" w:rsidRPr="00A313D7">
              <w:rPr>
                <w:noProof/>
                <w:webHidden/>
                <w:szCs w:val="24"/>
              </w:rPr>
              <w:fldChar w:fldCharType="separate"/>
            </w:r>
            <w:r>
              <w:rPr>
                <w:noProof/>
                <w:webHidden/>
                <w:szCs w:val="24"/>
              </w:rPr>
              <w:t>37</w:t>
            </w:r>
            <w:r w:rsidR="0021755A" w:rsidRPr="00A313D7">
              <w:rPr>
                <w:noProof/>
                <w:webHidden/>
                <w:szCs w:val="24"/>
              </w:rPr>
              <w:fldChar w:fldCharType="end"/>
            </w:r>
          </w:hyperlink>
        </w:p>
        <w:p w14:paraId="610916D9" w14:textId="460DE676" w:rsidR="0021755A" w:rsidRPr="00A313D7" w:rsidRDefault="008A6239">
          <w:pPr>
            <w:pStyle w:val="TOC3"/>
            <w:tabs>
              <w:tab w:val="left" w:pos="1777"/>
            </w:tabs>
            <w:rPr>
              <w:rFonts w:asciiTheme="minorHAnsi" w:eastAsiaTheme="minorEastAsia" w:hAnsiTheme="minorHAnsi"/>
              <w:noProof/>
              <w:szCs w:val="24"/>
              <w:lang w:eastAsia="zh-CN"/>
            </w:rPr>
          </w:pPr>
          <w:hyperlink w:anchor="_Toc84591908" w:history="1">
            <w:r w:rsidR="0021755A" w:rsidRPr="00A313D7">
              <w:rPr>
                <w:rStyle w:val="Hyperlink"/>
                <w:noProof/>
                <w:szCs w:val="24"/>
              </w:rPr>
              <w:t>5.3.1</w:t>
            </w:r>
            <w:r w:rsidR="0021755A" w:rsidRPr="00A313D7">
              <w:rPr>
                <w:rFonts w:asciiTheme="minorHAnsi" w:eastAsiaTheme="minorEastAsia" w:hAnsiTheme="minorHAnsi"/>
                <w:noProof/>
                <w:szCs w:val="24"/>
                <w:lang w:eastAsia="zh-CN"/>
              </w:rPr>
              <w:tab/>
            </w:r>
            <w:r w:rsidR="0021755A" w:rsidRPr="00A313D7">
              <w:rPr>
                <w:rStyle w:val="Hyperlink"/>
                <w:noProof/>
                <w:szCs w:val="24"/>
              </w:rPr>
              <w:t>Policy option 1: Mandatory due diligence system, relying on a deforestation free definition</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_Toc84591908 \h </w:instrText>
            </w:r>
            <w:r w:rsidR="0021755A" w:rsidRPr="00A313D7">
              <w:rPr>
                <w:noProof/>
                <w:webHidden/>
                <w:szCs w:val="24"/>
              </w:rPr>
            </w:r>
            <w:r w:rsidR="0021755A" w:rsidRPr="00A313D7">
              <w:rPr>
                <w:noProof/>
                <w:webHidden/>
                <w:szCs w:val="24"/>
              </w:rPr>
              <w:fldChar w:fldCharType="separate"/>
            </w:r>
            <w:r>
              <w:rPr>
                <w:noProof/>
                <w:webHidden/>
                <w:szCs w:val="24"/>
              </w:rPr>
              <w:t>38</w:t>
            </w:r>
            <w:r w:rsidR="0021755A" w:rsidRPr="00A313D7">
              <w:rPr>
                <w:noProof/>
                <w:webHidden/>
                <w:szCs w:val="24"/>
              </w:rPr>
              <w:fldChar w:fldCharType="end"/>
            </w:r>
          </w:hyperlink>
        </w:p>
        <w:p w14:paraId="34BE7865" w14:textId="58A8495D" w:rsidR="0021755A" w:rsidRPr="00A313D7" w:rsidRDefault="008A6239">
          <w:pPr>
            <w:pStyle w:val="TOC3"/>
            <w:tabs>
              <w:tab w:val="left" w:pos="1777"/>
            </w:tabs>
            <w:rPr>
              <w:rFonts w:asciiTheme="minorHAnsi" w:eastAsiaTheme="minorEastAsia" w:hAnsiTheme="minorHAnsi"/>
              <w:noProof/>
              <w:szCs w:val="24"/>
              <w:lang w:eastAsia="zh-CN"/>
            </w:rPr>
          </w:pPr>
          <w:hyperlink w:anchor="_Toc84591909" w:history="1">
            <w:r w:rsidR="0021755A" w:rsidRPr="00A313D7">
              <w:rPr>
                <w:rStyle w:val="Hyperlink"/>
                <w:noProof/>
                <w:szCs w:val="24"/>
              </w:rPr>
              <w:t>5.3.2</w:t>
            </w:r>
            <w:r w:rsidR="0021755A" w:rsidRPr="00A313D7">
              <w:rPr>
                <w:rFonts w:asciiTheme="minorHAnsi" w:eastAsiaTheme="minorEastAsia" w:hAnsiTheme="minorHAnsi"/>
                <w:noProof/>
                <w:szCs w:val="24"/>
                <w:lang w:eastAsia="zh-CN"/>
              </w:rPr>
              <w:tab/>
            </w:r>
            <w:r w:rsidR="0021755A" w:rsidRPr="00A313D7">
              <w:rPr>
                <w:rStyle w:val="Hyperlink"/>
                <w:noProof/>
                <w:szCs w:val="24"/>
              </w:rPr>
              <w:t>Policy option 2: A benchmarking system and a list of contravening operators as a basis for a tiered improved mandatory due diligence system, relying on a deforestation free definition</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_Toc84591909 \h </w:instrText>
            </w:r>
            <w:r w:rsidR="0021755A" w:rsidRPr="00A313D7">
              <w:rPr>
                <w:noProof/>
                <w:webHidden/>
                <w:szCs w:val="24"/>
              </w:rPr>
            </w:r>
            <w:r w:rsidR="0021755A" w:rsidRPr="00A313D7">
              <w:rPr>
                <w:noProof/>
                <w:webHidden/>
                <w:szCs w:val="24"/>
              </w:rPr>
              <w:fldChar w:fldCharType="separate"/>
            </w:r>
            <w:r>
              <w:rPr>
                <w:noProof/>
                <w:webHidden/>
                <w:szCs w:val="24"/>
              </w:rPr>
              <w:t>41</w:t>
            </w:r>
            <w:r w:rsidR="0021755A" w:rsidRPr="00A313D7">
              <w:rPr>
                <w:noProof/>
                <w:webHidden/>
                <w:szCs w:val="24"/>
              </w:rPr>
              <w:fldChar w:fldCharType="end"/>
            </w:r>
          </w:hyperlink>
        </w:p>
        <w:p w14:paraId="0A1D944F" w14:textId="030DB410" w:rsidR="0021755A" w:rsidRPr="00A313D7" w:rsidRDefault="008A6239">
          <w:pPr>
            <w:pStyle w:val="TOC3"/>
            <w:tabs>
              <w:tab w:val="left" w:pos="1777"/>
            </w:tabs>
            <w:rPr>
              <w:rFonts w:asciiTheme="minorHAnsi" w:eastAsiaTheme="minorEastAsia" w:hAnsiTheme="minorHAnsi"/>
              <w:noProof/>
              <w:szCs w:val="24"/>
              <w:lang w:eastAsia="zh-CN"/>
            </w:rPr>
          </w:pPr>
          <w:hyperlink w:anchor="_Toc84591910" w:history="1">
            <w:r w:rsidR="0021755A" w:rsidRPr="00A313D7">
              <w:rPr>
                <w:rStyle w:val="Hyperlink"/>
                <w:noProof/>
                <w:szCs w:val="24"/>
              </w:rPr>
              <w:t>5.3.3</w:t>
            </w:r>
            <w:r w:rsidR="0021755A" w:rsidRPr="00A313D7">
              <w:rPr>
                <w:rFonts w:asciiTheme="minorHAnsi" w:eastAsiaTheme="minorEastAsia" w:hAnsiTheme="minorHAnsi"/>
                <w:noProof/>
                <w:szCs w:val="24"/>
                <w:lang w:eastAsia="zh-CN"/>
              </w:rPr>
              <w:tab/>
            </w:r>
            <w:r w:rsidR="0021755A" w:rsidRPr="00A313D7">
              <w:rPr>
                <w:rStyle w:val="Hyperlink"/>
                <w:noProof/>
                <w:szCs w:val="24"/>
              </w:rPr>
              <w:t>Policy option 3: Mandatory public certification combined with an improved due diligence requirement, relying on a deforestation free definition</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_Toc84591910 \h </w:instrText>
            </w:r>
            <w:r w:rsidR="0021755A" w:rsidRPr="00A313D7">
              <w:rPr>
                <w:noProof/>
                <w:webHidden/>
                <w:szCs w:val="24"/>
              </w:rPr>
            </w:r>
            <w:r w:rsidR="0021755A" w:rsidRPr="00A313D7">
              <w:rPr>
                <w:noProof/>
                <w:webHidden/>
                <w:szCs w:val="24"/>
              </w:rPr>
              <w:fldChar w:fldCharType="separate"/>
            </w:r>
            <w:r>
              <w:rPr>
                <w:noProof/>
                <w:webHidden/>
                <w:szCs w:val="24"/>
              </w:rPr>
              <w:t>42</w:t>
            </w:r>
            <w:r w:rsidR="0021755A" w:rsidRPr="00A313D7">
              <w:rPr>
                <w:noProof/>
                <w:webHidden/>
                <w:szCs w:val="24"/>
              </w:rPr>
              <w:fldChar w:fldCharType="end"/>
            </w:r>
          </w:hyperlink>
        </w:p>
        <w:p w14:paraId="2BCF5778" w14:textId="328DA9AA" w:rsidR="0021755A" w:rsidRPr="00A313D7" w:rsidRDefault="008A6239">
          <w:pPr>
            <w:pStyle w:val="TOC3"/>
            <w:tabs>
              <w:tab w:val="left" w:pos="1777"/>
            </w:tabs>
            <w:rPr>
              <w:rFonts w:asciiTheme="minorHAnsi" w:eastAsiaTheme="minorEastAsia" w:hAnsiTheme="minorHAnsi"/>
              <w:noProof/>
              <w:szCs w:val="24"/>
              <w:lang w:eastAsia="zh-CN"/>
            </w:rPr>
          </w:pPr>
          <w:hyperlink w:anchor="_Toc84591911" w:history="1">
            <w:r w:rsidR="0021755A" w:rsidRPr="00A313D7">
              <w:rPr>
                <w:rStyle w:val="Hyperlink"/>
                <w:noProof/>
                <w:szCs w:val="24"/>
              </w:rPr>
              <w:t>5.3.4</w:t>
            </w:r>
            <w:r w:rsidR="0021755A" w:rsidRPr="00A313D7">
              <w:rPr>
                <w:rFonts w:asciiTheme="minorHAnsi" w:eastAsiaTheme="minorEastAsia" w:hAnsiTheme="minorHAnsi"/>
                <w:noProof/>
                <w:szCs w:val="24"/>
                <w:lang w:eastAsia="zh-CN"/>
              </w:rPr>
              <w:tab/>
            </w:r>
            <w:r w:rsidR="0021755A" w:rsidRPr="00A313D7">
              <w:rPr>
                <w:rStyle w:val="Hyperlink"/>
                <w:noProof/>
                <w:szCs w:val="24"/>
              </w:rPr>
              <w:t>Policy option 4: Mandatory labelling combined with an improved due diligence requirement, relying on a deforestation free definition</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_Toc84591911 \h </w:instrText>
            </w:r>
            <w:r w:rsidR="0021755A" w:rsidRPr="00A313D7">
              <w:rPr>
                <w:noProof/>
                <w:webHidden/>
                <w:szCs w:val="24"/>
              </w:rPr>
            </w:r>
            <w:r w:rsidR="0021755A" w:rsidRPr="00A313D7">
              <w:rPr>
                <w:noProof/>
                <w:webHidden/>
                <w:szCs w:val="24"/>
              </w:rPr>
              <w:fldChar w:fldCharType="separate"/>
            </w:r>
            <w:r>
              <w:rPr>
                <w:noProof/>
                <w:webHidden/>
                <w:szCs w:val="24"/>
              </w:rPr>
              <w:t>43</w:t>
            </w:r>
            <w:r w:rsidR="0021755A" w:rsidRPr="00A313D7">
              <w:rPr>
                <w:noProof/>
                <w:webHidden/>
                <w:szCs w:val="24"/>
              </w:rPr>
              <w:fldChar w:fldCharType="end"/>
            </w:r>
          </w:hyperlink>
        </w:p>
        <w:p w14:paraId="4C5B55FC" w14:textId="13F927C4" w:rsidR="0021755A" w:rsidRPr="00A313D7" w:rsidRDefault="008A6239">
          <w:pPr>
            <w:pStyle w:val="TOC3"/>
            <w:tabs>
              <w:tab w:val="left" w:pos="1777"/>
            </w:tabs>
            <w:rPr>
              <w:rFonts w:asciiTheme="minorHAnsi" w:eastAsiaTheme="minorEastAsia" w:hAnsiTheme="minorHAnsi"/>
              <w:noProof/>
              <w:szCs w:val="24"/>
              <w:lang w:eastAsia="zh-CN"/>
            </w:rPr>
          </w:pPr>
          <w:hyperlink w:anchor="_Toc84591912" w:history="1">
            <w:r w:rsidR="0021755A" w:rsidRPr="00A313D7">
              <w:rPr>
                <w:rStyle w:val="Hyperlink"/>
                <w:noProof/>
                <w:szCs w:val="24"/>
              </w:rPr>
              <w:t>5.3.5</w:t>
            </w:r>
            <w:r w:rsidR="0021755A" w:rsidRPr="00A313D7">
              <w:rPr>
                <w:rFonts w:asciiTheme="minorHAnsi" w:eastAsiaTheme="minorEastAsia" w:hAnsiTheme="minorHAnsi"/>
                <w:noProof/>
                <w:szCs w:val="24"/>
                <w:lang w:eastAsia="zh-CN"/>
              </w:rPr>
              <w:tab/>
            </w:r>
            <w:r w:rsidR="0021755A" w:rsidRPr="00A313D7">
              <w:rPr>
                <w:rStyle w:val="Hyperlink"/>
                <w:noProof/>
                <w:szCs w:val="24"/>
              </w:rPr>
              <w:t>Policy option 5: Deforestation-free requirement for placing on the EU market supported by benchmarking and country card systems</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_Toc84591912 \h </w:instrText>
            </w:r>
            <w:r w:rsidR="0021755A" w:rsidRPr="00A313D7">
              <w:rPr>
                <w:noProof/>
                <w:webHidden/>
                <w:szCs w:val="24"/>
              </w:rPr>
            </w:r>
            <w:r w:rsidR="0021755A" w:rsidRPr="00A313D7">
              <w:rPr>
                <w:noProof/>
                <w:webHidden/>
                <w:szCs w:val="24"/>
              </w:rPr>
              <w:fldChar w:fldCharType="separate"/>
            </w:r>
            <w:r>
              <w:rPr>
                <w:noProof/>
                <w:webHidden/>
                <w:szCs w:val="24"/>
              </w:rPr>
              <w:t>43</w:t>
            </w:r>
            <w:r w:rsidR="0021755A" w:rsidRPr="00A313D7">
              <w:rPr>
                <w:noProof/>
                <w:webHidden/>
                <w:szCs w:val="24"/>
              </w:rPr>
              <w:fldChar w:fldCharType="end"/>
            </w:r>
          </w:hyperlink>
        </w:p>
        <w:p w14:paraId="66FE71A5" w14:textId="67006789" w:rsidR="0021755A" w:rsidRPr="00A313D7" w:rsidRDefault="008A6239">
          <w:pPr>
            <w:pStyle w:val="TOC2"/>
            <w:tabs>
              <w:tab w:val="left" w:pos="1077"/>
            </w:tabs>
            <w:rPr>
              <w:rFonts w:asciiTheme="minorHAnsi" w:eastAsiaTheme="minorEastAsia" w:hAnsiTheme="minorHAnsi" w:cstheme="minorBidi"/>
              <w:noProof/>
              <w:szCs w:val="24"/>
              <w:lang w:eastAsia="zh-CN"/>
            </w:rPr>
          </w:pPr>
          <w:hyperlink w:anchor="_Toc84591913" w:history="1">
            <w:r w:rsidR="0021755A" w:rsidRPr="00A313D7">
              <w:rPr>
                <w:rStyle w:val="Hyperlink"/>
                <w:noProof/>
                <w:szCs w:val="24"/>
              </w:rPr>
              <w:t>5.4</w:t>
            </w:r>
            <w:r w:rsidR="0021755A" w:rsidRPr="00A313D7">
              <w:rPr>
                <w:rFonts w:asciiTheme="minorHAnsi" w:eastAsiaTheme="minorEastAsia" w:hAnsiTheme="minorHAnsi" w:cstheme="minorBidi"/>
                <w:noProof/>
                <w:szCs w:val="24"/>
                <w:lang w:eastAsia="zh-CN"/>
              </w:rPr>
              <w:tab/>
            </w:r>
            <w:r w:rsidR="0021755A" w:rsidRPr="00A313D7">
              <w:rPr>
                <w:rStyle w:val="Hyperlink"/>
                <w:noProof/>
                <w:szCs w:val="24"/>
              </w:rPr>
              <w:t>Options discarded after the initial viability screening</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_Toc84591913 \h </w:instrText>
            </w:r>
            <w:r w:rsidR="0021755A" w:rsidRPr="00A313D7">
              <w:rPr>
                <w:noProof/>
                <w:webHidden/>
                <w:szCs w:val="24"/>
              </w:rPr>
            </w:r>
            <w:r w:rsidR="0021755A" w:rsidRPr="00A313D7">
              <w:rPr>
                <w:noProof/>
                <w:webHidden/>
                <w:szCs w:val="24"/>
              </w:rPr>
              <w:fldChar w:fldCharType="separate"/>
            </w:r>
            <w:r>
              <w:rPr>
                <w:noProof/>
                <w:webHidden/>
                <w:szCs w:val="24"/>
              </w:rPr>
              <w:t>44</w:t>
            </w:r>
            <w:r w:rsidR="0021755A" w:rsidRPr="00A313D7">
              <w:rPr>
                <w:noProof/>
                <w:webHidden/>
                <w:szCs w:val="24"/>
              </w:rPr>
              <w:fldChar w:fldCharType="end"/>
            </w:r>
          </w:hyperlink>
        </w:p>
        <w:p w14:paraId="4A5AC39F" w14:textId="57E05AAD" w:rsidR="0021755A" w:rsidRPr="00A313D7" w:rsidRDefault="008A6239">
          <w:pPr>
            <w:pStyle w:val="TOC1"/>
            <w:rPr>
              <w:rFonts w:asciiTheme="minorHAnsi" w:eastAsiaTheme="minorEastAsia" w:hAnsiTheme="minorHAnsi" w:cstheme="minorBidi"/>
              <w:caps w:val="0"/>
              <w:noProof/>
              <w:sz w:val="24"/>
              <w:szCs w:val="24"/>
              <w:lang w:eastAsia="zh-CN"/>
            </w:rPr>
          </w:pPr>
          <w:hyperlink w:anchor="_Toc84591914" w:history="1">
            <w:r w:rsidR="0021755A" w:rsidRPr="00A313D7">
              <w:rPr>
                <w:rStyle w:val="Hyperlink"/>
                <w:noProof/>
                <w:sz w:val="24"/>
                <w:szCs w:val="24"/>
              </w:rPr>
              <w:t>6</w:t>
            </w:r>
            <w:r w:rsidR="0021755A" w:rsidRPr="00A313D7">
              <w:rPr>
                <w:rFonts w:asciiTheme="minorHAnsi" w:eastAsiaTheme="minorEastAsia" w:hAnsiTheme="minorHAnsi" w:cstheme="minorBidi"/>
                <w:caps w:val="0"/>
                <w:noProof/>
                <w:sz w:val="24"/>
                <w:szCs w:val="24"/>
                <w:lang w:eastAsia="zh-CN"/>
              </w:rPr>
              <w:tab/>
            </w:r>
            <w:r w:rsidR="0021755A" w:rsidRPr="00A313D7">
              <w:rPr>
                <w:rStyle w:val="Hyperlink"/>
                <w:noProof/>
                <w:sz w:val="24"/>
                <w:szCs w:val="24"/>
              </w:rPr>
              <w:t>What are the impacts of the policy options?</w:t>
            </w:r>
            <w:r w:rsidR="0021755A" w:rsidRPr="00A313D7">
              <w:rPr>
                <w:noProof/>
                <w:webHidden/>
                <w:sz w:val="24"/>
                <w:szCs w:val="24"/>
              </w:rPr>
              <w:tab/>
            </w:r>
            <w:r w:rsidR="0021755A" w:rsidRPr="00A313D7">
              <w:rPr>
                <w:noProof/>
                <w:webHidden/>
                <w:sz w:val="24"/>
                <w:szCs w:val="24"/>
              </w:rPr>
              <w:fldChar w:fldCharType="begin"/>
            </w:r>
            <w:r w:rsidR="0021755A" w:rsidRPr="00A313D7">
              <w:rPr>
                <w:noProof/>
                <w:webHidden/>
                <w:sz w:val="24"/>
                <w:szCs w:val="24"/>
              </w:rPr>
              <w:instrText xml:space="preserve"> PAGEREF _Toc84591914 \h </w:instrText>
            </w:r>
            <w:r w:rsidR="0021755A" w:rsidRPr="00A313D7">
              <w:rPr>
                <w:noProof/>
                <w:webHidden/>
                <w:sz w:val="24"/>
                <w:szCs w:val="24"/>
              </w:rPr>
            </w:r>
            <w:r w:rsidR="0021755A" w:rsidRPr="00A313D7">
              <w:rPr>
                <w:noProof/>
                <w:webHidden/>
                <w:sz w:val="24"/>
                <w:szCs w:val="24"/>
              </w:rPr>
              <w:fldChar w:fldCharType="separate"/>
            </w:r>
            <w:r>
              <w:rPr>
                <w:noProof/>
                <w:webHidden/>
                <w:sz w:val="24"/>
                <w:szCs w:val="24"/>
              </w:rPr>
              <w:t>49</w:t>
            </w:r>
            <w:r w:rsidR="0021755A" w:rsidRPr="00A313D7">
              <w:rPr>
                <w:noProof/>
                <w:webHidden/>
                <w:sz w:val="24"/>
                <w:szCs w:val="24"/>
              </w:rPr>
              <w:fldChar w:fldCharType="end"/>
            </w:r>
          </w:hyperlink>
        </w:p>
        <w:p w14:paraId="170F8E32" w14:textId="1550AC78" w:rsidR="0021755A" w:rsidRPr="00A313D7" w:rsidRDefault="008A6239">
          <w:pPr>
            <w:pStyle w:val="TOC2"/>
            <w:tabs>
              <w:tab w:val="left" w:pos="1077"/>
            </w:tabs>
            <w:rPr>
              <w:rFonts w:asciiTheme="minorHAnsi" w:eastAsiaTheme="minorEastAsia" w:hAnsiTheme="minorHAnsi" w:cstheme="minorBidi"/>
              <w:noProof/>
              <w:szCs w:val="24"/>
              <w:lang w:eastAsia="zh-CN"/>
            </w:rPr>
          </w:pPr>
          <w:hyperlink w:anchor="_Toc84591915" w:history="1">
            <w:r w:rsidR="0021755A" w:rsidRPr="00A313D7">
              <w:rPr>
                <w:rStyle w:val="Hyperlink"/>
                <w:noProof/>
                <w:szCs w:val="24"/>
              </w:rPr>
              <w:t>6.1</w:t>
            </w:r>
            <w:r w:rsidR="0021755A" w:rsidRPr="00A313D7">
              <w:rPr>
                <w:rFonts w:asciiTheme="minorHAnsi" w:eastAsiaTheme="minorEastAsia" w:hAnsiTheme="minorHAnsi" w:cstheme="minorBidi"/>
                <w:noProof/>
                <w:szCs w:val="24"/>
                <w:lang w:eastAsia="zh-CN"/>
              </w:rPr>
              <w:tab/>
            </w:r>
            <w:r w:rsidR="0021755A" w:rsidRPr="00A313D7">
              <w:rPr>
                <w:rStyle w:val="Hyperlink"/>
                <w:noProof/>
                <w:szCs w:val="24"/>
              </w:rPr>
              <w:t>Impacts relevant for Policy Options 1-5</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_Toc84591915 \h </w:instrText>
            </w:r>
            <w:r w:rsidR="0021755A" w:rsidRPr="00A313D7">
              <w:rPr>
                <w:noProof/>
                <w:webHidden/>
                <w:szCs w:val="24"/>
              </w:rPr>
            </w:r>
            <w:r w:rsidR="0021755A" w:rsidRPr="00A313D7">
              <w:rPr>
                <w:noProof/>
                <w:webHidden/>
                <w:szCs w:val="24"/>
              </w:rPr>
              <w:fldChar w:fldCharType="separate"/>
            </w:r>
            <w:r>
              <w:rPr>
                <w:noProof/>
                <w:webHidden/>
                <w:szCs w:val="24"/>
              </w:rPr>
              <w:t>49</w:t>
            </w:r>
            <w:r w:rsidR="0021755A" w:rsidRPr="00A313D7">
              <w:rPr>
                <w:noProof/>
                <w:webHidden/>
                <w:szCs w:val="24"/>
              </w:rPr>
              <w:fldChar w:fldCharType="end"/>
            </w:r>
          </w:hyperlink>
        </w:p>
        <w:p w14:paraId="4ACEC910" w14:textId="05A0A536" w:rsidR="0021755A" w:rsidRPr="00A313D7" w:rsidRDefault="008A6239">
          <w:pPr>
            <w:pStyle w:val="TOC3"/>
            <w:tabs>
              <w:tab w:val="left" w:pos="1777"/>
            </w:tabs>
            <w:rPr>
              <w:rFonts w:asciiTheme="minorHAnsi" w:eastAsiaTheme="minorEastAsia" w:hAnsiTheme="minorHAnsi"/>
              <w:noProof/>
              <w:szCs w:val="24"/>
              <w:lang w:eastAsia="zh-CN"/>
            </w:rPr>
          </w:pPr>
          <w:hyperlink w:anchor="_Toc84591916" w:history="1">
            <w:r w:rsidR="0021755A" w:rsidRPr="00A313D7">
              <w:rPr>
                <w:rStyle w:val="Hyperlink"/>
                <w:noProof/>
                <w:szCs w:val="24"/>
              </w:rPr>
              <w:t>6.1.1</w:t>
            </w:r>
            <w:r w:rsidR="0021755A" w:rsidRPr="00A313D7">
              <w:rPr>
                <w:rFonts w:asciiTheme="minorHAnsi" w:eastAsiaTheme="minorEastAsia" w:hAnsiTheme="minorHAnsi"/>
                <w:noProof/>
                <w:szCs w:val="24"/>
                <w:lang w:eastAsia="zh-CN"/>
              </w:rPr>
              <w:tab/>
            </w:r>
            <w:r w:rsidR="0021755A" w:rsidRPr="00A313D7">
              <w:rPr>
                <w:rStyle w:val="Hyperlink"/>
                <w:noProof/>
                <w:szCs w:val="24"/>
              </w:rPr>
              <w:t>Environmental impacts</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_Toc84591916 \h </w:instrText>
            </w:r>
            <w:r w:rsidR="0021755A" w:rsidRPr="00A313D7">
              <w:rPr>
                <w:noProof/>
                <w:webHidden/>
                <w:szCs w:val="24"/>
              </w:rPr>
            </w:r>
            <w:r w:rsidR="0021755A" w:rsidRPr="00A313D7">
              <w:rPr>
                <w:noProof/>
                <w:webHidden/>
                <w:szCs w:val="24"/>
              </w:rPr>
              <w:fldChar w:fldCharType="separate"/>
            </w:r>
            <w:r>
              <w:rPr>
                <w:noProof/>
                <w:webHidden/>
                <w:szCs w:val="24"/>
              </w:rPr>
              <w:t>50</w:t>
            </w:r>
            <w:r w:rsidR="0021755A" w:rsidRPr="00A313D7">
              <w:rPr>
                <w:noProof/>
                <w:webHidden/>
                <w:szCs w:val="24"/>
              </w:rPr>
              <w:fldChar w:fldCharType="end"/>
            </w:r>
          </w:hyperlink>
        </w:p>
        <w:p w14:paraId="7A044DCA" w14:textId="40D55DA1" w:rsidR="0021755A" w:rsidRPr="00A313D7" w:rsidRDefault="008A6239">
          <w:pPr>
            <w:pStyle w:val="TOC3"/>
            <w:tabs>
              <w:tab w:val="left" w:pos="1777"/>
            </w:tabs>
            <w:rPr>
              <w:rFonts w:asciiTheme="minorHAnsi" w:eastAsiaTheme="minorEastAsia" w:hAnsiTheme="minorHAnsi"/>
              <w:noProof/>
              <w:szCs w:val="24"/>
              <w:lang w:eastAsia="zh-CN"/>
            </w:rPr>
          </w:pPr>
          <w:hyperlink w:anchor="_Toc84591917" w:history="1">
            <w:r w:rsidR="0021755A" w:rsidRPr="00A313D7">
              <w:rPr>
                <w:rStyle w:val="Hyperlink"/>
                <w:noProof/>
                <w:szCs w:val="24"/>
              </w:rPr>
              <w:t>6.1.2</w:t>
            </w:r>
            <w:r w:rsidR="0021755A" w:rsidRPr="00A313D7">
              <w:rPr>
                <w:rFonts w:asciiTheme="minorHAnsi" w:eastAsiaTheme="minorEastAsia" w:hAnsiTheme="minorHAnsi"/>
                <w:noProof/>
                <w:szCs w:val="24"/>
                <w:lang w:eastAsia="zh-CN"/>
              </w:rPr>
              <w:tab/>
            </w:r>
            <w:r w:rsidR="0021755A" w:rsidRPr="00A313D7">
              <w:rPr>
                <w:rStyle w:val="Hyperlink"/>
                <w:noProof/>
                <w:szCs w:val="24"/>
              </w:rPr>
              <w:t>Economic impacts</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_Toc84591917 \h </w:instrText>
            </w:r>
            <w:r w:rsidR="0021755A" w:rsidRPr="00A313D7">
              <w:rPr>
                <w:noProof/>
                <w:webHidden/>
                <w:szCs w:val="24"/>
              </w:rPr>
            </w:r>
            <w:r w:rsidR="0021755A" w:rsidRPr="00A313D7">
              <w:rPr>
                <w:noProof/>
                <w:webHidden/>
                <w:szCs w:val="24"/>
              </w:rPr>
              <w:fldChar w:fldCharType="separate"/>
            </w:r>
            <w:r>
              <w:rPr>
                <w:noProof/>
                <w:webHidden/>
                <w:szCs w:val="24"/>
              </w:rPr>
              <w:t>51</w:t>
            </w:r>
            <w:r w:rsidR="0021755A" w:rsidRPr="00A313D7">
              <w:rPr>
                <w:noProof/>
                <w:webHidden/>
                <w:szCs w:val="24"/>
              </w:rPr>
              <w:fldChar w:fldCharType="end"/>
            </w:r>
          </w:hyperlink>
        </w:p>
        <w:p w14:paraId="12293C91" w14:textId="2665C9C0" w:rsidR="0021755A" w:rsidRPr="00A313D7" w:rsidRDefault="008A6239">
          <w:pPr>
            <w:pStyle w:val="TOC3"/>
            <w:tabs>
              <w:tab w:val="left" w:pos="1777"/>
            </w:tabs>
            <w:rPr>
              <w:rFonts w:asciiTheme="minorHAnsi" w:eastAsiaTheme="minorEastAsia" w:hAnsiTheme="minorHAnsi"/>
              <w:noProof/>
              <w:szCs w:val="24"/>
              <w:lang w:eastAsia="zh-CN"/>
            </w:rPr>
          </w:pPr>
          <w:hyperlink w:anchor="_Toc84591918" w:history="1">
            <w:r w:rsidR="0021755A" w:rsidRPr="00A313D7">
              <w:rPr>
                <w:rStyle w:val="Hyperlink"/>
                <w:noProof/>
                <w:szCs w:val="24"/>
              </w:rPr>
              <w:t>6.1.3</w:t>
            </w:r>
            <w:r w:rsidR="0021755A" w:rsidRPr="00A313D7">
              <w:rPr>
                <w:rFonts w:asciiTheme="minorHAnsi" w:eastAsiaTheme="minorEastAsia" w:hAnsiTheme="minorHAnsi"/>
                <w:noProof/>
                <w:szCs w:val="24"/>
                <w:lang w:eastAsia="zh-CN"/>
              </w:rPr>
              <w:tab/>
            </w:r>
            <w:r w:rsidR="0021755A" w:rsidRPr="00A313D7">
              <w:rPr>
                <w:rStyle w:val="Hyperlink"/>
                <w:noProof/>
                <w:szCs w:val="24"/>
              </w:rPr>
              <w:t>Social impacts</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_Toc84591918 \h </w:instrText>
            </w:r>
            <w:r w:rsidR="0021755A" w:rsidRPr="00A313D7">
              <w:rPr>
                <w:noProof/>
                <w:webHidden/>
                <w:szCs w:val="24"/>
              </w:rPr>
            </w:r>
            <w:r w:rsidR="0021755A" w:rsidRPr="00A313D7">
              <w:rPr>
                <w:noProof/>
                <w:webHidden/>
                <w:szCs w:val="24"/>
              </w:rPr>
              <w:fldChar w:fldCharType="separate"/>
            </w:r>
            <w:r>
              <w:rPr>
                <w:noProof/>
                <w:webHidden/>
                <w:szCs w:val="24"/>
              </w:rPr>
              <w:t>62</w:t>
            </w:r>
            <w:r w:rsidR="0021755A" w:rsidRPr="00A313D7">
              <w:rPr>
                <w:noProof/>
                <w:webHidden/>
                <w:szCs w:val="24"/>
              </w:rPr>
              <w:fldChar w:fldCharType="end"/>
            </w:r>
          </w:hyperlink>
        </w:p>
        <w:p w14:paraId="530535A8" w14:textId="008270FF" w:rsidR="0021755A" w:rsidRPr="00A313D7" w:rsidRDefault="008A6239">
          <w:pPr>
            <w:pStyle w:val="TOC3"/>
            <w:tabs>
              <w:tab w:val="left" w:pos="1777"/>
            </w:tabs>
            <w:rPr>
              <w:rFonts w:asciiTheme="minorHAnsi" w:eastAsiaTheme="minorEastAsia" w:hAnsiTheme="minorHAnsi"/>
              <w:noProof/>
              <w:szCs w:val="24"/>
              <w:lang w:eastAsia="zh-CN"/>
            </w:rPr>
          </w:pPr>
          <w:hyperlink w:anchor="_Toc84591919" w:history="1">
            <w:r w:rsidR="0021755A" w:rsidRPr="00A313D7">
              <w:rPr>
                <w:rStyle w:val="Hyperlink"/>
                <w:noProof/>
                <w:szCs w:val="24"/>
              </w:rPr>
              <w:t>6.1.4</w:t>
            </w:r>
            <w:r w:rsidR="0021755A" w:rsidRPr="00A313D7">
              <w:rPr>
                <w:rFonts w:asciiTheme="minorHAnsi" w:eastAsiaTheme="minorEastAsia" w:hAnsiTheme="minorHAnsi"/>
                <w:noProof/>
                <w:szCs w:val="24"/>
                <w:lang w:eastAsia="zh-CN"/>
              </w:rPr>
              <w:tab/>
            </w:r>
            <w:r w:rsidR="0021755A" w:rsidRPr="00A313D7">
              <w:rPr>
                <w:rStyle w:val="Hyperlink"/>
                <w:noProof/>
                <w:szCs w:val="24"/>
              </w:rPr>
              <w:t>Coherence with other EU policy objectives</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_Toc84591919 \h </w:instrText>
            </w:r>
            <w:r w:rsidR="0021755A" w:rsidRPr="00A313D7">
              <w:rPr>
                <w:noProof/>
                <w:webHidden/>
                <w:szCs w:val="24"/>
              </w:rPr>
            </w:r>
            <w:r w:rsidR="0021755A" w:rsidRPr="00A313D7">
              <w:rPr>
                <w:noProof/>
                <w:webHidden/>
                <w:szCs w:val="24"/>
              </w:rPr>
              <w:fldChar w:fldCharType="separate"/>
            </w:r>
            <w:r>
              <w:rPr>
                <w:noProof/>
                <w:webHidden/>
                <w:szCs w:val="24"/>
              </w:rPr>
              <w:t>64</w:t>
            </w:r>
            <w:r w:rsidR="0021755A" w:rsidRPr="00A313D7">
              <w:rPr>
                <w:noProof/>
                <w:webHidden/>
                <w:szCs w:val="24"/>
              </w:rPr>
              <w:fldChar w:fldCharType="end"/>
            </w:r>
          </w:hyperlink>
        </w:p>
        <w:p w14:paraId="09E8439A" w14:textId="4C0295EA" w:rsidR="0021755A" w:rsidRPr="00A313D7" w:rsidRDefault="008A6239">
          <w:pPr>
            <w:pStyle w:val="TOC3"/>
            <w:tabs>
              <w:tab w:val="left" w:pos="1777"/>
            </w:tabs>
            <w:rPr>
              <w:rFonts w:asciiTheme="minorHAnsi" w:eastAsiaTheme="minorEastAsia" w:hAnsiTheme="minorHAnsi"/>
              <w:noProof/>
              <w:szCs w:val="24"/>
              <w:lang w:eastAsia="zh-CN"/>
            </w:rPr>
          </w:pPr>
          <w:hyperlink w:anchor="_Toc84591920" w:history="1">
            <w:r w:rsidR="0021755A" w:rsidRPr="00A313D7">
              <w:rPr>
                <w:rStyle w:val="Hyperlink"/>
                <w:noProof/>
                <w:szCs w:val="24"/>
              </w:rPr>
              <w:t>6.1.5</w:t>
            </w:r>
            <w:r w:rsidR="0021755A" w:rsidRPr="00A313D7">
              <w:rPr>
                <w:rFonts w:asciiTheme="minorHAnsi" w:eastAsiaTheme="minorEastAsia" w:hAnsiTheme="minorHAnsi"/>
                <w:noProof/>
                <w:szCs w:val="24"/>
                <w:lang w:eastAsia="zh-CN"/>
              </w:rPr>
              <w:tab/>
            </w:r>
            <w:r w:rsidR="0021755A" w:rsidRPr="00A313D7">
              <w:rPr>
                <w:rStyle w:val="Hyperlink"/>
                <w:noProof/>
                <w:szCs w:val="24"/>
              </w:rPr>
              <w:t>Leakage problems</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_Toc84591920 \h </w:instrText>
            </w:r>
            <w:r w:rsidR="0021755A" w:rsidRPr="00A313D7">
              <w:rPr>
                <w:noProof/>
                <w:webHidden/>
                <w:szCs w:val="24"/>
              </w:rPr>
            </w:r>
            <w:r w:rsidR="0021755A" w:rsidRPr="00A313D7">
              <w:rPr>
                <w:noProof/>
                <w:webHidden/>
                <w:szCs w:val="24"/>
              </w:rPr>
              <w:fldChar w:fldCharType="separate"/>
            </w:r>
            <w:r>
              <w:rPr>
                <w:noProof/>
                <w:webHidden/>
                <w:szCs w:val="24"/>
              </w:rPr>
              <w:t>64</w:t>
            </w:r>
            <w:r w:rsidR="0021755A" w:rsidRPr="00A313D7">
              <w:rPr>
                <w:noProof/>
                <w:webHidden/>
                <w:szCs w:val="24"/>
              </w:rPr>
              <w:fldChar w:fldCharType="end"/>
            </w:r>
          </w:hyperlink>
        </w:p>
        <w:p w14:paraId="2E762F0E" w14:textId="45C2B5B3" w:rsidR="0021755A" w:rsidRPr="00A313D7" w:rsidRDefault="008A6239">
          <w:pPr>
            <w:pStyle w:val="TOC2"/>
            <w:tabs>
              <w:tab w:val="left" w:pos="1077"/>
            </w:tabs>
            <w:rPr>
              <w:rFonts w:asciiTheme="minorHAnsi" w:eastAsiaTheme="minorEastAsia" w:hAnsiTheme="minorHAnsi" w:cstheme="minorBidi"/>
              <w:noProof/>
              <w:szCs w:val="24"/>
              <w:lang w:eastAsia="zh-CN"/>
            </w:rPr>
          </w:pPr>
          <w:hyperlink w:anchor="_Toc84591921" w:history="1">
            <w:r w:rsidR="0021755A" w:rsidRPr="00A313D7">
              <w:rPr>
                <w:rStyle w:val="Hyperlink"/>
                <w:noProof/>
                <w:szCs w:val="24"/>
              </w:rPr>
              <w:t>6.2</w:t>
            </w:r>
            <w:r w:rsidR="0021755A" w:rsidRPr="00A313D7">
              <w:rPr>
                <w:rFonts w:asciiTheme="minorHAnsi" w:eastAsiaTheme="minorEastAsia" w:hAnsiTheme="minorHAnsi" w:cstheme="minorBidi"/>
                <w:noProof/>
                <w:szCs w:val="24"/>
                <w:lang w:eastAsia="zh-CN"/>
              </w:rPr>
              <w:tab/>
            </w:r>
            <w:r w:rsidR="0021755A" w:rsidRPr="00A313D7">
              <w:rPr>
                <w:rStyle w:val="Hyperlink"/>
                <w:noProof/>
                <w:szCs w:val="24"/>
              </w:rPr>
              <w:t>Policy Option 1 – Mandatory due diligence system, relying on a deforestation free definition</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_Toc84591921 \h </w:instrText>
            </w:r>
            <w:r w:rsidR="0021755A" w:rsidRPr="00A313D7">
              <w:rPr>
                <w:noProof/>
                <w:webHidden/>
                <w:szCs w:val="24"/>
              </w:rPr>
            </w:r>
            <w:r w:rsidR="0021755A" w:rsidRPr="00A313D7">
              <w:rPr>
                <w:noProof/>
                <w:webHidden/>
                <w:szCs w:val="24"/>
              </w:rPr>
              <w:fldChar w:fldCharType="separate"/>
            </w:r>
            <w:r>
              <w:rPr>
                <w:noProof/>
                <w:webHidden/>
                <w:szCs w:val="24"/>
              </w:rPr>
              <w:t>66</w:t>
            </w:r>
            <w:r w:rsidR="0021755A" w:rsidRPr="00A313D7">
              <w:rPr>
                <w:noProof/>
                <w:webHidden/>
                <w:szCs w:val="24"/>
              </w:rPr>
              <w:fldChar w:fldCharType="end"/>
            </w:r>
          </w:hyperlink>
        </w:p>
        <w:p w14:paraId="06F80A33" w14:textId="7D4B6964" w:rsidR="0021755A" w:rsidRPr="00A313D7" w:rsidRDefault="008A6239">
          <w:pPr>
            <w:pStyle w:val="TOC2"/>
            <w:tabs>
              <w:tab w:val="left" w:pos="1077"/>
            </w:tabs>
            <w:rPr>
              <w:rFonts w:asciiTheme="minorHAnsi" w:eastAsiaTheme="minorEastAsia" w:hAnsiTheme="minorHAnsi" w:cstheme="minorBidi"/>
              <w:noProof/>
              <w:szCs w:val="24"/>
              <w:lang w:eastAsia="zh-CN"/>
            </w:rPr>
          </w:pPr>
          <w:hyperlink w:anchor="_Toc84591922" w:history="1">
            <w:r w:rsidR="0021755A" w:rsidRPr="00A313D7">
              <w:rPr>
                <w:rStyle w:val="Hyperlink"/>
                <w:noProof/>
                <w:szCs w:val="24"/>
              </w:rPr>
              <w:t>6.3</w:t>
            </w:r>
            <w:r w:rsidR="0021755A" w:rsidRPr="00A313D7">
              <w:rPr>
                <w:rFonts w:asciiTheme="minorHAnsi" w:eastAsiaTheme="minorEastAsia" w:hAnsiTheme="minorHAnsi" w:cstheme="minorBidi"/>
                <w:noProof/>
                <w:szCs w:val="24"/>
                <w:lang w:eastAsia="zh-CN"/>
              </w:rPr>
              <w:tab/>
            </w:r>
            <w:r w:rsidR="0021755A" w:rsidRPr="00A313D7">
              <w:rPr>
                <w:rStyle w:val="Hyperlink"/>
                <w:noProof/>
                <w:szCs w:val="24"/>
              </w:rPr>
              <w:t>Policy Option 2 – A benchmarking system and a list of contravening operators combined with tiered improved mandatory due diligence system, relying on a deforestation free definition</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_Toc84591922 \h </w:instrText>
            </w:r>
            <w:r w:rsidR="0021755A" w:rsidRPr="00A313D7">
              <w:rPr>
                <w:noProof/>
                <w:webHidden/>
                <w:szCs w:val="24"/>
              </w:rPr>
            </w:r>
            <w:r w:rsidR="0021755A" w:rsidRPr="00A313D7">
              <w:rPr>
                <w:noProof/>
                <w:webHidden/>
                <w:szCs w:val="24"/>
              </w:rPr>
              <w:fldChar w:fldCharType="separate"/>
            </w:r>
            <w:r>
              <w:rPr>
                <w:noProof/>
                <w:webHidden/>
                <w:szCs w:val="24"/>
              </w:rPr>
              <w:t>72</w:t>
            </w:r>
            <w:r w:rsidR="0021755A" w:rsidRPr="00A313D7">
              <w:rPr>
                <w:noProof/>
                <w:webHidden/>
                <w:szCs w:val="24"/>
              </w:rPr>
              <w:fldChar w:fldCharType="end"/>
            </w:r>
          </w:hyperlink>
        </w:p>
        <w:p w14:paraId="74ABFF65" w14:textId="50EDBD77" w:rsidR="0021755A" w:rsidRPr="00A313D7" w:rsidRDefault="008A6239">
          <w:pPr>
            <w:pStyle w:val="TOC2"/>
            <w:tabs>
              <w:tab w:val="left" w:pos="1077"/>
            </w:tabs>
            <w:rPr>
              <w:rFonts w:asciiTheme="minorHAnsi" w:eastAsiaTheme="minorEastAsia" w:hAnsiTheme="minorHAnsi" w:cstheme="minorBidi"/>
              <w:noProof/>
              <w:szCs w:val="24"/>
              <w:lang w:eastAsia="zh-CN"/>
            </w:rPr>
          </w:pPr>
          <w:hyperlink w:anchor="_Toc84591923" w:history="1">
            <w:r w:rsidR="0021755A" w:rsidRPr="00A313D7">
              <w:rPr>
                <w:rStyle w:val="Hyperlink"/>
                <w:noProof/>
                <w:szCs w:val="24"/>
              </w:rPr>
              <w:t>6.4</w:t>
            </w:r>
            <w:r w:rsidR="0021755A" w:rsidRPr="00A313D7">
              <w:rPr>
                <w:rFonts w:asciiTheme="minorHAnsi" w:eastAsiaTheme="minorEastAsia" w:hAnsiTheme="minorHAnsi" w:cstheme="minorBidi"/>
                <w:noProof/>
                <w:szCs w:val="24"/>
                <w:lang w:eastAsia="zh-CN"/>
              </w:rPr>
              <w:tab/>
            </w:r>
            <w:r w:rsidR="0021755A" w:rsidRPr="00A313D7">
              <w:rPr>
                <w:rStyle w:val="Hyperlink"/>
                <w:noProof/>
                <w:szCs w:val="24"/>
              </w:rPr>
              <w:t>Policy Option 3 – Mandatory public certification combined with an improved due diligence requirement, relying on a deforestation free definition</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_Toc84591923 \h </w:instrText>
            </w:r>
            <w:r w:rsidR="0021755A" w:rsidRPr="00A313D7">
              <w:rPr>
                <w:noProof/>
                <w:webHidden/>
                <w:szCs w:val="24"/>
              </w:rPr>
            </w:r>
            <w:r w:rsidR="0021755A" w:rsidRPr="00A313D7">
              <w:rPr>
                <w:noProof/>
                <w:webHidden/>
                <w:szCs w:val="24"/>
              </w:rPr>
              <w:fldChar w:fldCharType="separate"/>
            </w:r>
            <w:r>
              <w:rPr>
                <w:noProof/>
                <w:webHidden/>
                <w:szCs w:val="24"/>
              </w:rPr>
              <w:t>76</w:t>
            </w:r>
            <w:r w:rsidR="0021755A" w:rsidRPr="00A313D7">
              <w:rPr>
                <w:noProof/>
                <w:webHidden/>
                <w:szCs w:val="24"/>
              </w:rPr>
              <w:fldChar w:fldCharType="end"/>
            </w:r>
          </w:hyperlink>
        </w:p>
        <w:p w14:paraId="0571C0BA" w14:textId="0D32DC72" w:rsidR="0021755A" w:rsidRPr="00A313D7" w:rsidRDefault="008A6239">
          <w:pPr>
            <w:pStyle w:val="TOC2"/>
            <w:tabs>
              <w:tab w:val="left" w:pos="1077"/>
            </w:tabs>
            <w:rPr>
              <w:rFonts w:asciiTheme="minorHAnsi" w:eastAsiaTheme="minorEastAsia" w:hAnsiTheme="minorHAnsi" w:cstheme="minorBidi"/>
              <w:noProof/>
              <w:szCs w:val="24"/>
              <w:lang w:eastAsia="zh-CN"/>
            </w:rPr>
          </w:pPr>
          <w:hyperlink w:anchor="_Toc84591924" w:history="1">
            <w:r w:rsidR="0021755A" w:rsidRPr="00A313D7">
              <w:rPr>
                <w:rStyle w:val="Hyperlink"/>
                <w:noProof/>
                <w:szCs w:val="24"/>
              </w:rPr>
              <w:t>6.5</w:t>
            </w:r>
            <w:r w:rsidR="0021755A" w:rsidRPr="00A313D7">
              <w:rPr>
                <w:rFonts w:asciiTheme="minorHAnsi" w:eastAsiaTheme="minorEastAsia" w:hAnsiTheme="minorHAnsi" w:cstheme="minorBidi"/>
                <w:noProof/>
                <w:szCs w:val="24"/>
                <w:lang w:eastAsia="zh-CN"/>
              </w:rPr>
              <w:tab/>
            </w:r>
            <w:r w:rsidR="0021755A" w:rsidRPr="00A313D7">
              <w:rPr>
                <w:rStyle w:val="Hyperlink"/>
                <w:noProof/>
                <w:szCs w:val="24"/>
              </w:rPr>
              <w:t>Policy option 4 – Mandatory labelling combined with an improved due diligence requirement, relying on a deforestation free definition</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_Toc84591924 \h </w:instrText>
            </w:r>
            <w:r w:rsidR="0021755A" w:rsidRPr="00A313D7">
              <w:rPr>
                <w:noProof/>
                <w:webHidden/>
                <w:szCs w:val="24"/>
              </w:rPr>
            </w:r>
            <w:r w:rsidR="0021755A" w:rsidRPr="00A313D7">
              <w:rPr>
                <w:noProof/>
                <w:webHidden/>
                <w:szCs w:val="24"/>
              </w:rPr>
              <w:fldChar w:fldCharType="separate"/>
            </w:r>
            <w:r>
              <w:rPr>
                <w:noProof/>
                <w:webHidden/>
                <w:szCs w:val="24"/>
              </w:rPr>
              <w:t>79</w:t>
            </w:r>
            <w:r w:rsidR="0021755A" w:rsidRPr="00A313D7">
              <w:rPr>
                <w:noProof/>
                <w:webHidden/>
                <w:szCs w:val="24"/>
              </w:rPr>
              <w:fldChar w:fldCharType="end"/>
            </w:r>
          </w:hyperlink>
        </w:p>
        <w:p w14:paraId="77FB5CEF" w14:textId="182EF01C" w:rsidR="0021755A" w:rsidRPr="00A313D7" w:rsidRDefault="008A6239">
          <w:pPr>
            <w:pStyle w:val="TOC2"/>
            <w:tabs>
              <w:tab w:val="left" w:pos="1077"/>
            </w:tabs>
            <w:rPr>
              <w:rFonts w:asciiTheme="minorHAnsi" w:eastAsiaTheme="minorEastAsia" w:hAnsiTheme="minorHAnsi" w:cstheme="minorBidi"/>
              <w:noProof/>
              <w:szCs w:val="24"/>
              <w:lang w:eastAsia="zh-CN"/>
            </w:rPr>
          </w:pPr>
          <w:hyperlink w:anchor="_Toc84591925" w:history="1">
            <w:r w:rsidR="0021755A" w:rsidRPr="00A313D7">
              <w:rPr>
                <w:rStyle w:val="Hyperlink"/>
                <w:noProof/>
                <w:szCs w:val="24"/>
              </w:rPr>
              <w:t>6.6</w:t>
            </w:r>
            <w:r w:rsidR="0021755A" w:rsidRPr="00A313D7">
              <w:rPr>
                <w:rFonts w:asciiTheme="minorHAnsi" w:eastAsiaTheme="minorEastAsia" w:hAnsiTheme="minorHAnsi" w:cstheme="minorBidi"/>
                <w:noProof/>
                <w:szCs w:val="24"/>
                <w:lang w:eastAsia="zh-CN"/>
              </w:rPr>
              <w:tab/>
            </w:r>
            <w:r w:rsidR="0021755A" w:rsidRPr="00A313D7">
              <w:rPr>
                <w:rStyle w:val="Hyperlink"/>
                <w:noProof/>
                <w:szCs w:val="24"/>
              </w:rPr>
              <w:t>Policy option 5 - Deforestation-free requirement for placing on the EU market supported by benchmarking and country card systems</w:t>
            </w:r>
            <w:r w:rsidR="0021755A" w:rsidRPr="00A313D7">
              <w:rPr>
                <w:noProof/>
                <w:webHidden/>
                <w:szCs w:val="24"/>
              </w:rPr>
              <w:tab/>
            </w:r>
            <w:r w:rsidR="0021755A" w:rsidRPr="00A313D7">
              <w:rPr>
                <w:noProof/>
                <w:webHidden/>
                <w:szCs w:val="24"/>
              </w:rPr>
              <w:fldChar w:fldCharType="begin"/>
            </w:r>
            <w:r w:rsidR="0021755A" w:rsidRPr="00A313D7">
              <w:rPr>
                <w:noProof/>
                <w:webHidden/>
                <w:szCs w:val="24"/>
              </w:rPr>
              <w:instrText xml:space="preserve"> PAGEREF _Toc84591925 \h </w:instrText>
            </w:r>
            <w:r w:rsidR="0021755A" w:rsidRPr="00A313D7">
              <w:rPr>
                <w:noProof/>
                <w:webHidden/>
                <w:szCs w:val="24"/>
              </w:rPr>
            </w:r>
            <w:r w:rsidR="0021755A" w:rsidRPr="00A313D7">
              <w:rPr>
                <w:noProof/>
                <w:webHidden/>
                <w:szCs w:val="24"/>
              </w:rPr>
              <w:fldChar w:fldCharType="separate"/>
            </w:r>
            <w:r>
              <w:rPr>
                <w:noProof/>
                <w:webHidden/>
                <w:szCs w:val="24"/>
              </w:rPr>
              <w:t>80</w:t>
            </w:r>
            <w:r w:rsidR="0021755A" w:rsidRPr="00A313D7">
              <w:rPr>
                <w:noProof/>
                <w:webHidden/>
                <w:szCs w:val="24"/>
              </w:rPr>
              <w:fldChar w:fldCharType="end"/>
            </w:r>
          </w:hyperlink>
        </w:p>
        <w:p w14:paraId="012933F7" w14:textId="6F830795" w:rsidR="0021755A" w:rsidRPr="00A313D7" w:rsidRDefault="008A6239">
          <w:pPr>
            <w:pStyle w:val="TOC1"/>
            <w:rPr>
              <w:rFonts w:asciiTheme="minorHAnsi" w:eastAsiaTheme="minorEastAsia" w:hAnsiTheme="minorHAnsi" w:cstheme="minorBidi"/>
              <w:caps w:val="0"/>
              <w:noProof/>
              <w:sz w:val="24"/>
              <w:szCs w:val="24"/>
              <w:lang w:eastAsia="zh-CN"/>
            </w:rPr>
          </w:pPr>
          <w:hyperlink w:anchor="_Toc84591926" w:history="1">
            <w:r w:rsidR="0021755A" w:rsidRPr="00A313D7">
              <w:rPr>
                <w:rStyle w:val="Hyperlink"/>
                <w:noProof/>
                <w:sz w:val="24"/>
                <w:szCs w:val="24"/>
              </w:rPr>
              <w:t>7</w:t>
            </w:r>
            <w:r w:rsidR="0021755A" w:rsidRPr="00A313D7">
              <w:rPr>
                <w:rFonts w:asciiTheme="minorHAnsi" w:eastAsiaTheme="minorEastAsia" w:hAnsiTheme="minorHAnsi" w:cstheme="minorBidi"/>
                <w:caps w:val="0"/>
                <w:noProof/>
                <w:sz w:val="24"/>
                <w:szCs w:val="24"/>
                <w:lang w:eastAsia="zh-CN"/>
              </w:rPr>
              <w:tab/>
            </w:r>
            <w:r w:rsidR="0021755A" w:rsidRPr="00A313D7">
              <w:rPr>
                <w:rStyle w:val="Hyperlink"/>
                <w:noProof/>
                <w:sz w:val="24"/>
                <w:szCs w:val="24"/>
              </w:rPr>
              <w:t>How do the options compare?</w:t>
            </w:r>
            <w:r w:rsidR="0021755A" w:rsidRPr="00A313D7">
              <w:rPr>
                <w:noProof/>
                <w:webHidden/>
                <w:sz w:val="24"/>
                <w:szCs w:val="24"/>
              </w:rPr>
              <w:tab/>
            </w:r>
            <w:r w:rsidR="0021755A" w:rsidRPr="00A313D7">
              <w:rPr>
                <w:noProof/>
                <w:webHidden/>
                <w:sz w:val="24"/>
                <w:szCs w:val="24"/>
              </w:rPr>
              <w:fldChar w:fldCharType="begin"/>
            </w:r>
            <w:r w:rsidR="0021755A" w:rsidRPr="00A313D7">
              <w:rPr>
                <w:noProof/>
                <w:webHidden/>
                <w:sz w:val="24"/>
                <w:szCs w:val="24"/>
              </w:rPr>
              <w:instrText xml:space="preserve"> PAGEREF _Toc84591926 \h </w:instrText>
            </w:r>
            <w:r w:rsidR="0021755A" w:rsidRPr="00A313D7">
              <w:rPr>
                <w:noProof/>
                <w:webHidden/>
                <w:sz w:val="24"/>
                <w:szCs w:val="24"/>
              </w:rPr>
            </w:r>
            <w:r w:rsidR="0021755A" w:rsidRPr="00A313D7">
              <w:rPr>
                <w:noProof/>
                <w:webHidden/>
                <w:sz w:val="24"/>
                <w:szCs w:val="24"/>
              </w:rPr>
              <w:fldChar w:fldCharType="separate"/>
            </w:r>
            <w:r>
              <w:rPr>
                <w:noProof/>
                <w:webHidden/>
                <w:sz w:val="24"/>
                <w:szCs w:val="24"/>
              </w:rPr>
              <w:t>83</w:t>
            </w:r>
            <w:r w:rsidR="0021755A" w:rsidRPr="00A313D7">
              <w:rPr>
                <w:noProof/>
                <w:webHidden/>
                <w:sz w:val="24"/>
                <w:szCs w:val="24"/>
              </w:rPr>
              <w:fldChar w:fldCharType="end"/>
            </w:r>
          </w:hyperlink>
        </w:p>
        <w:p w14:paraId="24BB3704" w14:textId="0AA62D71" w:rsidR="0021755A" w:rsidRPr="00A313D7" w:rsidRDefault="008A6239">
          <w:pPr>
            <w:pStyle w:val="TOC1"/>
            <w:rPr>
              <w:rFonts w:asciiTheme="minorHAnsi" w:eastAsiaTheme="minorEastAsia" w:hAnsiTheme="minorHAnsi" w:cstheme="minorBidi"/>
              <w:caps w:val="0"/>
              <w:noProof/>
              <w:sz w:val="24"/>
              <w:szCs w:val="24"/>
              <w:lang w:eastAsia="zh-CN"/>
            </w:rPr>
          </w:pPr>
          <w:hyperlink w:anchor="_Toc84591927" w:history="1">
            <w:r w:rsidR="0021755A" w:rsidRPr="00A313D7">
              <w:rPr>
                <w:rStyle w:val="Hyperlink"/>
                <w:noProof/>
                <w:sz w:val="24"/>
                <w:szCs w:val="24"/>
              </w:rPr>
              <w:t>8</w:t>
            </w:r>
            <w:r w:rsidR="0021755A" w:rsidRPr="00A313D7">
              <w:rPr>
                <w:rFonts w:asciiTheme="minorHAnsi" w:eastAsiaTheme="minorEastAsia" w:hAnsiTheme="minorHAnsi" w:cstheme="minorBidi"/>
                <w:caps w:val="0"/>
                <w:noProof/>
                <w:sz w:val="24"/>
                <w:szCs w:val="24"/>
                <w:lang w:eastAsia="zh-CN"/>
              </w:rPr>
              <w:tab/>
            </w:r>
            <w:r w:rsidR="0021755A" w:rsidRPr="00A313D7">
              <w:rPr>
                <w:rStyle w:val="Hyperlink"/>
                <w:noProof/>
                <w:sz w:val="24"/>
                <w:szCs w:val="24"/>
              </w:rPr>
              <w:t>Preferred option</w:t>
            </w:r>
            <w:r w:rsidR="0021755A" w:rsidRPr="00A313D7">
              <w:rPr>
                <w:noProof/>
                <w:webHidden/>
                <w:sz w:val="24"/>
                <w:szCs w:val="24"/>
              </w:rPr>
              <w:tab/>
            </w:r>
            <w:r w:rsidR="0021755A" w:rsidRPr="00A313D7">
              <w:rPr>
                <w:noProof/>
                <w:webHidden/>
                <w:sz w:val="24"/>
                <w:szCs w:val="24"/>
              </w:rPr>
              <w:fldChar w:fldCharType="begin"/>
            </w:r>
            <w:r w:rsidR="0021755A" w:rsidRPr="00A313D7">
              <w:rPr>
                <w:noProof/>
                <w:webHidden/>
                <w:sz w:val="24"/>
                <w:szCs w:val="24"/>
              </w:rPr>
              <w:instrText xml:space="preserve"> PAGEREF _Toc84591927 \h </w:instrText>
            </w:r>
            <w:r w:rsidR="0021755A" w:rsidRPr="00A313D7">
              <w:rPr>
                <w:noProof/>
                <w:webHidden/>
                <w:sz w:val="24"/>
                <w:szCs w:val="24"/>
              </w:rPr>
            </w:r>
            <w:r w:rsidR="0021755A" w:rsidRPr="00A313D7">
              <w:rPr>
                <w:noProof/>
                <w:webHidden/>
                <w:sz w:val="24"/>
                <w:szCs w:val="24"/>
              </w:rPr>
              <w:fldChar w:fldCharType="separate"/>
            </w:r>
            <w:r>
              <w:rPr>
                <w:noProof/>
                <w:webHidden/>
                <w:sz w:val="24"/>
                <w:szCs w:val="24"/>
              </w:rPr>
              <w:t>84</w:t>
            </w:r>
            <w:r w:rsidR="0021755A" w:rsidRPr="00A313D7">
              <w:rPr>
                <w:noProof/>
                <w:webHidden/>
                <w:sz w:val="24"/>
                <w:szCs w:val="24"/>
              </w:rPr>
              <w:fldChar w:fldCharType="end"/>
            </w:r>
          </w:hyperlink>
        </w:p>
        <w:p w14:paraId="3D3A5558" w14:textId="6C45FCF8" w:rsidR="0021755A" w:rsidRDefault="008A6239">
          <w:pPr>
            <w:pStyle w:val="TOC1"/>
            <w:rPr>
              <w:rFonts w:asciiTheme="minorHAnsi" w:eastAsiaTheme="minorEastAsia" w:hAnsiTheme="minorHAnsi" w:cstheme="minorBidi"/>
              <w:caps w:val="0"/>
              <w:noProof/>
              <w:sz w:val="22"/>
              <w:szCs w:val="22"/>
              <w:lang w:eastAsia="zh-CN"/>
            </w:rPr>
          </w:pPr>
          <w:hyperlink w:anchor="_Toc84591928" w:history="1">
            <w:r w:rsidR="0021755A" w:rsidRPr="00A313D7">
              <w:rPr>
                <w:rStyle w:val="Hyperlink"/>
                <w:noProof/>
                <w:sz w:val="24"/>
                <w:szCs w:val="24"/>
              </w:rPr>
              <w:t>9</w:t>
            </w:r>
            <w:r w:rsidR="0021755A" w:rsidRPr="00A313D7">
              <w:rPr>
                <w:rFonts w:asciiTheme="minorHAnsi" w:eastAsiaTheme="minorEastAsia" w:hAnsiTheme="minorHAnsi" w:cstheme="minorBidi"/>
                <w:caps w:val="0"/>
                <w:noProof/>
                <w:sz w:val="24"/>
                <w:szCs w:val="24"/>
                <w:lang w:eastAsia="zh-CN"/>
              </w:rPr>
              <w:tab/>
            </w:r>
            <w:r w:rsidR="0021755A" w:rsidRPr="00A313D7">
              <w:rPr>
                <w:rStyle w:val="Hyperlink"/>
                <w:noProof/>
                <w:sz w:val="24"/>
                <w:szCs w:val="24"/>
              </w:rPr>
              <w:t>How will actual impacts be monitored and</w:t>
            </w:r>
            <w:r w:rsidR="00BF400C">
              <w:rPr>
                <w:rStyle w:val="Hyperlink"/>
                <w:noProof/>
                <w:sz w:val="24"/>
                <w:szCs w:val="24"/>
              </w:rPr>
              <w:tab/>
            </w:r>
            <w:r w:rsidR="00BF400C">
              <w:rPr>
                <w:rStyle w:val="Hyperlink"/>
                <w:noProof/>
                <w:sz w:val="24"/>
                <w:szCs w:val="24"/>
              </w:rPr>
              <w:br/>
            </w:r>
            <w:r w:rsidR="0021755A" w:rsidRPr="00A313D7">
              <w:rPr>
                <w:rStyle w:val="Hyperlink"/>
                <w:noProof/>
                <w:sz w:val="24"/>
                <w:szCs w:val="24"/>
              </w:rPr>
              <w:t xml:space="preserve"> evaluated?</w:t>
            </w:r>
            <w:r w:rsidR="0021755A" w:rsidRPr="00A313D7">
              <w:rPr>
                <w:noProof/>
                <w:webHidden/>
                <w:sz w:val="24"/>
                <w:szCs w:val="24"/>
              </w:rPr>
              <w:tab/>
            </w:r>
            <w:r w:rsidR="0021755A" w:rsidRPr="00A313D7">
              <w:rPr>
                <w:noProof/>
                <w:webHidden/>
                <w:sz w:val="24"/>
                <w:szCs w:val="24"/>
              </w:rPr>
              <w:fldChar w:fldCharType="begin"/>
            </w:r>
            <w:r w:rsidR="0021755A" w:rsidRPr="00A313D7">
              <w:rPr>
                <w:noProof/>
                <w:webHidden/>
                <w:sz w:val="24"/>
                <w:szCs w:val="24"/>
              </w:rPr>
              <w:instrText xml:space="preserve"> PAGEREF _Toc84591928 \h </w:instrText>
            </w:r>
            <w:r w:rsidR="0021755A" w:rsidRPr="00A313D7">
              <w:rPr>
                <w:noProof/>
                <w:webHidden/>
                <w:sz w:val="24"/>
                <w:szCs w:val="24"/>
              </w:rPr>
            </w:r>
            <w:r w:rsidR="0021755A" w:rsidRPr="00A313D7">
              <w:rPr>
                <w:noProof/>
                <w:webHidden/>
                <w:sz w:val="24"/>
                <w:szCs w:val="24"/>
              </w:rPr>
              <w:fldChar w:fldCharType="separate"/>
            </w:r>
            <w:r>
              <w:rPr>
                <w:noProof/>
                <w:webHidden/>
                <w:sz w:val="24"/>
                <w:szCs w:val="24"/>
              </w:rPr>
              <w:t>85</w:t>
            </w:r>
            <w:r w:rsidR="0021755A" w:rsidRPr="00A313D7">
              <w:rPr>
                <w:noProof/>
                <w:webHidden/>
                <w:sz w:val="24"/>
                <w:szCs w:val="24"/>
              </w:rPr>
              <w:fldChar w:fldCharType="end"/>
            </w:r>
          </w:hyperlink>
        </w:p>
        <w:p w14:paraId="6BD65EE0" w14:textId="2F4D2346" w:rsidR="00476B39" w:rsidRPr="007C1494" w:rsidRDefault="00D72AFD" w:rsidP="00D72AFD">
          <w:pPr>
            <w:pStyle w:val="TOC1"/>
            <w:rPr>
              <w:noProof/>
            </w:rPr>
          </w:pPr>
          <w:r w:rsidRPr="007C1494">
            <w:rPr>
              <w:noProof/>
            </w:rPr>
            <w:fldChar w:fldCharType="end"/>
          </w:r>
        </w:p>
      </w:sdtContent>
    </w:sdt>
    <w:p w14:paraId="59E71669" w14:textId="544A50EB" w:rsidR="00476B39" w:rsidRPr="007C1494" w:rsidRDefault="00476B39">
      <w:pPr>
        <w:rPr>
          <w:b/>
          <w:noProof/>
          <w:sz w:val="28"/>
          <w:szCs w:val="28"/>
        </w:rPr>
      </w:pPr>
      <w:r w:rsidRPr="007C1494">
        <w:rPr>
          <w:b/>
          <w:noProof/>
          <w:sz w:val="28"/>
          <w:szCs w:val="28"/>
        </w:rPr>
        <w:br w:type="page"/>
      </w:r>
    </w:p>
    <w:p w14:paraId="04C7796E" w14:textId="77777777" w:rsidR="00244E6A" w:rsidRPr="007C1494" w:rsidRDefault="00244E6A">
      <w:pPr>
        <w:jc w:val="center"/>
        <w:rPr>
          <w:b/>
          <w:bCs/>
          <w:noProof/>
          <w:sz w:val="28"/>
          <w:szCs w:val="28"/>
        </w:rPr>
      </w:pPr>
      <w:r w:rsidRPr="007C1494">
        <w:rPr>
          <w:b/>
          <w:bCs/>
          <w:noProof/>
          <w:sz w:val="28"/>
          <w:szCs w:val="28"/>
        </w:rPr>
        <w:lastRenderedPageBreak/>
        <w:t>Glossary</w:t>
      </w:r>
    </w:p>
    <w:tbl>
      <w:tblPr>
        <w:tblStyle w:val="TableGrid"/>
        <w:tblW w:w="0" w:type="auto"/>
        <w:tblLook w:val="04A0" w:firstRow="1" w:lastRow="0" w:firstColumn="1" w:lastColumn="0" w:noHBand="0" w:noVBand="1"/>
      </w:tblPr>
      <w:tblGrid>
        <w:gridCol w:w="3227"/>
        <w:gridCol w:w="5607"/>
      </w:tblGrid>
      <w:tr w:rsidR="00244E6A" w:rsidRPr="007C1494" w14:paraId="50220758" w14:textId="77777777" w:rsidTr="009C1286">
        <w:tc>
          <w:tcPr>
            <w:tcW w:w="3227" w:type="dxa"/>
            <w:tcBorders>
              <w:bottom w:val="double" w:sz="4" w:space="0" w:color="auto"/>
            </w:tcBorders>
            <w:shd w:val="clear" w:color="auto" w:fill="F2F2F2" w:themeFill="background1" w:themeFillShade="F2"/>
          </w:tcPr>
          <w:p w14:paraId="248F7ED4" w14:textId="77777777" w:rsidR="00244E6A" w:rsidRPr="007C1494" w:rsidRDefault="00244E6A" w:rsidP="009C1286">
            <w:pPr>
              <w:spacing w:before="120" w:after="120"/>
              <w:jc w:val="center"/>
              <w:rPr>
                <w:b/>
                <w:bCs/>
                <w:i/>
                <w:iCs/>
                <w:noProof/>
              </w:rPr>
            </w:pPr>
            <w:r w:rsidRPr="007C1494">
              <w:rPr>
                <w:b/>
                <w:bCs/>
                <w:i/>
                <w:iCs/>
                <w:noProof/>
              </w:rPr>
              <w:t>Term or acronym</w:t>
            </w:r>
          </w:p>
        </w:tc>
        <w:tc>
          <w:tcPr>
            <w:tcW w:w="5607" w:type="dxa"/>
            <w:tcBorders>
              <w:bottom w:val="double" w:sz="4" w:space="0" w:color="auto"/>
            </w:tcBorders>
            <w:shd w:val="clear" w:color="auto" w:fill="F2F2F2" w:themeFill="background1" w:themeFillShade="F2"/>
          </w:tcPr>
          <w:p w14:paraId="2115417E" w14:textId="77777777" w:rsidR="00244E6A" w:rsidRPr="007C1494" w:rsidRDefault="00244E6A" w:rsidP="009C1286">
            <w:pPr>
              <w:spacing w:before="120" w:after="120"/>
              <w:jc w:val="center"/>
              <w:rPr>
                <w:b/>
                <w:bCs/>
                <w:i/>
                <w:iCs/>
                <w:noProof/>
              </w:rPr>
            </w:pPr>
            <w:r w:rsidRPr="007C1494">
              <w:rPr>
                <w:b/>
                <w:bCs/>
                <w:i/>
                <w:iCs/>
                <w:noProof/>
              </w:rPr>
              <w:t>Meaning or definition</w:t>
            </w:r>
          </w:p>
        </w:tc>
      </w:tr>
      <w:tr w:rsidR="00244E6A" w:rsidRPr="007C1494" w14:paraId="02EB378F" w14:textId="77777777" w:rsidTr="18AE8254">
        <w:tc>
          <w:tcPr>
            <w:tcW w:w="3227" w:type="dxa"/>
            <w:tcBorders>
              <w:top w:val="double" w:sz="4" w:space="0" w:color="auto"/>
            </w:tcBorders>
            <w:tcMar>
              <w:top w:w="85" w:type="dxa"/>
              <w:left w:w="57" w:type="dxa"/>
              <w:bottom w:w="85" w:type="dxa"/>
              <w:right w:w="57" w:type="dxa"/>
            </w:tcMar>
          </w:tcPr>
          <w:p w14:paraId="6A05A809" w14:textId="4C6BE8DF" w:rsidR="00244E6A" w:rsidRPr="007C1494" w:rsidRDefault="00E8502D" w:rsidP="00244E6A">
            <w:pPr>
              <w:rPr>
                <w:noProof/>
                <w:szCs w:val="24"/>
              </w:rPr>
            </w:pPr>
            <w:r w:rsidRPr="007C1494">
              <w:rPr>
                <w:noProof/>
                <w:szCs w:val="24"/>
              </w:rPr>
              <w:t>AFI</w:t>
            </w:r>
          </w:p>
        </w:tc>
        <w:tc>
          <w:tcPr>
            <w:tcW w:w="5607" w:type="dxa"/>
            <w:tcBorders>
              <w:top w:val="double" w:sz="4" w:space="0" w:color="auto"/>
            </w:tcBorders>
            <w:tcMar>
              <w:top w:w="85" w:type="dxa"/>
              <w:left w:w="57" w:type="dxa"/>
              <w:bottom w:w="85" w:type="dxa"/>
              <w:right w:w="57" w:type="dxa"/>
            </w:tcMar>
          </w:tcPr>
          <w:p w14:paraId="5A39BBE3" w14:textId="077F9CEE" w:rsidR="00244E6A" w:rsidRPr="007C1494" w:rsidRDefault="00E8502D" w:rsidP="00E8502D">
            <w:pPr>
              <w:rPr>
                <w:noProof/>
                <w:szCs w:val="24"/>
              </w:rPr>
            </w:pPr>
            <w:r w:rsidRPr="007C1494">
              <w:rPr>
                <w:noProof/>
                <w:szCs w:val="24"/>
              </w:rPr>
              <w:t>Accountability Framework Initiative</w:t>
            </w:r>
          </w:p>
        </w:tc>
      </w:tr>
      <w:tr w:rsidR="0064086E" w:rsidRPr="007C1494" w14:paraId="713A1D4A" w14:textId="77777777" w:rsidTr="18AE8254">
        <w:tc>
          <w:tcPr>
            <w:tcW w:w="3227" w:type="dxa"/>
            <w:tcBorders>
              <w:top w:val="double" w:sz="4" w:space="0" w:color="auto"/>
            </w:tcBorders>
            <w:tcMar>
              <w:top w:w="85" w:type="dxa"/>
              <w:left w:w="57" w:type="dxa"/>
              <w:bottom w:w="85" w:type="dxa"/>
              <w:right w:w="57" w:type="dxa"/>
            </w:tcMar>
          </w:tcPr>
          <w:p w14:paraId="6A02A62F" w14:textId="43F1B567" w:rsidR="0064086E" w:rsidRPr="007C1494" w:rsidRDefault="0064086E" w:rsidP="00244E6A">
            <w:pPr>
              <w:rPr>
                <w:noProof/>
                <w:szCs w:val="24"/>
              </w:rPr>
            </w:pPr>
            <w:r>
              <w:rPr>
                <w:noProof/>
                <w:szCs w:val="24"/>
              </w:rPr>
              <w:t>CA</w:t>
            </w:r>
          </w:p>
        </w:tc>
        <w:tc>
          <w:tcPr>
            <w:tcW w:w="5607" w:type="dxa"/>
            <w:tcBorders>
              <w:top w:val="double" w:sz="4" w:space="0" w:color="auto"/>
            </w:tcBorders>
            <w:tcMar>
              <w:top w:w="85" w:type="dxa"/>
              <w:left w:w="57" w:type="dxa"/>
              <w:bottom w:w="85" w:type="dxa"/>
              <w:right w:w="57" w:type="dxa"/>
            </w:tcMar>
          </w:tcPr>
          <w:p w14:paraId="02AE3BD5" w14:textId="3362BECC" w:rsidR="0064086E" w:rsidRPr="007C1494" w:rsidRDefault="0064086E" w:rsidP="00E8502D">
            <w:pPr>
              <w:rPr>
                <w:noProof/>
                <w:szCs w:val="24"/>
              </w:rPr>
            </w:pPr>
            <w:r>
              <w:rPr>
                <w:noProof/>
                <w:szCs w:val="24"/>
              </w:rPr>
              <w:t>Competent Authority</w:t>
            </w:r>
          </w:p>
        </w:tc>
      </w:tr>
      <w:tr w:rsidR="00E8502D" w:rsidRPr="007C1494" w14:paraId="41C8F396" w14:textId="77777777" w:rsidTr="18AE8254">
        <w:tc>
          <w:tcPr>
            <w:tcW w:w="3227" w:type="dxa"/>
            <w:tcMar>
              <w:top w:w="85" w:type="dxa"/>
              <w:left w:w="57" w:type="dxa"/>
              <w:bottom w:w="85" w:type="dxa"/>
              <w:right w:w="57" w:type="dxa"/>
            </w:tcMar>
          </w:tcPr>
          <w:p w14:paraId="72A3D3EC" w14:textId="46E5908C" w:rsidR="00E8502D" w:rsidRPr="007C1494" w:rsidRDefault="00E8502D" w:rsidP="00E8502D">
            <w:pPr>
              <w:rPr>
                <w:noProof/>
                <w:szCs w:val="24"/>
              </w:rPr>
            </w:pPr>
            <w:r w:rsidRPr="007C1494">
              <w:rPr>
                <w:noProof/>
                <w:szCs w:val="24"/>
              </w:rPr>
              <w:t>CBD</w:t>
            </w:r>
          </w:p>
        </w:tc>
        <w:tc>
          <w:tcPr>
            <w:tcW w:w="5607" w:type="dxa"/>
            <w:tcMar>
              <w:top w:w="85" w:type="dxa"/>
              <w:left w:w="57" w:type="dxa"/>
              <w:bottom w:w="85" w:type="dxa"/>
              <w:right w:w="57" w:type="dxa"/>
            </w:tcMar>
          </w:tcPr>
          <w:p w14:paraId="0D0B940D" w14:textId="6FE735C8" w:rsidR="00E8502D" w:rsidRPr="007C1494" w:rsidRDefault="00E8502D" w:rsidP="00E8502D">
            <w:pPr>
              <w:rPr>
                <w:noProof/>
                <w:szCs w:val="24"/>
              </w:rPr>
            </w:pPr>
            <w:r w:rsidRPr="007C1494">
              <w:rPr>
                <w:noProof/>
                <w:szCs w:val="24"/>
              </w:rPr>
              <w:t>Convention on Biologic Diversity</w:t>
            </w:r>
          </w:p>
        </w:tc>
      </w:tr>
      <w:tr w:rsidR="00667CA6" w:rsidRPr="007C1494" w14:paraId="0AA006A1" w14:textId="77777777" w:rsidTr="00667CA6">
        <w:trPr>
          <w:trHeight w:val="330"/>
        </w:trPr>
        <w:tc>
          <w:tcPr>
            <w:tcW w:w="3227" w:type="dxa"/>
            <w:tcMar>
              <w:top w:w="85" w:type="dxa"/>
              <w:left w:w="57" w:type="dxa"/>
              <w:bottom w:w="85" w:type="dxa"/>
              <w:right w:w="57" w:type="dxa"/>
            </w:tcMar>
          </w:tcPr>
          <w:p w14:paraId="3ECCE94F" w14:textId="1647B9EB" w:rsidR="00667CA6" w:rsidRPr="00A422BB" w:rsidRDefault="00667CA6" w:rsidP="00667CA6">
            <w:pPr>
              <w:rPr>
                <w:noProof/>
                <w:szCs w:val="24"/>
              </w:rPr>
            </w:pPr>
            <w:r w:rsidRPr="00A422BB">
              <w:rPr>
                <w:noProof/>
                <w:szCs w:val="24"/>
              </w:rPr>
              <w:t>COC</w:t>
            </w:r>
          </w:p>
        </w:tc>
        <w:tc>
          <w:tcPr>
            <w:tcW w:w="5607" w:type="dxa"/>
            <w:tcMar>
              <w:top w:w="85" w:type="dxa"/>
              <w:left w:w="57" w:type="dxa"/>
              <w:bottom w:w="85" w:type="dxa"/>
              <w:right w:w="57" w:type="dxa"/>
            </w:tcMar>
          </w:tcPr>
          <w:p w14:paraId="561F522A" w14:textId="210EA46B" w:rsidR="00667CA6" w:rsidRPr="00A422BB" w:rsidRDefault="00667CA6" w:rsidP="00667CA6">
            <w:pPr>
              <w:rPr>
                <w:noProof/>
                <w:szCs w:val="24"/>
              </w:rPr>
            </w:pPr>
            <w:r w:rsidRPr="00A422BB">
              <w:rPr>
                <w:noProof/>
                <w:szCs w:val="24"/>
              </w:rPr>
              <w:t>Chain of Custody</w:t>
            </w:r>
          </w:p>
        </w:tc>
      </w:tr>
      <w:tr w:rsidR="00E8502D" w:rsidRPr="007C1494" w14:paraId="0E27B00A" w14:textId="77777777" w:rsidTr="18AE8254">
        <w:trPr>
          <w:trHeight w:val="330"/>
        </w:trPr>
        <w:tc>
          <w:tcPr>
            <w:tcW w:w="3227" w:type="dxa"/>
            <w:tcMar>
              <w:top w:w="85" w:type="dxa"/>
              <w:left w:w="57" w:type="dxa"/>
              <w:bottom w:w="85" w:type="dxa"/>
              <w:right w:w="57" w:type="dxa"/>
            </w:tcMar>
          </w:tcPr>
          <w:p w14:paraId="60061E4C" w14:textId="14071B37" w:rsidR="00E8502D" w:rsidRPr="007C1494" w:rsidRDefault="00E8502D" w:rsidP="00E8502D">
            <w:pPr>
              <w:rPr>
                <w:noProof/>
                <w:szCs w:val="24"/>
              </w:rPr>
            </w:pPr>
            <w:r w:rsidRPr="007C1494">
              <w:rPr>
                <w:noProof/>
                <w:szCs w:val="24"/>
              </w:rPr>
              <w:t>COFO</w:t>
            </w:r>
          </w:p>
        </w:tc>
        <w:tc>
          <w:tcPr>
            <w:tcW w:w="5607" w:type="dxa"/>
            <w:tcMar>
              <w:top w:w="85" w:type="dxa"/>
              <w:left w:w="57" w:type="dxa"/>
              <w:bottom w:w="85" w:type="dxa"/>
              <w:right w:w="57" w:type="dxa"/>
            </w:tcMar>
          </w:tcPr>
          <w:p w14:paraId="44EAFD9C" w14:textId="6FABD3A3" w:rsidR="00E8502D" w:rsidRPr="007C1494" w:rsidRDefault="00E8502D" w:rsidP="00E8502D">
            <w:pPr>
              <w:rPr>
                <w:noProof/>
                <w:szCs w:val="24"/>
              </w:rPr>
            </w:pPr>
            <w:r w:rsidRPr="007C1494">
              <w:rPr>
                <w:noProof/>
                <w:szCs w:val="24"/>
              </w:rPr>
              <w:t xml:space="preserve">Committee on Forestry </w:t>
            </w:r>
          </w:p>
        </w:tc>
      </w:tr>
      <w:tr w:rsidR="00EB46B8" w:rsidRPr="007C1494" w14:paraId="2431CAD1" w14:textId="77777777" w:rsidTr="18AE8254">
        <w:trPr>
          <w:trHeight w:val="330"/>
        </w:trPr>
        <w:tc>
          <w:tcPr>
            <w:tcW w:w="3227" w:type="dxa"/>
            <w:tcMar>
              <w:top w:w="85" w:type="dxa"/>
              <w:left w:w="57" w:type="dxa"/>
              <w:bottom w:w="85" w:type="dxa"/>
              <w:right w:w="57" w:type="dxa"/>
            </w:tcMar>
          </w:tcPr>
          <w:p w14:paraId="194360A1" w14:textId="6CAAFF5F" w:rsidR="00EB46B8" w:rsidRPr="007C1494" w:rsidRDefault="00EB46B8" w:rsidP="00E8502D">
            <w:pPr>
              <w:rPr>
                <w:noProof/>
                <w:szCs w:val="24"/>
              </w:rPr>
            </w:pPr>
            <w:r>
              <w:rPr>
                <w:noProof/>
                <w:szCs w:val="24"/>
              </w:rPr>
              <w:t>DD</w:t>
            </w:r>
          </w:p>
        </w:tc>
        <w:tc>
          <w:tcPr>
            <w:tcW w:w="5607" w:type="dxa"/>
            <w:tcMar>
              <w:top w:w="85" w:type="dxa"/>
              <w:left w:w="57" w:type="dxa"/>
              <w:bottom w:w="85" w:type="dxa"/>
              <w:right w:w="57" w:type="dxa"/>
            </w:tcMar>
          </w:tcPr>
          <w:p w14:paraId="48DEBE27" w14:textId="5B4E3C54" w:rsidR="00EB46B8" w:rsidRPr="007C1494" w:rsidRDefault="00EB46B8" w:rsidP="00E8502D">
            <w:pPr>
              <w:rPr>
                <w:noProof/>
                <w:szCs w:val="24"/>
              </w:rPr>
            </w:pPr>
            <w:r>
              <w:rPr>
                <w:noProof/>
                <w:szCs w:val="24"/>
              </w:rPr>
              <w:t>Due Diligence</w:t>
            </w:r>
          </w:p>
        </w:tc>
      </w:tr>
      <w:tr w:rsidR="00E8502D" w:rsidRPr="007C1494" w14:paraId="4B94D5A5" w14:textId="77777777" w:rsidTr="18AE8254">
        <w:tc>
          <w:tcPr>
            <w:tcW w:w="3227" w:type="dxa"/>
            <w:tcMar>
              <w:top w:w="85" w:type="dxa"/>
              <w:left w:w="57" w:type="dxa"/>
              <w:bottom w:w="85" w:type="dxa"/>
              <w:right w:w="57" w:type="dxa"/>
            </w:tcMar>
          </w:tcPr>
          <w:p w14:paraId="3DEEC669" w14:textId="2DE2F912" w:rsidR="00E8502D" w:rsidRPr="007C1494" w:rsidRDefault="00E8502D" w:rsidP="00E8502D">
            <w:pPr>
              <w:rPr>
                <w:noProof/>
                <w:szCs w:val="24"/>
              </w:rPr>
            </w:pPr>
            <w:r w:rsidRPr="007C1494">
              <w:rPr>
                <w:noProof/>
                <w:szCs w:val="24"/>
              </w:rPr>
              <w:t>DDS</w:t>
            </w:r>
          </w:p>
        </w:tc>
        <w:tc>
          <w:tcPr>
            <w:tcW w:w="5607" w:type="dxa"/>
            <w:tcMar>
              <w:top w:w="85" w:type="dxa"/>
              <w:left w:w="57" w:type="dxa"/>
              <w:bottom w:w="85" w:type="dxa"/>
              <w:right w:w="57" w:type="dxa"/>
            </w:tcMar>
          </w:tcPr>
          <w:p w14:paraId="3656B9AB" w14:textId="7779EDE5" w:rsidR="00E8502D" w:rsidRPr="007C1494" w:rsidRDefault="00E8502D" w:rsidP="00E8502D">
            <w:pPr>
              <w:rPr>
                <w:noProof/>
                <w:szCs w:val="24"/>
              </w:rPr>
            </w:pPr>
            <w:r w:rsidRPr="007C1494">
              <w:rPr>
                <w:rFonts w:eastAsia="Calibri"/>
                <w:noProof/>
                <w:szCs w:val="24"/>
              </w:rPr>
              <w:t>Due Diligence System</w:t>
            </w:r>
          </w:p>
        </w:tc>
      </w:tr>
      <w:tr w:rsidR="00EB46B8" w:rsidRPr="007C1494" w14:paraId="383FA3A0" w14:textId="77777777" w:rsidTr="18AE8254">
        <w:tc>
          <w:tcPr>
            <w:tcW w:w="3227" w:type="dxa"/>
            <w:tcMar>
              <w:top w:w="85" w:type="dxa"/>
              <w:left w:w="57" w:type="dxa"/>
              <w:bottom w:w="85" w:type="dxa"/>
              <w:right w:w="57" w:type="dxa"/>
            </w:tcMar>
          </w:tcPr>
          <w:p w14:paraId="407A7745" w14:textId="173E9C21" w:rsidR="00EB46B8" w:rsidRPr="007C1494" w:rsidRDefault="00EB46B8" w:rsidP="00E8502D">
            <w:pPr>
              <w:rPr>
                <w:noProof/>
                <w:szCs w:val="24"/>
              </w:rPr>
            </w:pPr>
            <w:r>
              <w:rPr>
                <w:noProof/>
                <w:szCs w:val="24"/>
              </w:rPr>
              <w:t>EP</w:t>
            </w:r>
          </w:p>
        </w:tc>
        <w:tc>
          <w:tcPr>
            <w:tcW w:w="5607" w:type="dxa"/>
            <w:tcMar>
              <w:top w:w="85" w:type="dxa"/>
              <w:left w:w="57" w:type="dxa"/>
              <w:bottom w:w="85" w:type="dxa"/>
              <w:right w:w="57" w:type="dxa"/>
            </w:tcMar>
          </w:tcPr>
          <w:p w14:paraId="353E75F2" w14:textId="0BA38245" w:rsidR="00EB46B8" w:rsidRPr="007C1494" w:rsidRDefault="00EB46B8" w:rsidP="00E8502D">
            <w:pPr>
              <w:rPr>
                <w:rFonts w:eastAsia="Calibri"/>
                <w:noProof/>
                <w:szCs w:val="24"/>
              </w:rPr>
            </w:pPr>
            <w:r>
              <w:rPr>
                <w:rFonts w:eastAsia="Calibri"/>
                <w:noProof/>
                <w:szCs w:val="24"/>
              </w:rPr>
              <w:t>European Parliament</w:t>
            </w:r>
          </w:p>
        </w:tc>
      </w:tr>
      <w:tr w:rsidR="00E8502D" w:rsidRPr="007C1494" w14:paraId="45FB0818" w14:textId="77777777" w:rsidTr="18AE8254">
        <w:tc>
          <w:tcPr>
            <w:tcW w:w="3227" w:type="dxa"/>
            <w:tcMar>
              <w:top w:w="85" w:type="dxa"/>
              <w:left w:w="57" w:type="dxa"/>
              <w:bottom w:w="85" w:type="dxa"/>
              <w:right w:w="57" w:type="dxa"/>
            </w:tcMar>
          </w:tcPr>
          <w:p w14:paraId="049F31CB" w14:textId="1BA8598A" w:rsidR="00E8502D" w:rsidRPr="007C1494" w:rsidRDefault="00E8502D" w:rsidP="00E8502D">
            <w:pPr>
              <w:rPr>
                <w:noProof/>
                <w:szCs w:val="24"/>
              </w:rPr>
            </w:pPr>
            <w:r w:rsidRPr="007C1494">
              <w:rPr>
                <w:noProof/>
                <w:szCs w:val="24"/>
              </w:rPr>
              <w:t>EUTR</w:t>
            </w:r>
          </w:p>
        </w:tc>
        <w:tc>
          <w:tcPr>
            <w:tcW w:w="5607" w:type="dxa"/>
            <w:tcMar>
              <w:top w:w="85" w:type="dxa"/>
              <w:left w:w="57" w:type="dxa"/>
              <w:bottom w:w="85" w:type="dxa"/>
              <w:right w:w="57" w:type="dxa"/>
            </w:tcMar>
          </w:tcPr>
          <w:p w14:paraId="53128261" w14:textId="247FB39D" w:rsidR="00E8502D" w:rsidRPr="007C1494" w:rsidRDefault="00E8502D" w:rsidP="00E8502D">
            <w:pPr>
              <w:rPr>
                <w:noProof/>
                <w:szCs w:val="24"/>
              </w:rPr>
            </w:pPr>
            <w:r w:rsidRPr="007C1494">
              <w:rPr>
                <w:noProof/>
                <w:szCs w:val="24"/>
              </w:rPr>
              <w:t>European Union Timber Regulation</w:t>
            </w:r>
          </w:p>
        </w:tc>
      </w:tr>
      <w:tr w:rsidR="00E8502D" w:rsidRPr="007C1494" w14:paraId="62486C05" w14:textId="77777777" w:rsidTr="18AE8254">
        <w:tc>
          <w:tcPr>
            <w:tcW w:w="3227" w:type="dxa"/>
            <w:tcMar>
              <w:top w:w="85" w:type="dxa"/>
              <w:left w:w="57" w:type="dxa"/>
              <w:bottom w:w="85" w:type="dxa"/>
              <w:right w:w="57" w:type="dxa"/>
            </w:tcMar>
          </w:tcPr>
          <w:p w14:paraId="4101652C" w14:textId="521A5584" w:rsidR="00E8502D" w:rsidRPr="007C1494" w:rsidRDefault="00E8502D" w:rsidP="00E8502D">
            <w:pPr>
              <w:rPr>
                <w:noProof/>
                <w:szCs w:val="24"/>
              </w:rPr>
            </w:pPr>
            <w:r w:rsidRPr="007C1494">
              <w:rPr>
                <w:noProof/>
                <w:szCs w:val="24"/>
              </w:rPr>
              <w:t>FAO</w:t>
            </w:r>
          </w:p>
        </w:tc>
        <w:tc>
          <w:tcPr>
            <w:tcW w:w="5607" w:type="dxa"/>
            <w:tcMar>
              <w:top w:w="85" w:type="dxa"/>
              <w:left w:w="57" w:type="dxa"/>
              <w:bottom w:w="85" w:type="dxa"/>
              <w:right w:w="57" w:type="dxa"/>
            </w:tcMar>
          </w:tcPr>
          <w:p w14:paraId="4B99056E" w14:textId="574F8DBB" w:rsidR="00E8502D" w:rsidRPr="007C1494" w:rsidRDefault="00E8502D" w:rsidP="00E8502D">
            <w:pPr>
              <w:rPr>
                <w:noProof/>
                <w:szCs w:val="24"/>
              </w:rPr>
            </w:pPr>
            <w:r w:rsidRPr="007C1494">
              <w:rPr>
                <w:noProof/>
                <w:szCs w:val="24"/>
              </w:rPr>
              <w:t>Food and Agriculture Organization of the United Nations</w:t>
            </w:r>
          </w:p>
        </w:tc>
      </w:tr>
      <w:tr w:rsidR="00E8502D" w:rsidRPr="007C1494" w14:paraId="1299C43A" w14:textId="77777777" w:rsidTr="18AE8254">
        <w:tc>
          <w:tcPr>
            <w:tcW w:w="3227" w:type="dxa"/>
            <w:tcMar>
              <w:top w:w="85" w:type="dxa"/>
              <w:left w:w="57" w:type="dxa"/>
              <w:bottom w:w="85" w:type="dxa"/>
              <w:right w:w="57" w:type="dxa"/>
            </w:tcMar>
          </w:tcPr>
          <w:p w14:paraId="4DDBEF00" w14:textId="21FD248A" w:rsidR="00E8502D" w:rsidRPr="007C1494" w:rsidRDefault="00E8502D" w:rsidP="00E8502D">
            <w:pPr>
              <w:rPr>
                <w:noProof/>
                <w:szCs w:val="24"/>
              </w:rPr>
            </w:pPr>
            <w:r w:rsidRPr="007C1494">
              <w:rPr>
                <w:noProof/>
                <w:szCs w:val="24"/>
              </w:rPr>
              <w:t>FLEGT</w:t>
            </w:r>
          </w:p>
        </w:tc>
        <w:tc>
          <w:tcPr>
            <w:tcW w:w="5607" w:type="dxa"/>
            <w:tcMar>
              <w:top w:w="85" w:type="dxa"/>
              <w:left w:w="57" w:type="dxa"/>
              <w:bottom w:w="85" w:type="dxa"/>
              <w:right w:w="57" w:type="dxa"/>
            </w:tcMar>
          </w:tcPr>
          <w:p w14:paraId="3461D779" w14:textId="076F814D" w:rsidR="00E8502D" w:rsidRPr="007C1494" w:rsidRDefault="00E8502D" w:rsidP="00E8502D">
            <w:pPr>
              <w:rPr>
                <w:noProof/>
                <w:szCs w:val="24"/>
              </w:rPr>
            </w:pPr>
            <w:r w:rsidRPr="007C1494">
              <w:rPr>
                <w:noProof/>
                <w:szCs w:val="24"/>
              </w:rPr>
              <w:t>Forest Law Enforcement Governance and Trade</w:t>
            </w:r>
          </w:p>
        </w:tc>
      </w:tr>
      <w:tr w:rsidR="00E8502D" w:rsidRPr="007C1494" w14:paraId="3CF2D8B6" w14:textId="77777777" w:rsidTr="18AE8254">
        <w:tc>
          <w:tcPr>
            <w:tcW w:w="3227" w:type="dxa"/>
            <w:tcMar>
              <w:top w:w="85" w:type="dxa"/>
              <w:left w:w="57" w:type="dxa"/>
              <w:bottom w:w="85" w:type="dxa"/>
              <w:right w:w="57" w:type="dxa"/>
            </w:tcMar>
          </w:tcPr>
          <w:p w14:paraId="0FB78278" w14:textId="5BC01F2B" w:rsidR="00E8502D" w:rsidRPr="007C1494" w:rsidRDefault="00E8502D" w:rsidP="00E8502D">
            <w:pPr>
              <w:rPr>
                <w:noProof/>
                <w:szCs w:val="24"/>
              </w:rPr>
            </w:pPr>
            <w:r w:rsidRPr="007C1494">
              <w:rPr>
                <w:rFonts w:eastAsiaTheme="minorEastAsia"/>
                <w:noProof/>
                <w:szCs w:val="24"/>
              </w:rPr>
              <w:t>GATS</w:t>
            </w:r>
          </w:p>
        </w:tc>
        <w:tc>
          <w:tcPr>
            <w:tcW w:w="5607" w:type="dxa"/>
            <w:tcMar>
              <w:top w:w="85" w:type="dxa"/>
              <w:left w:w="57" w:type="dxa"/>
              <w:bottom w:w="85" w:type="dxa"/>
              <w:right w:w="57" w:type="dxa"/>
            </w:tcMar>
          </w:tcPr>
          <w:p w14:paraId="1FC39945" w14:textId="7478974C" w:rsidR="00E8502D" w:rsidRPr="007C1494" w:rsidRDefault="00E8502D" w:rsidP="00E8502D">
            <w:pPr>
              <w:rPr>
                <w:noProof/>
                <w:szCs w:val="24"/>
              </w:rPr>
            </w:pPr>
            <w:r w:rsidRPr="007C1494">
              <w:rPr>
                <w:rFonts w:eastAsiaTheme="minorEastAsia"/>
                <w:noProof/>
                <w:szCs w:val="24"/>
              </w:rPr>
              <w:t xml:space="preserve">General Agreement on Trade in Services </w:t>
            </w:r>
          </w:p>
        </w:tc>
      </w:tr>
      <w:tr w:rsidR="00E8502D" w:rsidRPr="007C1494" w14:paraId="0562CB0E" w14:textId="77777777" w:rsidTr="18AE8254">
        <w:tc>
          <w:tcPr>
            <w:tcW w:w="3227" w:type="dxa"/>
            <w:tcMar>
              <w:top w:w="85" w:type="dxa"/>
              <w:left w:w="57" w:type="dxa"/>
              <w:bottom w:w="85" w:type="dxa"/>
              <w:right w:w="57" w:type="dxa"/>
            </w:tcMar>
          </w:tcPr>
          <w:p w14:paraId="34CE0A41" w14:textId="51514747" w:rsidR="00E8502D" w:rsidRPr="007C1494" w:rsidRDefault="00E8502D" w:rsidP="00E8502D">
            <w:pPr>
              <w:rPr>
                <w:noProof/>
                <w:szCs w:val="24"/>
              </w:rPr>
            </w:pPr>
            <w:r w:rsidRPr="007C1494">
              <w:rPr>
                <w:rFonts w:eastAsiaTheme="minorEastAsia"/>
                <w:noProof/>
                <w:szCs w:val="24"/>
              </w:rPr>
              <w:t>GATT</w:t>
            </w:r>
          </w:p>
        </w:tc>
        <w:tc>
          <w:tcPr>
            <w:tcW w:w="5607" w:type="dxa"/>
            <w:tcMar>
              <w:top w:w="85" w:type="dxa"/>
              <w:left w:w="57" w:type="dxa"/>
              <w:bottom w:w="85" w:type="dxa"/>
              <w:right w:w="57" w:type="dxa"/>
            </w:tcMar>
          </w:tcPr>
          <w:p w14:paraId="62EBF3C5" w14:textId="3628549F" w:rsidR="00E8502D" w:rsidRPr="007C1494" w:rsidRDefault="00E8502D" w:rsidP="00E8502D">
            <w:pPr>
              <w:rPr>
                <w:noProof/>
                <w:szCs w:val="24"/>
              </w:rPr>
            </w:pPr>
            <w:r w:rsidRPr="007C1494">
              <w:rPr>
                <w:rFonts w:eastAsiaTheme="minorEastAsia"/>
                <w:noProof/>
                <w:szCs w:val="24"/>
              </w:rPr>
              <w:t>General Agreement on Tariffs and Trade</w:t>
            </w:r>
          </w:p>
        </w:tc>
      </w:tr>
      <w:tr w:rsidR="0012279B" w:rsidRPr="007C1494" w14:paraId="14DF30AB" w14:textId="77777777" w:rsidTr="0012279B">
        <w:tc>
          <w:tcPr>
            <w:tcW w:w="3227" w:type="dxa"/>
            <w:tcMar>
              <w:top w:w="85" w:type="dxa"/>
              <w:left w:w="57" w:type="dxa"/>
              <w:bottom w:w="85" w:type="dxa"/>
              <w:right w:w="57" w:type="dxa"/>
            </w:tcMar>
          </w:tcPr>
          <w:p w14:paraId="108830F1" w14:textId="7D7680D8" w:rsidR="0012279B" w:rsidRPr="00A422BB" w:rsidRDefault="0012279B" w:rsidP="0012279B">
            <w:pPr>
              <w:rPr>
                <w:noProof/>
                <w:szCs w:val="24"/>
              </w:rPr>
            </w:pPr>
            <w:r w:rsidRPr="00A422BB">
              <w:rPr>
                <w:noProof/>
                <w:szCs w:val="24"/>
              </w:rPr>
              <w:t>GDP</w:t>
            </w:r>
          </w:p>
        </w:tc>
        <w:tc>
          <w:tcPr>
            <w:tcW w:w="5607" w:type="dxa"/>
            <w:tcMar>
              <w:top w:w="85" w:type="dxa"/>
              <w:left w:w="57" w:type="dxa"/>
              <w:bottom w:w="85" w:type="dxa"/>
              <w:right w:w="57" w:type="dxa"/>
            </w:tcMar>
          </w:tcPr>
          <w:p w14:paraId="53CA59AD" w14:textId="69973D8D" w:rsidR="0012279B" w:rsidRPr="00A422BB" w:rsidRDefault="0012279B" w:rsidP="0012279B">
            <w:pPr>
              <w:rPr>
                <w:noProof/>
                <w:szCs w:val="24"/>
              </w:rPr>
            </w:pPr>
            <w:r w:rsidRPr="00A422BB">
              <w:rPr>
                <w:noProof/>
                <w:szCs w:val="24"/>
              </w:rPr>
              <w:t>Gross Domestic Product</w:t>
            </w:r>
          </w:p>
        </w:tc>
      </w:tr>
      <w:tr w:rsidR="00E8502D" w:rsidRPr="007C1494" w14:paraId="6D98A12B" w14:textId="77777777" w:rsidTr="18AE8254">
        <w:tc>
          <w:tcPr>
            <w:tcW w:w="3227" w:type="dxa"/>
            <w:tcMar>
              <w:top w:w="85" w:type="dxa"/>
              <w:left w:w="57" w:type="dxa"/>
              <w:bottom w:w="85" w:type="dxa"/>
              <w:right w:w="57" w:type="dxa"/>
            </w:tcMar>
          </w:tcPr>
          <w:p w14:paraId="2946DB82" w14:textId="44432BD5" w:rsidR="00E8502D" w:rsidRPr="007C1494" w:rsidRDefault="00E8502D" w:rsidP="00E8502D">
            <w:pPr>
              <w:rPr>
                <w:noProof/>
                <w:szCs w:val="24"/>
              </w:rPr>
            </w:pPr>
            <w:r w:rsidRPr="007C1494">
              <w:rPr>
                <w:noProof/>
                <w:szCs w:val="24"/>
              </w:rPr>
              <w:t>GHG</w:t>
            </w:r>
          </w:p>
        </w:tc>
        <w:tc>
          <w:tcPr>
            <w:tcW w:w="5607" w:type="dxa"/>
            <w:tcMar>
              <w:top w:w="85" w:type="dxa"/>
              <w:left w:w="57" w:type="dxa"/>
              <w:bottom w:w="85" w:type="dxa"/>
              <w:right w:w="57" w:type="dxa"/>
            </w:tcMar>
          </w:tcPr>
          <w:p w14:paraId="5997CC1D" w14:textId="5FF55C93" w:rsidR="00E8502D" w:rsidRPr="007C1494" w:rsidRDefault="00E8502D" w:rsidP="00E8502D">
            <w:pPr>
              <w:rPr>
                <w:noProof/>
                <w:szCs w:val="24"/>
              </w:rPr>
            </w:pPr>
            <w:r w:rsidRPr="007C1494">
              <w:rPr>
                <w:noProof/>
                <w:szCs w:val="24"/>
              </w:rPr>
              <w:t xml:space="preserve">Greenhouse Gas </w:t>
            </w:r>
          </w:p>
        </w:tc>
      </w:tr>
      <w:tr w:rsidR="00E8502D" w:rsidRPr="007C1494" w14:paraId="110FFD37" w14:textId="77777777" w:rsidTr="18AE8254">
        <w:tc>
          <w:tcPr>
            <w:tcW w:w="3227" w:type="dxa"/>
            <w:tcMar>
              <w:top w:w="85" w:type="dxa"/>
              <w:left w:w="57" w:type="dxa"/>
              <w:bottom w:w="85" w:type="dxa"/>
              <w:right w:w="57" w:type="dxa"/>
            </w:tcMar>
          </w:tcPr>
          <w:p w14:paraId="6B699379" w14:textId="1A50020A" w:rsidR="00E8502D" w:rsidRPr="007C1494" w:rsidRDefault="00E8502D" w:rsidP="00E8502D">
            <w:pPr>
              <w:rPr>
                <w:noProof/>
                <w:szCs w:val="24"/>
              </w:rPr>
            </w:pPr>
            <w:r w:rsidRPr="007C1494">
              <w:rPr>
                <w:noProof/>
                <w:szCs w:val="24"/>
              </w:rPr>
              <w:t>IA</w:t>
            </w:r>
          </w:p>
        </w:tc>
        <w:tc>
          <w:tcPr>
            <w:tcW w:w="5607" w:type="dxa"/>
            <w:tcMar>
              <w:top w:w="85" w:type="dxa"/>
              <w:left w:w="57" w:type="dxa"/>
              <w:bottom w:w="85" w:type="dxa"/>
              <w:right w:w="57" w:type="dxa"/>
            </w:tcMar>
          </w:tcPr>
          <w:p w14:paraId="3FE9F23F" w14:textId="5B1D9E55" w:rsidR="00E8502D" w:rsidRPr="007C1494" w:rsidRDefault="00E8502D" w:rsidP="00E8502D">
            <w:pPr>
              <w:rPr>
                <w:noProof/>
                <w:szCs w:val="24"/>
              </w:rPr>
            </w:pPr>
            <w:r w:rsidRPr="007C1494">
              <w:rPr>
                <w:noProof/>
                <w:szCs w:val="24"/>
              </w:rPr>
              <w:t>Impact Assessment</w:t>
            </w:r>
          </w:p>
        </w:tc>
      </w:tr>
      <w:tr w:rsidR="00E8502D" w:rsidRPr="007C1494" w14:paraId="1F72F646" w14:textId="77777777" w:rsidTr="18AE8254">
        <w:tc>
          <w:tcPr>
            <w:tcW w:w="3227" w:type="dxa"/>
            <w:tcMar>
              <w:top w:w="85" w:type="dxa"/>
              <w:left w:w="57" w:type="dxa"/>
              <w:bottom w:w="85" w:type="dxa"/>
              <w:right w:w="57" w:type="dxa"/>
            </w:tcMar>
          </w:tcPr>
          <w:p w14:paraId="08CE6F91" w14:textId="752D7EC1" w:rsidR="00E8502D" w:rsidRPr="007C1494" w:rsidRDefault="00E8502D" w:rsidP="00E8502D">
            <w:pPr>
              <w:rPr>
                <w:noProof/>
                <w:szCs w:val="24"/>
              </w:rPr>
            </w:pPr>
            <w:r w:rsidRPr="007C1494">
              <w:rPr>
                <w:noProof/>
                <w:szCs w:val="24"/>
              </w:rPr>
              <w:t>OPC</w:t>
            </w:r>
          </w:p>
        </w:tc>
        <w:tc>
          <w:tcPr>
            <w:tcW w:w="5607" w:type="dxa"/>
            <w:tcMar>
              <w:top w:w="85" w:type="dxa"/>
              <w:left w:w="57" w:type="dxa"/>
              <w:bottom w:w="85" w:type="dxa"/>
              <w:right w:w="57" w:type="dxa"/>
            </w:tcMar>
          </w:tcPr>
          <w:p w14:paraId="61CDCEAD" w14:textId="20EB5159" w:rsidR="00E8502D" w:rsidRPr="007C1494" w:rsidRDefault="0029595A" w:rsidP="0029595A">
            <w:pPr>
              <w:rPr>
                <w:noProof/>
                <w:szCs w:val="24"/>
              </w:rPr>
            </w:pPr>
            <w:r w:rsidRPr="007C1494">
              <w:rPr>
                <w:noProof/>
                <w:szCs w:val="24"/>
              </w:rPr>
              <w:t xml:space="preserve">Online </w:t>
            </w:r>
            <w:r w:rsidR="00E8502D" w:rsidRPr="007C1494">
              <w:rPr>
                <w:noProof/>
                <w:szCs w:val="24"/>
              </w:rPr>
              <w:t>Public Consultation</w:t>
            </w:r>
          </w:p>
        </w:tc>
      </w:tr>
      <w:tr w:rsidR="00E8502D" w:rsidRPr="007C1494" w14:paraId="6BB9E253" w14:textId="77777777" w:rsidTr="18AE8254">
        <w:trPr>
          <w:trHeight w:val="25"/>
        </w:trPr>
        <w:tc>
          <w:tcPr>
            <w:tcW w:w="3227" w:type="dxa"/>
            <w:tcMar>
              <w:top w:w="85" w:type="dxa"/>
              <w:left w:w="57" w:type="dxa"/>
              <w:bottom w:w="85" w:type="dxa"/>
              <w:right w:w="57" w:type="dxa"/>
            </w:tcMar>
          </w:tcPr>
          <w:p w14:paraId="23DE523C" w14:textId="0FE83A9F" w:rsidR="00E8502D" w:rsidRPr="007C1494" w:rsidRDefault="00E8502D" w:rsidP="00E8502D">
            <w:pPr>
              <w:rPr>
                <w:noProof/>
                <w:szCs w:val="24"/>
              </w:rPr>
            </w:pPr>
            <w:r w:rsidRPr="007C1494">
              <w:rPr>
                <w:noProof/>
                <w:szCs w:val="24"/>
              </w:rPr>
              <w:t>IPBES</w:t>
            </w:r>
          </w:p>
        </w:tc>
        <w:tc>
          <w:tcPr>
            <w:tcW w:w="5607" w:type="dxa"/>
            <w:tcMar>
              <w:top w:w="85" w:type="dxa"/>
              <w:left w:w="57" w:type="dxa"/>
              <w:bottom w:w="85" w:type="dxa"/>
              <w:right w:w="57" w:type="dxa"/>
            </w:tcMar>
          </w:tcPr>
          <w:p w14:paraId="52E56223" w14:textId="793C0DBE" w:rsidR="00E8502D" w:rsidRPr="007C1494" w:rsidRDefault="00E8502D" w:rsidP="00E8502D">
            <w:pPr>
              <w:rPr>
                <w:noProof/>
                <w:szCs w:val="24"/>
              </w:rPr>
            </w:pPr>
            <w:r w:rsidRPr="007C1494">
              <w:rPr>
                <w:noProof/>
                <w:szCs w:val="24"/>
              </w:rPr>
              <w:t>Intergovernmental Science-Policy Platform on Biodiversity and Ecosystem Services</w:t>
            </w:r>
          </w:p>
        </w:tc>
      </w:tr>
      <w:tr w:rsidR="00E8502D" w:rsidRPr="007C1494" w14:paraId="07547A01" w14:textId="77777777" w:rsidTr="18AE8254">
        <w:tc>
          <w:tcPr>
            <w:tcW w:w="3227" w:type="dxa"/>
            <w:tcMar>
              <w:top w:w="85" w:type="dxa"/>
              <w:left w:w="57" w:type="dxa"/>
              <w:bottom w:w="85" w:type="dxa"/>
              <w:right w:w="57" w:type="dxa"/>
            </w:tcMar>
          </w:tcPr>
          <w:p w14:paraId="5043CB0F" w14:textId="71EF0267" w:rsidR="00E8502D" w:rsidRPr="007C1494" w:rsidRDefault="00E8502D" w:rsidP="00E8502D">
            <w:pPr>
              <w:rPr>
                <w:noProof/>
                <w:szCs w:val="24"/>
              </w:rPr>
            </w:pPr>
            <w:r w:rsidRPr="007C1494">
              <w:rPr>
                <w:noProof/>
                <w:szCs w:val="24"/>
              </w:rPr>
              <w:t>IPCC</w:t>
            </w:r>
          </w:p>
        </w:tc>
        <w:tc>
          <w:tcPr>
            <w:tcW w:w="5607" w:type="dxa"/>
            <w:tcMar>
              <w:top w:w="85" w:type="dxa"/>
              <w:left w:w="57" w:type="dxa"/>
              <w:bottom w:w="85" w:type="dxa"/>
              <w:right w:w="57" w:type="dxa"/>
            </w:tcMar>
          </w:tcPr>
          <w:p w14:paraId="07459315" w14:textId="6DD07A41" w:rsidR="00E8502D" w:rsidRPr="007C1494" w:rsidRDefault="00E8502D" w:rsidP="00E8502D">
            <w:pPr>
              <w:rPr>
                <w:noProof/>
                <w:szCs w:val="24"/>
              </w:rPr>
            </w:pPr>
            <w:r w:rsidRPr="007C1494">
              <w:rPr>
                <w:noProof/>
                <w:szCs w:val="24"/>
              </w:rPr>
              <w:t>Intergovernmental Panel on Climate Change</w:t>
            </w:r>
          </w:p>
        </w:tc>
      </w:tr>
      <w:tr w:rsidR="00E8502D" w:rsidRPr="007C1494" w14:paraId="2073A5FF" w14:textId="77777777" w:rsidTr="18AE8254">
        <w:tc>
          <w:tcPr>
            <w:tcW w:w="3227" w:type="dxa"/>
            <w:tcMar>
              <w:top w:w="85" w:type="dxa"/>
              <w:left w:w="57" w:type="dxa"/>
              <w:bottom w:w="85" w:type="dxa"/>
              <w:right w:w="57" w:type="dxa"/>
            </w:tcMar>
          </w:tcPr>
          <w:p w14:paraId="71030CEE" w14:textId="2BB95B9A" w:rsidR="00E8502D" w:rsidRPr="007C1494" w:rsidRDefault="00E8502D" w:rsidP="00E8502D">
            <w:pPr>
              <w:rPr>
                <w:noProof/>
                <w:szCs w:val="24"/>
              </w:rPr>
            </w:pPr>
            <w:r w:rsidRPr="007C1494">
              <w:rPr>
                <w:noProof/>
                <w:szCs w:val="24"/>
              </w:rPr>
              <w:t>IUU</w:t>
            </w:r>
          </w:p>
        </w:tc>
        <w:tc>
          <w:tcPr>
            <w:tcW w:w="5607" w:type="dxa"/>
            <w:tcMar>
              <w:top w:w="85" w:type="dxa"/>
              <w:left w:w="57" w:type="dxa"/>
              <w:bottom w:w="85" w:type="dxa"/>
              <w:right w:w="57" w:type="dxa"/>
            </w:tcMar>
          </w:tcPr>
          <w:p w14:paraId="1D13ECE4" w14:textId="769776E6" w:rsidR="00E8502D" w:rsidRPr="007C1494" w:rsidRDefault="00E8502D" w:rsidP="00E8502D">
            <w:pPr>
              <w:rPr>
                <w:noProof/>
                <w:szCs w:val="24"/>
              </w:rPr>
            </w:pPr>
            <w:r w:rsidRPr="007C1494">
              <w:rPr>
                <w:noProof/>
                <w:szCs w:val="24"/>
                <w:shd w:val="clear" w:color="auto" w:fill="FFFFFF"/>
              </w:rPr>
              <w:t>Illegal, unreported and unregulated fishing</w:t>
            </w:r>
          </w:p>
        </w:tc>
      </w:tr>
      <w:tr w:rsidR="00E8502D" w:rsidRPr="007C1494" w14:paraId="6537F28F" w14:textId="77777777" w:rsidTr="18AE8254">
        <w:trPr>
          <w:trHeight w:val="261"/>
        </w:trPr>
        <w:tc>
          <w:tcPr>
            <w:tcW w:w="3227" w:type="dxa"/>
            <w:tcMar>
              <w:top w:w="85" w:type="dxa"/>
              <w:left w:w="57" w:type="dxa"/>
              <w:bottom w:w="85" w:type="dxa"/>
              <w:right w:w="57" w:type="dxa"/>
            </w:tcMar>
          </w:tcPr>
          <w:p w14:paraId="6DFB9E20" w14:textId="2FF21EE1" w:rsidR="00E8502D" w:rsidRPr="007C1494" w:rsidRDefault="00E8502D" w:rsidP="00E8502D">
            <w:pPr>
              <w:rPr>
                <w:noProof/>
                <w:szCs w:val="24"/>
              </w:rPr>
            </w:pPr>
            <w:r w:rsidRPr="007C1494">
              <w:rPr>
                <w:noProof/>
                <w:szCs w:val="24"/>
              </w:rPr>
              <w:t>LULUCF</w:t>
            </w:r>
          </w:p>
        </w:tc>
        <w:tc>
          <w:tcPr>
            <w:tcW w:w="5607" w:type="dxa"/>
            <w:tcMar>
              <w:top w:w="85" w:type="dxa"/>
              <w:left w:w="57" w:type="dxa"/>
              <w:bottom w:w="85" w:type="dxa"/>
              <w:right w:w="57" w:type="dxa"/>
            </w:tcMar>
          </w:tcPr>
          <w:p w14:paraId="70DF9E56" w14:textId="1430D1ED" w:rsidR="00E8502D" w:rsidRPr="007C1494" w:rsidRDefault="00E8502D" w:rsidP="00E8502D">
            <w:pPr>
              <w:rPr>
                <w:noProof/>
                <w:szCs w:val="24"/>
              </w:rPr>
            </w:pPr>
            <w:r w:rsidRPr="007C1494">
              <w:rPr>
                <w:noProof/>
                <w:szCs w:val="24"/>
              </w:rPr>
              <w:t>Land Use, Land Use Change and Forestry</w:t>
            </w:r>
          </w:p>
        </w:tc>
      </w:tr>
      <w:tr w:rsidR="00C9752F" w:rsidRPr="007C1494" w14:paraId="20A9B4B3" w14:textId="77777777" w:rsidTr="18AE8254">
        <w:trPr>
          <w:trHeight w:val="261"/>
        </w:trPr>
        <w:tc>
          <w:tcPr>
            <w:tcW w:w="3227" w:type="dxa"/>
            <w:tcMar>
              <w:top w:w="85" w:type="dxa"/>
              <w:left w:w="57" w:type="dxa"/>
              <w:bottom w:w="85" w:type="dxa"/>
              <w:right w:w="57" w:type="dxa"/>
            </w:tcMar>
          </w:tcPr>
          <w:p w14:paraId="120FE7CA" w14:textId="460303F9" w:rsidR="00C9752F" w:rsidRPr="007C1494" w:rsidRDefault="00C9752F" w:rsidP="00E8502D">
            <w:pPr>
              <w:rPr>
                <w:noProof/>
                <w:szCs w:val="24"/>
              </w:rPr>
            </w:pPr>
            <w:r>
              <w:rPr>
                <w:noProof/>
                <w:szCs w:val="24"/>
              </w:rPr>
              <w:t>MS</w:t>
            </w:r>
          </w:p>
        </w:tc>
        <w:tc>
          <w:tcPr>
            <w:tcW w:w="5607" w:type="dxa"/>
            <w:tcMar>
              <w:top w:w="85" w:type="dxa"/>
              <w:left w:w="57" w:type="dxa"/>
              <w:bottom w:w="85" w:type="dxa"/>
              <w:right w:w="57" w:type="dxa"/>
            </w:tcMar>
          </w:tcPr>
          <w:p w14:paraId="073BEAC1" w14:textId="54C37E0A" w:rsidR="00C9752F" w:rsidRPr="007C1494" w:rsidRDefault="00C9752F" w:rsidP="00E8502D">
            <w:pPr>
              <w:rPr>
                <w:noProof/>
                <w:szCs w:val="24"/>
              </w:rPr>
            </w:pPr>
            <w:r>
              <w:rPr>
                <w:noProof/>
                <w:szCs w:val="24"/>
              </w:rPr>
              <w:t>Member State</w:t>
            </w:r>
          </w:p>
        </w:tc>
      </w:tr>
      <w:tr w:rsidR="00E8502D" w:rsidRPr="007C1494" w14:paraId="44E871BC" w14:textId="77777777" w:rsidTr="18AE8254">
        <w:tc>
          <w:tcPr>
            <w:tcW w:w="3227" w:type="dxa"/>
            <w:tcMar>
              <w:top w:w="85" w:type="dxa"/>
              <w:left w:w="57" w:type="dxa"/>
              <w:bottom w:w="85" w:type="dxa"/>
              <w:right w:w="57" w:type="dxa"/>
            </w:tcMar>
          </w:tcPr>
          <w:p w14:paraId="144A5D23" w14:textId="5E739BE7" w:rsidR="00E8502D" w:rsidRPr="007C1494" w:rsidRDefault="00E8502D" w:rsidP="00E8502D">
            <w:pPr>
              <w:rPr>
                <w:noProof/>
                <w:szCs w:val="24"/>
              </w:rPr>
            </w:pPr>
            <w:r w:rsidRPr="007C1494">
              <w:rPr>
                <w:noProof/>
                <w:szCs w:val="24"/>
              </w:rPr>
              <w:t>NFRD</w:t>
            </w:r>
          </w:p>
        </w:tc>
        <w:tc>
          <w:tcPr>
            <w:tcW w:w="5607" w:type="dxa"/>
            <w:tcMar>
              <w:top w:w="85" w:type="dxa"/>
              <w:left w:w="57" w:type="dxa"/>
              <w:bottom w:w="85" w:type="dxa"/>
              <w:right w:w="57" w:type="dxa"/>
            </w:tcMar>
          </w:tcPr>
          <w:p w14:paraId="738610EB" w14:textId="67345A28" w:rsidR="00E8502D" w:rsidRPr="007C1494" w:rsidRDefault="00E8502D" w:rsidP="00E8502D">
            <w:pPr>
              <w:rPr>
                <w:noProof/>
                <w:szCs w:val="24"/>
              </w:rPr>
            </w:pPr>
            <w:r w:rsidRPr="007C1494">
              <w:rPr>
                <w:noProof/>
                <w:szCs w:val="24"/>
              </w:rPr>
              <w:t xml:space="preserve">Non-financial reporting Directive </w:t>
            </w:r>
          </w:p>
        </w:tc>
      </w:tr>
      <w:tr w:rsidR="00E8502D" w:rsidRPr="007C1494" w14:paraId="637805D2" w14:textId="77777777" w:rsidTr="18AE8254">
        <w:tc>
          <w:tcPr>
            <w:tcW w:w="3227" w:type="dxa"/>
            <w:tcMar>
              <w:top w:w="85" w:type="dxa"/>
              <w:left w:w="57" w:type="dxa"/>
              <w:bottom w:w="85" w:type="dxa"/>
              <w:right w:w="57" w:type="dxa"/>
            </w:tcMar>
          </w:tcPr>
          <w:p w14:paraId="463F29E8" w14:textId="22F68AB7" w:rsidR="00E8502D" w:rsidRPr="007C1494" w:rsidRDefault="00E8502D" w:rsidP="00E8502D">
            <w:pPr>
              <w:rPr>
                <w:noProof/>
                <w:szCs w:val="24"/>
              </w:rPr>
            </w:pPr>
            <w:r w:rsidRPr="007C1494">
              <w:rPr>
                <w:noProof/>
                <w:szCs w:val="24"/>
              </w:rPr>
              <w:t>NYDF</w:t>
            </w:r>
          </w:p>
        </w:tc>
        <w:tc>
          <w:tcPr>
            <w:tcW w:w="5607" w:type="dxa"/>
            <w:tcMar>
              <w:top w:w="85" w:type="dxa"/>
              <w:left w:w="57" w:type="dxa"/>
              <w:bottom w:w="85" w:type="dxa"/>
              <w:right w:w="57" w:type="dxa"/>
            </w:tcMar>
          </w:tcPr>
          <w:p w14:paraId="3B7B4B86" w14:textId="681C5BB1" w:rsidR="00E8502D" w:rsidRPr="007C1494" w:rsidRDefault="00E8502D" w:rsidP="00E8502D">
            <w:pPr>
              <w:rPr>
                <w:noProof/>
                <w:szCs w:val="24"/>
              </w:rPr>
            </w:pPr>
            <w:r w:rsidRPr="007C1494">
              <w:rPr>
                <w:noProof/>
                <w:szCs w:val="24"/>
              </w:rPr>
              <w:t xml:space="preserve">New York Declaration on Forests </w:t>
            </w:r>
          </w:p>
        </w:tc>
      </w:tr>
      <w:tr w:rsidR="00E8502D" w:rsidRPr="007C1494" w14:paraId="3A0FF5F2" w14:textId="77777777" w:rsidTr="18AE8254">
        <w:tc>
          <w:tcPr>
            <w:tcW w:w="3227" w:type="dxa"/>
            <w:tcMar>
              <w:top w:w="85" w:type="dxa"/>
              <w:left w:w="57" w:type="dxa"/>
              <w:bottom w:w="85" w:type="dxa"/>
              <w:right w:w="57" w:type="dxa"/>
            </w:tcMar>
          </w:tcPr>
          <w:p w14:paraId="5630AD66" w14:textId="76B064EA" w:rsidR="00E8502D" w:rsidRPr="007C1494" w:rsidRDefault="00E8502D" w:rsidP="00E8502D">
            <w:pPr>
              <w:rPr>
                <w:noProof/>
                <w:szCs w:val="24"/>
              </w:rPr>
            </w:pPr>
            <w:r w:rsidRPr="007C1494">
              <w:rPr>
                <w:noProof/>
                <w:szCs w:val="24"/>
              </w:rPr>
              <w:t>RED</w:t>
            </w:r>
          </w:p>
        </w:tc>
        <w:tc>
          <w:tcPr>
            <w:tcW w:w="5607" w:type="dxa"/>
            <w:tcMar>
              <w:top w:w="85" w:type="dxa"/>
              <w:left w:w="57" w:type="dxa"/>
              <w:bottom w:w="85" w:type="dxa"/>
              <w:right w:w="57" w:type="dxa"/>
            </w:tcMar>
          </w:tcPr>
          <w:p w14:paraId="61829076" w14:textId="22356D57" w:rsidR="00E8502D" w:rsidRPr="007C1494" w:rsidRDefault="00E8502D" w:rsidP="00E8502D">
            <w:pPr>
              <w:rPr>
                <w:noProof/>
                <w:szCs w:val="24"/>
              </w:rPr>
            </w:pPr>
            <w:r w:rsidRPr="007C1494">
              <w:rPr>
                <w:noProof/>
                <w:szCs w:val="24"/>
              </w:rPr>
              <w:t>Renewable Energy Directive</w:t>
            </w:r>
          </w:p>
        </w:tc>
      </w:tr>
      <w:tr w:rsidR="00E8502D" w:rsidRPr="007C1494" w14:paraId="43491132" w14:textId="77777777" w:rsidTr="18AE8254">
        <w:tc>
          <w:tcPr>
            <w:tcW w:w="3227" w:type="dxa"/>
            <w:tcMar>
              <w:top w:w="85" w:type="dxa"/>
              <w:left w:w="57" w:type="dxa"/>
              <w:bottom w:w="85" w:type="dxa"/>
              <w:right w:w="57" w:type="dxa"/>
            </w:tcMar>
          </w:tcPr>
          <w:p w14:paraId="3DA8A049" w14:textId="5C14BA21" w:rsidR="00E8502D" w:rsidRPr="007C1494" w:rsidRDefault="00E8502D" w:rsidP="00E8502D">
            <w:pPr>
              <w:rPr>
                <w:noProof/>
                <w:szCs w:val="24"/>
              </w:rPr>
            </w:pPr>
            <w:r w:rsidRPr="007C1494">
              <w:rPr>
                <w:noProof/>
                <w:szCs w:val="24"/>
              </w:rPr>
              <w:t>REDD</w:t>
            </w:r>
          </w:p>
        </w:tc>
        <w:tc>
          <w:tcPr>
            <w:tcW w:w="5607" w:type="dxa"/>
            <w:tcMar>
              <w:top w:w="85" w:type="dxa"/>
              <w:left w:w="57" w:type="dxa"/>
              <w:bottom w:w="85" w:type="dxa"/>
              <w:right w:w="57" w:type="dxa"/>
            </w:tcMar>
          </w:tcPr>
          <w:p w14:paraId="0919F141" w14:textId="0FF8EFD0" w:rsidR="00E8502D" w:rsidRPr="007C1494" w:rsidRDefault="00E8502D" w:rsidP="00E8502D">
            <w:pPr>
              <w:rPr>
                <w:noProof/>
                <w:szCs w:val="24"/>
              </w:rPr>
            </w:pPr>
            <w:r w:rsidRPr="007C1494">
              <w:rPr>
                <w:noProof/>
                <w:szCs w:val="24"/>
              </w:rPr>
              <w:t>Reducing Emissions from Deforestation and Forest Degradation</w:t>
            </w:r>
          </w:p>
        </w:tc>
      </w:tr>
      <w:tr w:rsidR="0012279B" w:rsidRPr="007C1494" w14:paraId="37FDB6A1" w14:textId="77777777" w:rsidTr="0012279B">
        <w:tc>
          <w:tcPr>
            <w:tcW w:w="3227" w:type="dxa"/>
            <w:tcMar>
              <w:top w:w="85" w:type="dxa"/>
              <w:left w:w="57" w:type="dxa"/>
              <w:bottom w:w="85" w:type="dxa"/>
              <w:right w:w="57" w:type="dxa"/>
            </w:tcMar>
          </w:tcPr>
          <w:p w14:paraId="39965C86" w14:textId="77777777" w:rsidR="0012279B" w:rsidRPr="00A422BB" w:rsidRDefault="0012279B" w:rsidP="0012279B">
            <w:pPr>
              <w:rPr>
                <w:noProof/>
                <w:szCs w:val="24"/>
              </w:rPr>
            </w:pPr>
            <w:r w:rsidRPr="00A422BB">
              <w:rPr>
                <w:noProof/>
                <w:szCs w:val="24"/>
              </w:rPr>
              <w:lastRenderedPageBreak/>
              <w:t>SDG</w:t>
            </w:r>
          </w:p>
        </w:tc>
        <w:tc>
          <w:tcPr>
            <w:tcW w:w="5607" w:type="dxa"/>
            <w:tcMar>
              <w:top w:w="85" w:type="dxa"/>
              <w:left w:w="57" w:type="dxa"/>
              <w:bottom w:w="85" w:type="dxa"/>
              <w:right w:w="57" w:type="dxa"/>
            </w:tcMar>
          </w:tcPr>
          <w:p w14:paraId="58686529" w14:textId="77777777" w:rsidR="0012279B" w:rsidRPr="00A422BB" w:rsidRDefault="0012279B" w:rsidP="0012279B">
            <w:pPr>
              <w:rPr>
                <w:noProof/>
                <w:szCs w:val="24"/>
              </w:rPr>
            </w:pPr>
            <w:r w:rsidRPr="00A422BB">
              <w:rPr>
                <w:noProof/>
                <w:szCs w:val="24"/>
              </w:rPr>
              <w:t>Sustainable Development Goals</w:t>
            </w:r>
          </w:p>
        </w:tc>
      </w:tr>
      <w:tr w:rsidR="00E8502D" w:rsidRPr="007C1494" w14:paraId="77150DC0" w14:textId="77777777" w:rsidTr="18AE8254">
        <w:tc>
          <w:tcPr>
            <w:tcW w:w="3227" w:type="dxa"/>
            <w:tcMar>
              <w:top w:w="85" w:type="dxa"/>
              <w:left w:w="57" w:type="dxa"/>
              <w:bottom w:w="85" w:type="dxa"/>
              <w:right w:w="57" w:type="dxa"/>
            </w:tcMar>
          </w:tcPr>
          <w:p w14:paraId="6525890C" w14:textId="716A722F" w:rsidR="00E8502D" w:rsidRPr="00A422BB" w:rsidRDefault="0012279B" w:rsidP="00E8502D">
            <w:pPr>
              <w:rPr>
                <w:noProof/>
                <w:szCs w:val="24"/>
              </w:rPr>
            </w:pPr>
            <w:r w:rsidRPr="00A422BB">
              <w:rPr>
                <w:noProof/>
                <w:szCs w:val="24"/>
              </w:rPr>
              <w:t>SME</w:t>
            </w:r>
          </w:p>
        </w:tc>
        <w:tc>
          <w:tcPr>
            <w:tcW w:w="5607" w:type="dxa"/>
            <w:tcMar>
              <w:top w:w="85" w:type="dxa"/>
              <w:left w:w="57" w:type="dxa"/>
              <w:bottom w:w="85" w:type="dxa"/>
              <w:right w:w="57" w:type="dxa"/>
            </w:tcMar>
          </w:tcPr>
          <w:p w14:paraId="6C07820D" w14:textId="4AA67472" w:rsidR="00E8502D" w:rsidRPr="00A422BB" w:rsidRDefault="0012279B" w:rsidP="00E8502D">
            <w:pPr>
              <w:rPr>
                <w:noProof/>
                <w:szCs w:val="24"/>
              </w:rPr>
            </w:pPr>
            <w:r w:rsidRPr="00A422BB">
              <w:rPr>
                <w:noProof/>
                <w:szCs w:val="24"/>
              </w:rPr>
              <w:t>Small and Medium Enterprise</w:t>
            </w:r>
          </w:p>
        </w:tc>
      </w:tr>
      <w:tr w:rsidR="00E8502D" w:rsidRPr="007C1494" w14:paraId="2BA226A1" w14:textId="77777777" w:rsidTr="18AE8254">
        <w:tc>
          <w:tcPr>
            <w:tcW w:w="3227" w:type="dxa"/>
            <w:tcMar>
              <w:top w:w="85" w:type="dxa"/>
              <w:left w:w="57" w:type="dxa"/>
              <w:bottom w:w="85" w:type="dxa"/>
              <w:right w:w="57" w:type="dxa"/>
            </w:tcMar>
          </w:tcPr>
          <w:p w14:paraId="17AD93B2" w14:textId="2B06A673" w:rsidR="00E8502D" w:rsidRPr="007C1494" w:rsidRDefault="00E8502D" w:rsidP="00E8502D">
            <w:pPr>
              <w:rPr>
                <w:noProof/>
                <w:szCs w:val="24"/>
              </w:rPr>
            </w:pPr>
            <w:r w:rsidRPr="007C1494">
              <w:rPr>
                <w:noProof/>
                <w:szCs w:val="24"/>
              </w:rPr>
              <w:t>TFEU</w:t>
            </w:r>
          </w:p>
        </w:tc>
        <w:tc>
          <w:tcPr>
            <w:tcW w:w="5607" w:type="dxa"/>
            <w:tcMar>
              <w:top w:w="85" w:type="dxa"/>
              <w:left w:w="57" w:type="dxa"/>
              <w:bottom w:w="85" w:type="dxa"/>
              <w:right w:w="57" w:type="dxa"/>
            </w:tcMar>
          </w:tcPr>
          <w:p w14:paraId="0DE4B5B7" w14:textId="4AE41501" w:rsidR="00E8502D" w:rsidRPr="007C1494" w:rsidRDefault="00E8502D" w:rsidP="00E8502D">
            <w:pPr>
              <w:rPr>
                <w:noProof/>
                <w:szCs w:val="24"/>
              </w:rPr>
            </w:pPr>
            <w:r w:rsidRPr="007C1494">
              <w:rPr>
                <w:noProof/>
                <w:szCs w:val="24"/>
              </w:rPr>
              <w:t>Treaty on the Functioning of the European Union</w:t>
            </w:r>
          </w:p>
        </w:tc>
      </w:tr>
      <w:tr w:rsidR="00487505" w:rsidRPr="007C1494" w14:paraId="66204FF1" w14:textId="77777777" w:rsidTr="18AE8254">
        <w:tc>
          <w:tcPr>
            <w:tcW w:w="3227" w:type="dxa"/>
            <w:tcMar>
              <w:top w:w="85" w:type="dxa"/>
              <w:left w:w="57" w:type="dxa"/>
              <w:bottom w:w="85" w:type="dxa"/>
              <w:right w:w="57" w:type="dxa"/>
            </w:tcMar>
          </w:tcPr>
          <w:p w14:paraId="2DBF0D7D" w14:textId="286FE2E5" w:rsidR="00487505" w:rsidRPr="007C1494" w:rsidRDefault="00487505" w:rsidP="00E8502D">
            <w:pPr>
              <w:rPr>
                <w:noProof/>
                <w:szCs w:val="24"/>
              </w:rPr>
            </w:pPr>
            <w:r w:rsidRPr="007C1494">
              <w:rPr>
                <w:noProof/>
                <w:szCs w:val="24"/>
              </w:rPr>
              <w:t>VPA</w:t>
            </w:r>
          </w:p>
        </w:tc>
        <w:tc>
          <w:tcPr>
            <w:tcW w:w="5607" w:type="dxa"/>
            <w:tcMar>
              <w:top w:w="85" w:type="dxa"/>
              <w:left w:w="57" w:type="dxa"/>
              <w:bottom w:w="85" w:type="dxa"/>
              <w:right w:w="57" w:type="dxa"/>
            </w:tcMar>
          </w:tcPr>
          <w:p w14:paraId="6B62F1B3" w14:textId="3A10309A" w:rsidR="00487505" w:rsidRPr="007C1494" w:rsidRDefault="00487505" w:rsidP="00E8502D">
            <w:pPr>
              <w:rPr>
                <w:noProof/>
                <w:szCs w:val="24"/>
              </w:rPr>
            </w:pPr>
            <w:r w:rsidRPr="007C1494">
              <w:rPr>
                <w:noProof/>
                <w:szCs w:val="24"/>
              </w:rPr>
              <w:t>Voluntary Partnership Agreements</w:t>
            </w:r>
          </w:p>
        </w:tc>
      </w:tr>
      <w:tr w:rsidR="00487505" w:rsidRPr="007C1494" w14:paraId="02F2C34E" w14:textId="77777777" w:rsidTr="18AE8254">
        <w:tc>
          <w:tcPr>
            <w:tcW w:w="3227" w:type="dxa"/>
            <w:tcMar>
              <w:top w:w="85" w:type="dxa"/>
              <w:left w:w="57" w:type="dxa"/>
              <w:bottom w:w="85" w:type="dxa"/>
              <w:right w:w="57" w:type="dxa"/>
            </w:tcMar>
          </w:tcPr>
          <w:p w14:paraId="680A4E5D" w14:textId="0FFAED57" w:rsidR="00487505" w:rsidRPr="007C1494" w:rsidRDefault="00487505" w:rsidP="00E8502D">
            <w:pPr>
              <w:rPr>
                <w:noProof/>
                <w:szCs w:val="24"/>
              </w:rPr>
            </w:pPr>
            <w:r w:rsidRPr="007C1494">
              <w:rPr>
                <w:noProof/>
                <w:szCs w:val="24"/>
              </w:rPr>
              <w:t>UNFCCC</w:t>
            </w:r>
          </w:p>
        </w:tc>
        <w:tc>
          <w:tcPr>
            <w:tcW w:w="5607" w:type="dxa"/>
            <w:tcMar>
              <w:top w:w="85" w:type="dxa"/>
              <w:left w:w="57" w:type="dxa"/>
              <w:bottom w:w="85" w:type="dxa"/>
              <w:right w:w="57" w:type="dxa"/>
            </w:tcMar>
          </w:tcPr>
          <w:p w14:paraId="19219836" w14:textId="52E0AA4B" w:rsidR="00487505" w:rsidRPr="007C1494" w:rsidRDefault="00487505" w:rsidP="00E8502D">
            <w:pPr>
              <w:rPr>
                <w:noProof/>
                <w:szCs w:val="24"/>
              </w:rPr>
            </w:pPr>
            <w:r w:rsidRPr="007C1494">
              <w:rPr>
                <w:noProof/>
                <w:szCs w:val="24"/>
              </w:rPr>
              <w:t xml:space="preserve">United Nations Framework Convention on Climate Change </w:t>
            </w:r>
          </w:p>
        </w:tc>
      </w:tr>
      <w:tr w:rsidR="0012279B" w:rsidRPr="007C1494" w14:paraId="36D92FF8" w14:textId="77777777" w:rsidTr="0012279B">
        <w:tc>
          <w:tcPr>
            <w:tcW w:w="3227" w:type="dxa"/>
            <w:tcMar>
              <w:top w:w="85" w:type="dxa"/>
              <w:left w:w="57" w:type="dxa"/>
              <w:bottom w:w="85" w:type="dxa"/>
              <w:right w:w="57" w:type="dxa"/>
            </w:tcMar>
          </w:tcPr>
          <w:p w14:paraId="6C7C6221" w14:textId="77777777" w:rsidR="0012279B" w:rsidRPr="007C1494" w:rsidRDefault="0012279B" w:rsidP="0012279B">
            <w:pPr>
              <w:rPr>
                <w:noProof/>
                <w:szCs w:val="24"/>
              </w:rPr>
            </w:pPr>
            <w:r w:rsidRPr="007C1494">
              <w:rPr>
                <w:noProof/>
                <w:szCs w:val="24"/>
              </w:rPr>
              <w:t>UNFF</w:t>
            </w:r>
          </w:p>
        </w:tc>
        <w:tc>
          <w:tcPr>
            <w:tcW w:w="5607" w:type="dxa"/>
            <w:tcMar>
              <w:top w:w="85" w:type="dxa"/>
              <w:left w:w="57" w:type="dxa"/>
              <w:bottom w:w="85" w:type="dxa"/>
              <w:right w:w="57" w:type="dxa"/>
            </w:tcMar>
          </w:tcPr>
          <w:p w14:paraId="7ACD739C" w14:textId="77777777" w:rsidR="0012279B" w:rsidRPr="007C1494" w:rsidRDefault="0012279B" w:rsidP="0012279B">
            <w:pPr>
              <w:rPr>
                <w:noProof/>
                <w:szCs w:val="24"/>
              </w:rPr>
            </w:pPr>
            <w:r w:rsidRPr="007C1494">
              <w:rPr>
                <w:noProof/>
                <w:szCs w:val="24"/>
              </w:rPr>
              <w:t xml:space="preserve">United Nations Forum on Forests </w:t>
            </w:r>
          </w:p>
        </w:tc>
      </w:tr>
      <w:tr w:rsidR="00487505" w:rsidRPr="007C1494" w14:paraId="296FEF7D" w14:textId="77777777" w:rsidTr="18AE8254">
        <w:tc>
          <w:tcPr>
            <w:tcW w:w="3227" w:type="dxa"/>
            <w:tcMar>
              <w:top w:w="85" w:type="dxa"/>
              <w:left w:w="57" w:type="dxa"/>
              <w:bottom w:w="85" w:type="dxa"/>
              <w:right w:w="57" w:type="dxa"/>
            </w:tcMar>
          </w:tcPr>
          <w:p w14:paraId="7194DBDC" w14:textId="228F853D" w:rsidR="00487505" w:rsidRPr="00A422BB" w:rsidRDefault="0012279B" w:rsidP="00E8502D">
            <w:pPr>
              <w:rPr>
                <w:noProof/>
                <w:szCs w:val="24"/>
              </w:rPr>
            </w:pPr>
            <w:r w:rsidRPr="00A422BB">
              <w:rPr>
                <w:noProof/>
                <w:szCs w:val="24"/>
              </w:rPr>
              <w:t>WTO</w:t>
            </w:r>
          </w:p>
        </w:tc>
        <w:tc>
          <w:tcPr>
            <w:tcW w:w="5607" w:type="dxa"/>
            <w:tcMar>
              <w:top w:w="85" w:type="dxa"/>
              <w:left w:w="57" w:type="dxa"/>
              <w:bottom w:w="85" w:type="dxa"/>
              <w:right w:w="57" w:type="dxa"/>
            </w:tcMar>
          </w:tcPr>
          <w:p w14:paraId="769D0D3C" w14:textId="0B530CF2" w:rsidR="00487505" w:rsidRPr="00A422BB" w:rsidRDefault="0012279B" w:rsidP="00E8502D">
            <w:pPr>
              <w:rPr>
                <w:noProof/>
                <w:szCs w:val="24"/>
              </w:rPr>
            </w:pPr>
            <w:r w:rsidRPr="00A422BB">
              <w:rPr>
                <w:noProof/>
                <w:szCs w:val="24"/>
              </w:rPr>
              <w:t xml:space="preserve">World Trade </w:t>
            </w:r>
            <w:r w:rsidR="00A422BB" w:rsidRPr="00A422BB">
              <w:rPr>
                <w:noProof/>
                <w:szCs w:val="24"/>
              </w:rPr>
              <w:t>Organisation</w:t>
            </w:r>
          </w:p>
        </w:tc>
      </w:tr>
    </w:tbl>
    <w:p w14:paraId="51CB5231" w14:textId="77777777" w:rsidR="008A3AD7" w:rsidRPr="007C1494" w:rsidRDefault="008A3AD7" w:rsidP="008A3AD7">
      <w:pPr>
        <w:spacing w:after="120" w:line="240" w:lineRule="auto"/>
        <w:jc w:val="both"/>
        <w:rPr>
          <w:rFonts w:eastAsia="Times New Roman" w:cs="Times New Roman"/>
          <w:noProof/>
          <w:szCs w:val="20"/>
        </w:rPr>
      </w:pPr>
      <w:bookmarkStart w:id="1" w:name="_Toc481484459"/>
      <w:bookmarkStart w:id="2" w:name="_Toc67074969"/>
    </w:p>
    <w:p w14:paraId="581BB1E6" w14:textId="77777777" w:rsidR="00110982" w:rsidRDefault="00110982">
      <w:pPr>
        <w:rPr>
          <w:rFonts w:eastAsia="Times New Roman" w:cs="Times New Roman"/>
          <w:b/>
          <w:smallCaps/>
          <w:noProof/>
          <w:szCs w:val="20"/>
        </w:rPr>
      </w:pPr>
      <w:r>
        <w:rPr>
          <w:noProof/>
        </w:rPr>
        <w:br w:type="page"/>
      </w:r>
    </w:p>
    <w:p w14:paraId="4F4DDF10" w14:textId="5718D119" w:rsidR="008213C8" w:rsidRPr="007C1494" w:rsidRDefault="00335526" w:rsidP="00335526">
      <w:pPr>
        <w:pStyle w:val="Heading1"/>
        <w:rPr>
          <w:noProof/>
        </w:rPr>
      </w:pPr>
      <w:bookmarkStart w:id="3" w:name="_Toc75542164"/>
      <w:bookmarkStart w:id="4" w:name="_Toc75543197"/>
      <w:bookmarkStart w:id="5" w:name="_Toc84591885"/>
      <w:r w:rsidRPr="00335526">
        <w:lastRenderedPageBreak/>
        <w:t>1</w:t>
      </w:r>
      <w:r w:rsidRPr="00335526">
        <w:tab/>
      </w:r>
      <w:r w:rsidR="00244E6A" w:rsidRPr="007C1494">
        <w:rPr>
          <w:noProof/>
        </w:rPr>
        <w:t>Introduction: Political and legal context</w:t>
      </w:r>
      <w:bookmarkEnd w:id="1"/>
      <w:bookmarkEnd w:id="2"/>
      <w:bookmarkEnd w:id="3"/>
      <w:bookmarkEnd w:id="4"/>
      <w:bookmarkEnd w:id="5"/>
    </w:p>
    <w:p w14:paraId="3D5C471A" w14:textId="4653B94B" w:rsidR="05B9A5F2" w:rsidRPr="007C1494" w:rsidRDefault="05B9A5F2">
      <w:pPr>
        <w:jc w:val="both"/>
        <w:rPr>
          <w:rFonts w:eastAsia="Times New Roman" w:cs="Times New Roman"/>
          <w:noProof/>
          <w:szCs w:val="24"/>
        </w:rPr>
      </w:pPr>
      <w:r w:rsidRPr="007C1494">
        <w:rPr>
          <w:rFonts w:eastAsia="Times New Roman" w:cs="Times New Roman"/>
          <w:noProof/>
          <w:szCs w:val="24"/>
        </w:rPr>
        <w:t xml:space="preserve">This impact assessment </w:t>
      </w:r>
      <w:r w:rsidR="668C67A4" w:rsidRPr="007C1494">
        <w:rPr>
          <w:rFonts w:eastAsia="Times New Roman" w:cs="Times New Roman"/>
          <w:noProof/>
          <w:szCs w:val="24"/>
        </w:rPr>
        <w:t xml:space="preserve">(IA) </w:t>
      </w:r>
      <w:r w:rsidRPr="007C1494">
        <w:rPr>
          <w:rFonts w:eastAsia="Times New Roman" w:cs="Times New Roman"/>
          <w:noProof/>
          <w:szCs w:val="24"/>
        </w:rPr>
        <w:t xml:space="preserve">accompanies the Commission proposal for </w:t>
      </w:r>
      <w:r w:rsidR="27EF3B77" w:rsidRPr="007C1494">
        <w:rPr>
          <w:rFonts w:eastAsia="Times New Roman" w:cs="Times New Roman"/>
          <w:noProof/>
          <w:szCs w:val="24"/>
        </w:rPr>
        <w:t>a regulation to minimise the risk of deforestation and forest degradation associated with products placed on the EU market.</w:t>
      </w:r>
      <w:r w:rsidR="7574A149" w:rsidRPr="007C1494">
        <w:rPr>
          <w:rFonts w:eastAsia="Times New Roman" w:cs="Times New Roman"/>
          <w:noProof/>
          <w:szCs w:val="24"/>
        </w:rPr>
        <w:t xml:space="preserve"> The proposal was </w:t>
      </w:r>
      <w:r w:rsidR="00046506" w:rsidRPr="007C1494">
        <w:rPr>
          <w:rFonts w:eastAsia="Times New Roman" w:cs="Times New Roman"/>
          <w:noProof/>
          <w:szCs w:val="24"/>
        </w:rPr>
        <w:t xml:space="preserve">first </w:t>
      </w:r>
      <w:r w:rsidR="7574A149" w:rsidRPr="007C1494">
        <w:rPr>
          <w:rFonts w:eastAsia="Times New Roman" w:cs="Times New Roman"/>
          <w:noProof/>
          <w:szCs w:val="24"/>
        </w:rPr>
        <w:t xml:space="preserve">announced in </w:t>
      </w:r>
      <w:r w:rsidR="0053280B" w:rsidRPr="007C1494">
        <w:rPr>
          <w:rFonts w:eastAsia="Times New Roman" w:cs="Times New Roman"/>
          <w:noProof/>
          <w:szCs w:val="24"/>
        </w:rPr>
        <w:t>the 2019 Commission Communication on Stepping up EU Action to Protect and Restore the World’s Forests</w:t>
      </w:r>
      <w:r w:rsidR="0053280B" w:rsidRPr="007C1494">
        <w:rPr>
          <w:rStyle w:val="FootnoteReference"/>
          <w:rFonts w:eastAsia="Times New Roman" w:cs="Times New Roman"/>
          <w:noProof/>
          <w:szCs w:val="24"/>
        </w:rPr>
        <w:footnoteReference w:id="2"/>
      </w:r>
      <w:r w:rsidR="00505447" w:rsidRPr="00A422BB">
        <w:rPr>
          <w:rFonts w:eastAsia="Times New Roman" w:cs="Times New Roman"/>
          <w:noProof/>
          <w:szCs w:val="24"/>
        </w:rPr>
        <w:t>(from here onwards “2019 Communication”),</w:t>
      </w:r>
      <w:r w:rsidR="00505447">
        <w:rPr>
          <w:rFonts w:eastAsia="Times New Roman" w:cs="Times New Roman"/>
          <w:noProof/>
          <w:szCs w:val="24"/>
        </w:rPr>
        <w:t xml:space="preserve"> </w:t>
      </w:r>
      <w:r w:rsidR="00046506" w:rsidRPr="007C1494">
        <w:rPr>
          <w:rFonts w:eastAsia="Times New Roman" w:cs="Times New Roman"/>
          <w:noProof/>
          <w:szCs w:val="24"/>
        </w:rPr>
        <w:t>and then confirmed</w:t>
      </w:r>
      <w:r w:rsidR="0053280B" w:rsidRPr="007C1494">
        <w:rPr>
          <w:rFonts w:eastAsia="Times New Roman" w:cs="Times New Roman"/>
          <w:noProof/>
          <w:szCs w:val="24"/>
        </w:rPr>
        <w:t xml:space="preserve"> in </w:t>
      </w:r>
      <w:r w:rsidR="00270AB0" w:rsidRPr="007C1494">
        <w:rPr>
          <w:rFonts w:eastAsia="Times New Roman" w:cs="Times New Roman"/>
          <w:noProof/>
          <w:szCs w:val="24"/>
        </w:rPr>
        <w:t>the European Green Deal</w:t>
      </w:r>
      <w:r w:rsidR="00184638">
        <w:rPr>
          <w:rFonts w:eastAsia="Times New Roman" w:cs="Times New Roman"/>
          <w:noProof/>
          <w:szCs w:val="24"/>
        </w:rPr>
        <w:t>,</w:t>
      </w:r>
      <w:r w:rsidR="00303303" w:rsidRPr="007C1494">
        <w:rPr>
          <w:rStyle w:val="FootnoteReference"/>
          <w:rFonts w:eastAsia="Times New Roman" w:cs="Times New Roman"/>
          <w:noProof/>
          <w:szCs w:val="24"/>
        </w:rPr>
        <w:footnoteReference w:id="3"/>
      </w:r>
      <w:r w:rsidR="00270AB0" w:rsidRPr="007C1494">
        <w:rPr>
          <w:rFonts w:eastAsia="Times New Roman" w:cs="Times New Roman"/>
          <w:noProof/>
          <w:szCs w:val="24"/>
        </w:rPr>
        <w:t xml:space="preserve"> the 2030 EU Biodiversity Strategy</w:t>
      </w:r>
      <w:r w:rsidR="00303303" w:rsidRPr="007C1494">
        <w:rPr>
          <w:rStyle w:val="FootnoteReference"/>
          <w:rFonts w:eastAsia="Times New Roman" w:cs="Times New Roman"/>
          <w:noProof/>
          <w:szCs w:val="24"/>
        </w:rPr>
        <w:footnoteReference w:id="4"/>
      </w:r>
      <w:r w:rsidR="00270AB0" w:rsidRPr="007C1494">
        <w:rPr>
          <w:rFonts w:eastAsia="Times New Roman" w:cs="Times New Roman"/>
          <w:noProof/>
          <w:szCs w:val="24"/>
        </w:rPr>
        <w:t xml:space="preserve"> and the Farm to Fork Initiative</w:t>
      </w:r>
      <w:r w:rsidR="00184638">
        <w:rPr>
          <w:rFonts w:eastAsia="Times New Roman" w:cs="Times New Roman"/>
          <w:noProof/>
          <w:szCs w:val="24"/>
        </w:rPr>
        <w:t>,</w:t>
      </w:r>
      <w:r w:rsidR="00303303" w:rsidRPr="007C1494">
        <w:rPr>
          <w:rStyle w:val="FootnoteReference"/>
          <w:rFonts w:eastAsia="Times New Roman" w:cs="Times New Roman"/>
          <w:noProof/>
          <w:szCs w:val="24"/>
        </w:rPr>
        <w:footnoteReference w:id="5"/>
      </w:r>
      <w:r w:rsidR="00270AB0" w:rsidRPr="007C1494">
        <w:rPr>
          <w:rFonts w:eastAsia="Times New Roman" w:cs="Times New Roman"/>
          <w:noProof/>
          <w:szCs w:val="24"/>
        </w:rPr>
        <w:t xml:space="preserve"> as well as in the Inception Impact Assessment</w:t>
      </w:r>
      <w:r w:rsidR="00184638">
        <w:rPr>
          <w:rFonts w:eastAsia="Times New Roman" w:cs="Times New Roman"/>
          <w:noProof/>
          <w:szCs w:val="24"/>
        </w:rPr>
        <w:t>.</w:t>
      </w:r>
      <w:r w:rsidR="00410F5A" w:rsidRPr="007C1494">
        <w:rPr>
          <w:rStyle w:val="FootnoteReference"/>
          <w:rFonts w:eastAsia="Times New Roman" w:cs="Times New Roman"/>
          <w:noProof/>
          <w:szCs w:val="24"/>
        </w:rPr>
        <w:footnoteReference w:id="6"/>
      </w:r>
    </w:p>
    <w:p w14:paraId="2F570C51" w14:textId="14F8530E" w:rsidR="00053A1F" w:rsidRPr="007C1494" w:rsidRDefault="00431453">
      <w:pPr>
        <w:jc w:val="both"/>
        <w:rPr>
          <w:rFonts w:eastAsia="Times New Roman" w:cs="Times New Roman"/>
          <w:noProof/>
          <w:szCs w:val="24"/>
        </w:rPr>
      </w:pPr>
      <w:r>
        <w:rPr>
          <w:rFonts w:eastAsia="Times New Roman" w:cs="Times New Roman"/>
          <w:noProof/>
          <w:szCs w:val="24"/>
        </w:rPr>
        <w:t>The</w:t>
      </w:r>
      <w:r w:rsidR="00053A1F" w:rsidRPr="007C1494">
        <w:rPr>
          <w:rFonts w:eastAsia="Times New Roman" w:cs="Times New Roman"/>
          <w:noProof/>
          <w:szCs w:val="24"/>
        </w:rPr>
        <w:t xml:space="preserve"> proposal </w:t>
      </w:r>
      <w:r>
        <w:rPr>
          <w:rFonts w:eastAsia="Times New Roman" w:cs="Times New Roman"/>
          <w:noProof/>
          <w:szCs w:val="24"/>
        </w:rPr>
        <w:t xml:space="preserve">is an integral part of and </w:t>
      </w:r>
      <w:r w:rsidR="00260872">
        <w:rPr>
          <w:rFonts w:eastAsia="Times New Roman" w:cs="Times New Roman"/>
          <w:noProof/>
          <w:szCs w:val="24"/>
        </w:rPr>
        <w:t>coherent with the overall objectives of the European Green Deal and all the initiatives developed thereunder</w:t>
      </w:r>
      <w:r>
        <w:rPr>
          <w:rFonts w:eastAsia="Times New Roman" w:cs="Times New Roman"/>
          <w:noProof/>
          <w:szCs w:val="24"/>
        </w:rPr>
        <w:t>. In</w:t>
      </w:r>
      <w:r w:rsidR="00260872">
        <w:rPr>
          <w:rFonts w:eastAsia="Times New Roman" w:cs="Times New Roman"/>
          <w:noProof/>
          <w:szCs w:val="24"/>
        </w:rPr>
        <w:t xml:space="preserve"> particular </w:t>
      </w:r>
      <w:r>
        <w:rPr>
          <w:rFonts w:eastAsia="Times New Roman" w:cs="Times New Roman"/>
          <w:noProof/>
          <w:szCs w:val="24"/>
        </w:rPr>
        <w:t>it should be complementary to the</w:t>
      </w:r>
      <w:r w:rsidR="00053A1F" w:rsidRPr="007C1494">
        <w:rPr>
          <w:rFonts w:eastAsia="Times New Roman" w:cs="Times New Roman"/>
          <w:noProof/>
          <w:szCs w:val="24"/>
        </w:rPr>
        <w:t xml:space="preserve"> other measures</w:t>
      </w:r>
      <w:r w:rsidR="00053A1F" w:rsidRPr="007C1494" w:rsidDel="00431453">
        <w:rPr>
          <w:rFonts w:eastAsia="Times New Roman" w:cs="Times New Roman"/>
          <w:noProof/>
          <w:szCs w:val="24"/>
        </w:rPr>
        <w:t xml:space="preserve"> </w:t>
      </w:r>
      <w:r>
        <w:rPr>
          <w:rFonts w:eastAsia="Times New Roman" w:cs="Times New Roman"/>
          <w:noProof/>
          <w:szCs w:val="24"/>
        </w:rPr>
        <w:t>proposed</w:t>
      </w:r>
      <w:r w:rsidRPr="007C1494">
        <w:rPr>
          <w:rFonts w:eastAsia="Times New Roman" w:cs="Times New Roman"/>
          <w:noProof/>
          <w:szCs w:val="24"/>
        </w:rPr>
        <w:t xml:space="preserve"> </w:t>
      </w:r>
      <w:r w:rsidR="00053A1F" w:rsidRPr="007C1494">
        <w:rPr>
          <w:rFonts w:eastAsia="Times New Roman" w:cs="Times New Roman"/>
          <w:noProof/>
          <w:szCs w:val="24"/>
        </w:rPr>
        <w:t xml:space="preserve">in the </w:t>
      </w:r>
      <w:r w:rsidR="00D761F9" w:rsidRPr="00A422BB">
        <w:rPr>
          <w:rFonts w:eastAsia="Times New Roman" w:cs="Times New Roman"/>
          <w:noProof/>
          <w:szCs w:val="24"/>
        </w:rPr>
        <w:t>2019</w:t>
      </w:r>
      <w:r w:rsidR="00D761F9">
        <w:rPr>
          <w:rFonts w:eastAsia="Times New Roman" w:cs="Times New Roman"/>
          <w:noProof/>
          <w:szCs w:val="24"/>
        </w:rPr>
        <w:t xml:space="preserve"> </w:t>
      </w:r>
      <w:r w:rsidR="00053A1F" w:rsidRPr="007C1494">
        <w:rPr>
          <w:rFonts w:eastAsia="Times New Roman" w:cs="Times New Roman"/>
          <w:noProof/>
          <w:szCs w:val="24"/>
        </w:rPr>
        <w:t xml:space="preserve">Communication, in particular: 1) working in partnership with </w:t>
      </w:r>
      <w:r>
        <w:rPr>
          <w:rFonts w:eastAsia="Times New Roman" w:cs="Times New Roman"/>
          <w:noProof/>
          <w:szCs w:val="24"/>
        </w:rPr>
        <w:t xml:space="preserve"> and support to </w:t>
      </w:r>
      <w:r w:rsidR="00053A1F" w:rsidRPr="007C1494">
        <w:rPr>
          <w:rFonts w:eastAsia="Times New Roman" w:cs="Times New Roman"/>
          <w:noProof/>
          <w:szCs w:val="24"/>
        </w:rPr>
        <w:t xml:space="preserve">producer countries, crucial to cover aspects related to root causes of deforestation, </w:t>
      </w:r>
      <w:r w:rsidR="00DC2E43">
        <w:rPr>
          <w:rFonts w:eastAsia="Times New Roman" w:cs="Times New Roman"/>
          <w:noProof/>
          <w:szCs w:val="24"/>
        </w:rPr>
        <w:t>(</w:t>
      </w:r>
      <w:r w:rsidR="00053A1F" w:rsidRPr="007C1494">
        <w:rPr>
          <w:rFonts w:eastAsia="Times New Roman" w:cs="Times New Roman"/>
          <w:noProof/>
          <w:szCs w:val="24"/>
        </w:rPr>
        <w:t xml:space="preserve">such as governance, </w:t>
      </w:r>
      <w:r w:rsidR="00184638" w:rsidRPr="007C1494">
        <w:rPr>
          <w:rFonts w:eastAsia="Times New Roman" w:cs="Times New Roman"/>
          <w:noProof/>
          <w:szCs w:val="24"/>
        </w:rPr>
        <w:t>law enforcement</w:t>
      </w:r>
      <w:r w:rsidR="00184638">
        <w:rPr>
          <w:rFonts w:eastAsia="Times New Roman" w:cs="Times New Roman"/>
          <w:noProof/>
          <w:szCs w:val="24"/>
        </w:rPr>
        <w:t xml:space="preserve"> and</w:t>
      </w:r>
      <w:r w:rsidR="00184638" w:rsidRPr="007C1494">
        <w:rPr>
          <w:rFonts w:eastAsia="Times New Roman" w:cs="Times New Roman"/>
          <w:noProof/>
          <w:szCs w:val="24"/>
        </w:rPr>
        <w:t xml:space="preserve"> </w:t>
      </w:r>
      <w:r w:rsidR="00053A1F" w:rsidRPr="007C1494">
        <w:rPr>
          <w:rFonts w:eastAsia="Times New Roman" w:cs="Times New Roman"/>
          <w:noProof/>
          <w:szCs w:val="24"/>
        </w:rPr>
        <w:t>the fight against corruption</w:t>
      </w:r>
      <w:r w:rsidR="00DC2E43">
        <w:rPr>
          <w:rFonts w:eastAsia="Times New Roman" w:cs="Times New Roman"/>
          <w:noProof/>
          <w:szCs w:val="24"/>
        </w:rPr>
        <w:t>),</w:t>
      </w:r>
      <w:r w:rsidR="00053A1F" w:rsidRPr="007C1494" w:rsidDel="00431453">
        <w:rPr>
          <w:rFonts w:eastAsia="Times New Roman" w:cs="Times New Roman"/>
          <w:noProof/>
          <w:szCs w:val="24"/>
        </w:rPr>
        <w:t xml:space="preserve"> </w:t>
      </w:r>
      <w:r w:rsidR="00053A1F" w:rsidRPr="007C1494">
        <w:rPr>
          <w:rFonts w:eastAsia="Times New Roman" w:cs="Times New Roman"/>
          <w:noProof/>
          <w:szCs w:val="24"/>
        </w:rPr>
        <w:t xml:space="preserve">and 2) </w:t>
      </w:r>
      <w:r w:rsidRPr="007C1494">
        <w:rPr>
          <w:rFonts w:eastAsia="Times New Roman" w:cs="Times New Roman"/>
          <w:noProof/>
          <w:szCs w:val="24"/>
        </w:rPr>
        <w:t xml:space="preserve">to minimise leakage </w:t>
      </w:r>
      <w:r w:rsidR="00CB363F">
        <w:rPr>
          <w:rFonts w:eastAsia="Times New Roman" w:cs="Times New Roman"/>
          <w:noProof/>
          <w:szCs w:val="24"/>
        </w:rPr>
        <w:t xml:space="preserve">(see section 6.1.4) </w:t>
      </w:r>
      <w:r>
        <w:rPr>
          <w:rFonts w:eastAsia="Times New Roman" w:cs="Times New Roman"/>
          <w:noProof/>
          <w:szCs w:val="24"/>
        </w:rPr>
        <w:t xml:space="preserve">by </w:t>
      </w:r>
      <w:r w:rsidR="00053A1F" w:rsidRPr="007C1494">
        <w:rPr>
          <w:rFonts w:eastAsia="Times New Roman" w:cs="Times New Roman"/>
          <w:noProof/>
          <w:szCs w:val="24"/>
        </w:rPr>
        <w:t>strengthening international cooperation, with</w:t>
      </w:r>
      <w:r w:rsidR="00053A1F" w:rsidRPr="007C1494" w:rsidDel="00431453">
        <w:rPr>
          <w:rFonts w:eastAsia="Times New Roman" w:cs="Times New Roman"/>
          <w:noProof/>
          <w:szCs w:val="24"/>
        </w:rPr>
        <w:t xml:space="preserve"> </w:t>
      </w:r>
      <w:r w:rsidR="00053A1F" w:rsidRPr="007C1494">
        <w:rPr>
          <w:rFonts w:eastAsia="Times New Roman" w:cs="Times New Roman"/>
          <w:noProof/>
          <w:szCs w:val="24"/>
        </w:rPr>
        <w:t xml:space="preserve">major consumer countries, to </w:t>
      </w:r>
      <w:r>
        <w:rPr>
          <w:rFonts w:eastAsia="Times New Roman" w:cs="Times New Roman"/>
          <w:noProof/>
          <w:szCs w:val="24"/>
        </w:rPr>
        <w:t xml:space="preserve">promote the </w:t>
      </w:r>
      <w:r w:rsidR="00053A1F" w:rsidRPr="007C1494">
        <w:rPr>
          <w:rFonts w:eastAsia="Times New Roman" w:cs="Times New Roman"/>
          <w:noProof/>
          <w:szCs w:val="24"/>
        </w:rPr>
        <w:t>adoption of similar measures to avoid products coming from supply chains associated with deforestation and forest degradation being placed on the market.</w:t>
      </w:r>
    </w:p>
    <w:p w14:paraId="3B908CE4" w14:textId="7EEF5524" w:rsidR="00C700F3" w:rsidRPr="007C1494" w:rsidRDefault="00C700F3">
      <w:pPr>
        <w:jc w:val="both"/>
        <w:rPr>
          <w:rFonts w:eastAsia="Times New Roman" w:cs="Times New Roman"/>
          <w:noProof/>
          <w:szCs w:val="24"/>
        </w:rPr>
      </w:pPr>
      <w:r w:rsidRPr="007C1494">
        <w:rPr>
          <w:rFonts w:eastAsia="Times New Roman" w:cs="Times New Roman"/>
          <w:noProof/>
          <w:szCs w:val="24"/>
        </w:rPr>
        <w:t>Deforestation is a major cause of biodiversity</w:t>
      </w:r>
      <w:r w:rsidR="00431453">
        <w:rPr>
          <w:rFonts w:eastAsia="Times New Roman" w:cs="Times New Roman"/>
          <w:noProof/>
          <w:szCs w:val="24"/>
        </w:rPr>
        <w:t xml:space="preserve"> loss</w:t>
      </w:r>
      <w:r w:rsidR="00343A1E">
        <w:rPr>
          <w:rFonts w:eastAsia="Times New Roman" w:cs="Times New Roman"/>
          <w:noProof/>
          <w:szCs w:val="24"/>
        </w:rPr>
        <w:t>.</w:t>
      </w:r>
      <w:r w:rsidRPr="007C1494">
        <w:rPr>
          <w:rStyle w:val="FootnoteReference"/>
          <w:rFonts w:eastAsia="Times New Roman" w:cs="Times New Roman"/>
          <w:noProof/>
          <w:szCs w:val="24"/>
        </w:rPr>
        <w:footnoteReference w:id="7"/>
      </w:r>
      <w:r w:rsidRPr="007C1494">
        <w:rPr>
          <w:rFonts w:eastAsia="Times New Roman" w:cs="Times New Roman"/>
          <w:noProof/>
          <w:szCs w:val="24"/>
        </w:rPr>
        <w:t xml:space="preserve"> </w:t>
      </w:r>
      <w:r w:rsidR="005A5338" w:rsidRPr="0033101E">
        <w:rPr>
          <w:rFonts w:eastAsia="Times New Roman" w:cs="Times New Roman"/>
          <w:noProof/>
          <w:szCs w:val="24"/>
        </w:rPr>
        <w:t>Over 1 million species are threatened with extinction and the main driver of biodiversity loss on land is changes in land use, including deforestation and agricultural expansion</w:t>
      </w:r>
      <w:r w:rsidR="00DC04A7">
        <w:rPr>
          <w:rFonts w:eastAsia="Times New Roman" w:cs="Times New Roman"/>
          <w:noProof/>
          <w:szCs w:val="24"/>
        </w:rPr>
        <w:t>.</w:t>
      </w:r>
      <w:r w:rsidR="005A5338" w:rsidRPr="0033101E">
        <w:rPr>
          <w:rFonts w:eastAsia="Times New Roman" w:cs="Times New Roman"/>
          <w:noProof/>
          <w:szCs w:val="24"/>
          <w:vertAlign w:val="superscript"/>
        </w:rPr>
        <w:footnoteReference w:id="8"/>
      </w:r>
      <w:r w:rsidR="005A5338">
        <w:rPr>
          <w:rFonts w:eastAsia="Times New Roman" w:cs="Times New Roman"/>
          <w:noProof/>
          <w:szCs w:val="24"/>
        </w:rPr>
        <w:t xml:space="preserve"> </w:t>
      </w:r>
      <w:r w:rsidRPr="007C1494">
        <w:rPr>
          <w:rFonts w:eastAsia="Times New Roman" w:cs="Times New Roman"/>
          <w:noProof/>
          <w:szCs w:val="24"/>
        </w:rPr>
        <w:t>Emissions from land-use and land-use change, mostly due to deforestation, are the second biggest cause of climate change after burning fossil fuels.</w:t>
      </w:r>
      <w:r w:rsidR="007F3349" w:rsidRPr="005D5ABC">
        <w:rPr>
          <w:rStyle w:val="FootnoteReference"/>
          <w:noProof/>
        </w:rPr>
        <w:footnoteReference w:id="9"/>
      </w:r>
      <w:r w:rsidR="007F3349" w:rsidRPr="007C1494">
        <w:rPr>
          <w:rFonts w:eastAsia="Times New Roman" w:cs="Times New Roman"/>
          <w:noProof/>
          <w:szCs w:val="24"/>
        </w:rPr>
        <w:t xml:space="preserve"> </w:t>
      </w:r>
      <w:r w:rsidR="007F3349">
        <w:rPr>
          <w:rFonts w:eastAsia="Times New Roman" w:cs="Times New Roman"/>
          <w:noProof/>
          <w:szCs w:val="24"/>
        </w:rPr>
        <w:t>Agriculture, forestry and other land use accounted for an estimated 23% of total net greenhouse gas emissions from human activity 2007-2016.</w:t>
      </w:r>
      <w:r w:rsidR="007F3349">
        <w:rPr>
          <w:rStyle w:val="FootnoteReference"/>
          <w:rFonts w:eastAsia="Times New Roman" w:cs="Times New Roman"/>
          <w:noProof/>
          <w:szCs w:val="24"/>
        </w:rPr>
        <w:footnoteReference w:id="10"/>
      </w:r>
      <w:r w:rsidR="00110982">
        <w:rPr>
          <w:rFonts w:eastAsia="Times New Roman" w:cs="Times New Roman"/>
          <w:noProof/>
          <w:szCs w:val="24"/>
        </w:rPr>
        <w:t xml:space="preserve"> </w:t>
      </w:r>
      <w:r w:rsidR="007F3349">
        <w:rPr>
          <w:rFonts w:eastAsia="Times New Roman" w:cs="Times New Roman"/>
          <w:noProof/>
          <w:szCs w:val="24"/>
        </w:rPr>
        <w:t>A</w:t>
      </w:r>
      <w:r w:rsidRPr="007C1494">
        <w:rPr>
          <w:rFonts w:eastAsia="Times New Roman" w:cs="Times New Roman"/>
          <w:noProof/>
          <w:szCs w:val="24"/>
        </w:rPr>
        <w:t xml:space="preserve">ction in this area is </w:t>
      </w:r>
      <w:r w:rsidR="007F3349">
        <w:rPr>
          <w:rFonts w:eastAsia="Times New Roman" w:cs="Times New Roman"/>
          <w:noProof/>
          <w:szCs w:val="24"/>
        </w:rPr>
        <w:t xml:space="preserve">therefore </w:t>
      </w:r>
      <w:r w:rsidR="00E5562F" w:rsidRPr="00A422BB">
        <w:rPr>
          <w:rFonts w:eastAsia="Times New Roman" w:cs="Times New Roman"/>
          <w:noProof/>
          <w:szCs w:val="24"/>
        </w:rPr>
        <w:t>also</w:t>
      </w:r>
      <w:r w:rsidR="00E5562F">
        <w:rPr>
          <w:rFonts w:eastAsia="Times New Roman" w:cs="Times New Roman"/>
          <w:noProof/>
          <w:szCs w:val="24"/>
        </w:rPr>
        <w:t xml:space="preserve"> </w:t>
      </w:r>
      <w:r w:rsidRPr="007C1494">
        <w:rPr>
          <w:rFonts w:eastAsia="Times New Roman" w:cs="Times New Roman"/>
          <w:noProof/>
          <w:szCs w:val="24"/>
        </w:rPr>
        <w:t>important to fight climate change</w:t>
      </w:r>
      <w:r w:rsidR="00AD7EA0" w:rsidRPr="007C1494">
        <w:rPr>
          <w:rFonts w:eastAsia="Times New Roman" w:cs="Times New Roman"/>
          <w:noProof/>
          <w:szCs w:val="24"/>
        </w:rPr>
        <w:t>.</w:t>
      </w:r>
    </w:p>
    <w:p w14:paraId="7617D623" w14:textId="7A82C039" w:rsidR="0057124A" w:rsidRPr="007C1494" w:rsidRDefault="34740AD6" w:rsidP="0057124A">
      <w:pPr>
        <w:jc w:val="both"/>
        <w:rPr>
          <w:rFonts w:eastAsia="Times New Roman" w:cs="Times New Roman"/>
          <w:noProof/>
          <w:sz w:val="28"/>
          <w:szCs w:val="24"/>
        </w:rPr>
      </w:pPr>
      <w:r w:rsidRPr="007C1494">
        <w:rPr>
          <w:rFonts w:eastAsia="Times New Roman" w:cs="Times New Roman"/>
          <w:noProof/>
          <w:szCs w:val="24"/>
        </w:rPr>
        <w:lastRenderedPageBreak/>
        <w:t xml:space="preserve">Forests are seriously endangered. </w:t>
      </w:r>
      <w:r w:rsidR="599D4F27" w:rsidRPr="007C1494">
        <w:rPr>
          <w:rFonts w:eastAsia="Times New Roman" w:cs="Times New Roman"/>
          <w:noProof/>
          <w:szCs w:val="24"/>
        </w:rPr>
        <w:t xml:space="preserve">The </w:t>
      </w:r>
      <w:r w:rsidR="688E4650" w:rsidRPr="007C1494">
        <w:rPr>
          <w:rFonts w:eastAsia="Times New Roman" w:cs="Times New Roman"/>
          <w:noProof/>
          <w:szCs w:val="24"/>
        </w:rPr>
        <w:t xml:space="preserve">Food and Agriculture Organization of the United Nations (FAO) </w:t>
      </w:r>
      <w:r w:rsidR="599D4F27" w:rsidRPr="007C1494">
        <w:rPr>
          <w:rFonts w:eastAsia="Times New Roman" w:cs="Times New Roman"/>
          <w:noProof/>
          <w:szCs w:val="24"/>
        </w:rPr>
        <w:t>estimates</w:t>
      </w:r>
      <w:r w:rsidRPr="007C1494">
        <w:rPr>
          <w:rStyle w:val="FootnoteReference"/>
          <w:rFonts w:eastAsia="Times New Roman" w:cs="Times New Roman"/>
          <w:noProof/>
          <w:szCs w:val="24"/>
        </w:rPr>
        <w:footnoteReference w:id="11"/>
      </w:r>
      <w:r w:rsidR="599D4F27" w:rsidRPr="007C1494">
        <w:rPr>
          <w:rFonts w:eastAsia="Times New Roman" w:cs="Times New Roman"/>
          <w:noProof/>
          <w:szCs w:val="24"/>
        </w:rPr>
        <w:t xml:space="preserve"> that 420 million hectares of forest</w:t>
      </w:r>
      <w:r w:rsidR="712E108D" w:rsidRPr="007C1494">
        <w:rPr>
          <w:rFonts w:eastAsia="Times New Roman" w:cs="Times New Roman"/>
          <w:noProof/>
          <w:szCs w:val="24"/>
        </w:rPr>
        <w:t xml:space="preserve"> — an area larger than the European Union — </w:t>
      </w:r>
      <w:r w:rsidR="599D4F27" w:rsidRPr="007C1494">
        <w:rPr>
          <w:rFonts w:eastAsia="Times New Roman" w:cs="Times New Roman"/>
          <w:noProof/>
          <w:szCs w:val="24"/>
        </w:rPr>
        <w:t>ha</w:t>
      </w:r>
      <w:r w:rsidR="23624AD4" w:rsidRPr="007C1494">
        <w:rPr>
          <w:rFonts w:eastAsia="Times New Roman" w:cs="Times New Roman"/>
          <w:noProof/>
          <w:szCs w:val="24"/>
        </w:rPr>
        <w:t>ve</w:t>
      </w:r>
      <w:r w:rsidR="599D4F27" w:rsidRPr="007C1494">
        <w:rPr>
          <w:rFonts w:eastAsia="Times New Roman" w:cs="Times New Roman"/>
          <w:noProof/>
          <w:szCs w:val="24"/>
        </w:rPr>
        <w:t xml:space="preserve"> been lost b</w:t>
      </w:r>
      <w:r w:rsidRPr="007C1494">
        <w:rPr>
          <w:rFonts w:eastAsia="Times New Roman" w:cs="Times New Roman"/>
          <w:noProof/>
          <w:szCs w:val="24"/>
        </w:rPr>
        <w:t>etween 1990 and 2020</w:t>
      </w:r>
      <w:r w:rsidR="10AE38F7" w:rsidRPr="007C1494">
        <w:rPr>
          <w:rFonts w:eastAsia="Times New Roman" w:cs="Times New Roman"/>
          <w:noProof/>
          <w:szCs w:val="24"/>
        </w:rPr>
        <w:t>.</w:t>
      </w:r>
      <w:r w:rsidR="008A11D5" w:rsidRPr="007C1494">
        <w:rPr>
          <w:rFonts w:eastAsia="Times New Roman" w:cs="Times New Roman"/>
          <w:noProof/>
          <w:szCs w:val="24"/>
        </w:rPr>
        <w:t xml:space="preserve"> </w:t>
      </w:r>
      <w:r w:rsidR="007F3349" w:rsidRPr="007F3349">
        <w:rPr>
          <w:rFonts w:eastAsia="Times New Roman" w:cs="Times New Roman"/>
          <w:noProof/>
          <w:szCs w:val="24"/>
        </w:rPr>
        <w:t xml:space="preserve">The global rate of deforestation has decreased over the past three decades, </w:t>
      </w:r>
      <w:r w:rsidR="00431453">
        <w:rPr>
          <w:rFonts w:eastAsia="Times New Roman" w:cs="Times New Roman"/>
          <w:noProof/>
          <w:szCs w:val="24"/>
        </w:rPr>
        <w:t>but there are</w:t>
      </w:r>
      <w:r w:rsidR="007F3349" w:rsidRPr="007F3349">
        <w:rPr>
          <w:rFonts w:eastAsia="Times New Roman" w:cs="Times New Roman"/>
          <w:noProof/>
          <w:szCs w:val="24"/>
        </w:rPr>
        <w:t xml:space="preserve"> strong regional differences</w:t>
      </w:r>
      <w:r w:rsidR="007F3349">
        <w:rPr>
          <w:rFonts w:eastAsia="Times New Roman" w:cs="Times New Roman"/>
          <w:noProof/>
          <w:szCs w:val="24"/>
        </w:rPr>
        <w:t>.</w:t>
      </w:r>
      <w:r w:rsidR="007F3349" w:rsidRPr="007F3349">
        <w:rPr>
          <w:rFonts w:eastAsia="Times New Roman" w:cs="Times New Roman"/>
          <w:noProof/>
          <w:szCs w:val="24"/>
          <w:vertAlign w:val="superscript"/>
        </w:rPr>
        <w:footnoteReference w:id="12"/>
      </w:r>
      <w:r w:rsidR="007F3349">
        <w:rPr>
          <w:rFonts w:eastAsia="Times New Roman" w:cs="Times New Roman"/>
          <w:noProof/>
          <w:szCs w:val="24"/>
        </w:rPr>
        <w:t xml:space="preserve"> </w:t>
      </w:r>
      <w:r w:rsidR="008A11D5" w:rsidRPr="007C1494">
        <w:rPr>
          <w:rFonts w:eastAsia="Times New Roman" w:cs="Times New Roman"/>
          <w:noProof/>
          <w:szCs w:val="24"/>
        </w:rPr>
        <w:t xml:space="preserve">In </w:t>
      </w:r>
      <w:r w:rsidR="007F3349">
        <w:rPr>
          <w:rFonts w:eastAsia="Times New Roman" w:cs="Times New Roman"/>
          <w:noProof/>
          <w:szCs w:val="24"/>
        </w:rPr>
        <w:t>tropical moist forests</w:t>
      </w:r>
      <w:r w:rsidR="008A11D5" w:rsidRPr="007C1494">
        <w:rPr>
          <w:rFonts w:eastAsia="Times New Roman" w:cs="Times New Roman"/>
          <w:noProof/>
          <w:szCs w:val="24"/>
        </w:rPr>
        <w:t xml:space="preserve">, </w:t>
      </w:r>
      <w:r w:rsidR="007847E3" w:rsidRPr="007C1494">
        <w:rPr>
          <w:rFonts w:eastAsia="Times New Roman" w:cs="Times New Roman"/>
          <w:noProof/>
          <w:szCs w:val="24"/>
        </w:rPr>
        <w:t>there has been</w:t>
      </w:r>
      <w:r w:rsidR="008A11D5" w:rsidRPr="007C1494">
        <w:rPr>
          <w:rFonts w:eastAsia="Times New Roman" w:cs="Times New Roman"/>
          <w:noProof/>
          <w:szCs w:val="24"/>
        </w:rPr>
        <w:t xml:space="preserve"> a marked</w:t>
      </w:r>
      <w:r w:rsidR="00401B5A" w:rsidRPr="007C1494">
        <w:rPr>
          <w:rFonts w:eastAsia="Times New Roman" w:cs="Times New Roman"/>
          <w:noProof/>
          <w:szCs w:val="24"/>
        </w:rPr>
        <w:t xml:space="preserve"> increase in </w:t>
      </w:r>
      <w:r w:rsidR="007F3349">
        <w:rPr>
          <w:rFonts w:eastAsia="Times New Roman" w:cs="Times New Roman"/>
          <w:noProof/>
          <w:szCs w:val="24"/>
        </w:rPr>
        <w:t>disturbance rates (</w:t>
      </w:r>
      <w:r w:rsidR="00401B5A" w:rsidRPr="007C1494">
        <w:rPr>
          <w:rFonts w:eastAsia="Times New Roman" w:cs="Times New Roman"/>
          <w:noProof/>
          <w:szCs w:val="24"/>
        </w:rPr>
        <w:t xml:space="preserve">deforestation and </w:t>
      </w:r>
      <w:r w:rsidR="00667E8A" w:rsidRPr="007C1494">
        <w:rPr>
          <w:rFonts w:eastAsia="Times New Roman" w:cs="Times New Roman"/>
          <w:noProof/>
          <w:szCs w:val="24"/>
        </w:rPr>
        <w:t xml:space="preserve">forest </w:t>
      </w:r>
      <w:r w:rsidR="00401B5A" w:rsidRPr="007C1494">
        <w:rPr>
          <w:rFonts w:eastAsia="Times New Roman" w:cs="Times New Roman"/>
          <w:noProof/>
          <w:szCs w:val="24"/>
        </w:rPr>
        <w:t>degradation</w:t>
      </w:r>
      <w:r w:rsidR="007F3349">
        <w:rPr>
          <w:rFonts w:eastAsia="Times New Roman" w:cs="Times New Roman"/>
          <w:noProof/>
          <w:szCs w:val="24"/>
        </w:rPr>
        <w:t>) in recent years</w:t>
      </w:r>
      <w:r w:rsidR="008A11D5" w:rsidRPr="007C1494">
        <w:rPr>
          <w:rFonts w:eastAsia="Times New Roman" w:cs="Times New Roman"/>
          <w:noProof/>
          <w:szCs w:val="24"/>
        </w:rPr>
        <w:t xml:space="preserve"> (+2.1 million ha/year for the past 5 years compared with the period 2005–2014), reaching a level close to that of the early 2000s. </w:t>
      </w:r>
      <w:r w:rsidR="00667E8A" w:rsidRPr="007C1494">
        <w:rPr>
          <w:rFonts w:eastAsia="Times New Roman" w:cs="Times New Roman"/>
          <w:noProof/>
          <w:szCs w:val="24"/>
        </w:rPr>
        <w:t xml:space="preserve">Forest </w:t>
      </w:r>
      <w:r w:rsidR="00292CD9" w:rsidRPr="007C1494">
        <w:rPr>
          <w:rFonts w:eastAsia="Times New Roman" w:cs="Times New Roman"/>
          <w:noProof/>
          <w:szCs w:val="24"/>
        </w:rPr>
        <w:t>degradation</w:t>
      </w:r>
      <w:r w:rsidR="008A11D5" w:rsidRPr="007C1494">
        <w:rPr>
          <w:rFonts w:eastAsia="Times New Roman" w:cs="Times New Roman"/>
          <w:noProof/>
          <w:szCs w:val="24"/>
        </w:rPr>
        <w:t xml:space="preserve"> is </w:t>
      </w:r>
      <w:r w:rsidR="00667E8A" w:rsidRPr="007C1494">
        <w:rPr>
          <w:rFonts w:eastAsia="Times New Roman" w:cs="Times New Roman"/>
          <w:noProof/>
          <w:szCs w:val="24"/>
        </w:rPr>
        <w:t>a</w:t>
      </w:r>
      <w:r w:rsidR="008A11D5" w:rsidRPr="007C1494">
        <w:rPr>
          <w:rFonts w:eastAsia="Times New Roman" w:cs="Times New Roman"/>
          <w:noProof/>
          <w:szCs w:val="24"/>
        </w:rPr>
        <w:t xml:space="preserve"> main cont</w:t>
      </w:r>
      <w:r w:rsidR="00401B5A" w:rsidRPr="007C1494">
        <w:rPr>
          <w:rFonts w:eastAsia="Times New Roman" w:cs="Times New Roman"/>
          <w:noProof/>
          <w:szCs w:val="24"/>
        </w:rPr>
        <w:t xml:space="preserve">ributor </w:t>
      </w:r>
      <w:r w:rsidR="00667E8A" w:rsidRPr="007C1494">
        <w:rPr>
          <w:rFonts w:eastAsia="Times New Roman" w:cs="Times New Roman"/>
          <w:noProof/>
          <w:szCs w:val="24"/>
        </w:rPr>
        <w:t>to</w:t>
      </w:r>
      <w:r w:rsidR="00401B5A" w:rsidRPr="007C1494">
        <w:rPr>
          <w:rFonts w:eastAsia="Times New Roman" w:cs="Times New Roman"/>
          <w:noProof/>
          <w:szCs w:val="24"/>
        </w:rPr>
        <w:t xml:space="preserve"> this recent increase</w:t>
      </w:r>
      <w:r w:rsidR="0033101E">
        <w:rPr>
          <w:rFonts w:eastAsia="Times New Roman" w:cs="Times New Roman"/>
          <w:noProof/>
          <w:szCs w:val="24"/>
        </w:rPr>
        <w:t xml:space="preserve">, </w:t>
      </w:r>
      <w:r w:rsidR="0033101E" w:rsidRPr="0033101E">
        <w:rPr>
          <w:rFonts w:eastAsia="Times New Roman" w:cs="Times New Roman"/>
          <w:noProof/>
          <w:szCs w:val="24"/>
        </w:rPr>
        <w:t xml:space="preserve">with much of it attributable to short-term disturbances. </w:t>
      </w:r>
      <w:r w:rsidR="0057124A" w:rsidRPr="007C1494">
        <w:rPr>
          <w:rFonts w:eastAsia="Times New Roman" w:cs="Times New Roman"/>
          <w:noProof/>
          <w:szCs w:val="24"/>
        </w:rPr>
        <w:t xml:space="preserve"> Forest degradation </w:t>
      </w:r>
      <w:r w:rsidR="00431453">
        <w:rPr>
          <w:rFonts w:eastAsia="Times New Roman" w:cs="Times New Roman"/>
          <w:noProof/>
          <w:szCs w:val="24"/>
        </w:rPr>
        <w:t xml:space="preserve">is caused by </w:t>
      </w:r>
      <w:r w:rsidR="00110982">
        <w:rPr>
          <w:rFonts w:eastAsia="Times New Roman" w:cs="Times New Roman"/>
          <w:noProof/>
          <w:szCs w:val="24"/>
        </w:rPr>
        <w:t>both</w:t>
      </w:r>
      <w:r w:rsidR="00110982" w:rsidRPr="007C1494">
        <w:rPr>
          <w:rFonts w:eastAsia="Times New Roman" w:cs="Times New Roman"/>
          <w:noProof/>
          <w:szCs w:val="24"/>
        </w:rPr>
        <w:t xml:space="preserve"> natural and</w:t>
      </w:r>
      <w:r w:rsidR="0057124A" w:rsidRPr="007C1494">
        <w:rPr>
          <w:rFonts w:eastAsia="Times New Roman" w:cs="Times New Roman"/>
          <w:noProof/>
          <w:szCs w:val="24"/>
        </w:rPr>
        <w:t xml:space="preserve"> anthropogenic disturbance</w:t>
      </w:r>
      <w:r w:rsidR="00160379" w:rsidRPr="007C1494">
        <w:rPr>
          <w:rFonts w:eastAsia="Times New Roman" w:cs="Times New Roman"/>
          <w:noProof/>
          <w:szCs w:val="24"/>
        </w:rPr>
        <w:t>s</w:t>
      </w:r>
      <w:r w:rsidR="00110982">
        <w:rPr>
          <w:rFonts w:eastAsia="Times New Roman" w:cs="Times New Roman"/>
          <w:noProof/>
          <w:szCs w:val="24"/>
        </w:rPr>
        <w:t>,</w:t>
      </w:r>
      <w:r w:rsidR="0057124A" w:rsidRPr="007C1494">
        <w:rPr>
          <w:rFonts w:eastAsia="Times New Roman" w:cs="Times New Roman"/>
          <w:noProof/>
          <w:szCs w:val="24"/>
        </w:rPr>
        <w:t xml:space="preserve"> and may subsequently lead to deforestation. Without a reduction of the present disturbance rates, undisturbed forests </w:t>
      </w:r>
      <w:r w:rsidR="00431453">
        <w:rPr>
          <w:rFonts w:eastAsia="Times New Roman" w:cs="Times New Roman"/>
          <w:noProof/>
          <w:szCs w:val="24"/>
        </w:rPr>
        <w:t xml:space="preserve">in </w:t>
      </w:r>
      <w:r w:rsidR="00431453" w:rsidRPr="007C1494">
        <w:rPr>
          <w:rFonts w:eastAsia="Times New Roman" w:cs="Times New Roman"/>
          <w:noProof/>
          <w:szCs w:val="24"/>
        </w:rPr>
        <w:t xml:space="preserve">tropical humid regions </w:t>
      </w:r>
      <w:r w:rsidR="0057124A" w:rsidRPr="007C1494">
        <w:rPr>
          <w:rFonts w:eastAsia="Times New Roman" w:cs="Times New Roman"/>
          <w:noProof/>
          <w:szCs w:val="24"/>
        </w:rPr>
        <w:t>will disappear entirely by 2050</w:t>
      </w:r>
      <w:r w:rsidR="0057124A" w:rsidRPr="007C1494">
        <w:rPr>
          <w:rFonts w:eastAsia="Times New Roman" w:cs="Times New Roman"/>
          <w:noProof/>
          <w:shd w:val="clear" w:color="auto" w:fill="FFFFFF"/>
          <w:lang w:eastAsia="en-GB"/>
        </w:rPr>
        <w:t>.</w:t>
      </w:r>
      <w:r w:rsidR="0057124A" w:rsidRPr="007C1494">
        <w:rPr>
          <w:rStyle w:val="FootnoteReference"/>
          <w:rFonts w:eastAsia="Times New Roman" w:cs="Times New Roman"/>
          <w:noProof/>
          <w:shd w:val="clear" w:color="auto" w:fill="FFFFFF"/>
          <w:lang w:eastAsia="en-GB"/>
        </w:rPr>
        <w:footnoteReference w:id="13"/>
      </w:r>
      <w:r w:rsidR="0057124A" w:rsidRPr="007C1494">
        <w:rPr>
          <w:rFonts w:eastAsia="Times New Roman" w:cs="Times New Roman"/>
          <w:noProof/>
          <w:shd w:val="clear" w:color="auto" w:fill="FFFFFF"/>
          <w:lang w:eastAsia="en-GB"/>
        </w:rPr>
        <w:t xml:space="preserve"> </w:t>
      </w:r>
      <w:r w:rsidR="00491E12">
        <w:rPr>
          <w:rFonts w:eastAsia="Times New Roman" w:cs="Times New Roman"/>
          <w:noProof/>
          <w:shd w:val="clear" w:color="auto" w:fill="FFFFFF"/>
          <w:lang w:eastAsia="en-GB"/>
        </w:rPr>
        <w:t>(see sections 2.1 and 2.3 defining the problems this initiative aims to address and their drivers)</w:t>
      </w:r>
    </w:p>
    <w:p w14:paraId="56ED4257" w14:textId="7E7087AB" w:rsidR="2306A575" w:rsidRDefault="2306A575">
      <w:pPr>
        <w:jc w:val="both"/>
        <w:rPr>
          <w:rFonts w:eastAsia="Times New Roman" w:cs="Times New Roman"/>
          <w:noProof/>
          <w:szCs w:val="24"/>
        </w:rPr>
      </w:pPr>
      <w:r w:rsidRPr="007C1494">
        <w:rPr>
          <w:rFonts w:eastAsia="Times New Roman" w:cs="Times New Roman"/>
          <w:noProof/>
          <w:szCs w:val="24"/>
        </w:rPr>
        <w:t xml:space="preserve">Deforestation </w:t>
      </w:r>
      <w:r w:rsidR="29D770B8" w:rsidRPr="007C1494">
        <w:rPr>
          <w:rFonts w:eastAsia="Times New Roman" w:cs="Times New Roman"/>
          <w:noProof/>
          <w:szCs w:val="24"/>
        </w:rPr>
        <w:t xml:space="preserve">and forest degradation </w:t>
      </w:r>
      <w:r w:rsidR="0033101E" w:rsidRPr="007C1494">
        <w:rPr>
          <w:rFonts w:eastAsia="Times New Roman" w:cs="Times New Roman"/>
          <w:noProof/>
          <w:szCs w:val="24"/>
        </w:rPr>
        <w:t xml:space="preserve">are </w:t>
      </w:r>
      <w:r w:rsidR="00C44EC5" w:rsidRPr="007C1494">
        <w:rPr>
          <w:rFonts w:eastAsia="Times New Roman" w:cs="Times New Roman"/>
          <w:noProof/>
          <w:szCs w:val="24"/>
        </w:rPr>
        <w:t xml:space="preserve">therefore </w:t>
      </w:r>
      <w:r w:rsidRPr="007C1494">
        <w:rPr>
          <w:rFonts w:eastAsia="Times New Roman" w:cs="Times New Roman"/>
          <w:noProof/>
          <w:szCs w:val="24"/>
        </w:rPr>
        <w:t xml:space="preserve">among the </w:t>
      </w:r>
      <w:r w:rsidR="0033101E">
        <w:rPr>
          <w:rFonts w:eastAsia="Times New Roman" w:cs="Times New Roman"/>
          <w:noProof/>
          <w:szCs w:val="24"/>
        </w:rPr>
        <w:t>most important</w:t>
      </w:r>
      <w:r w:rsidR="0033101E" w:rsidDel="0021532B">
        <w:rPr>
          <w:rFonts w:eastAsia="Times New Roman" w:cs="Times New Roman"/>
          <w:noProof/>
          <w:szCs w:val="24"/>
        </w:rPr>
        <w:t xml:space="preserve"> </w:t>
      </w:r>
      <w:r w:rsidRPr="007C1494">
        <w:rPr>
          <w:rFonts w:eastAsia="Times New Roman" w:cs="Times New Roman"/>
          <w:noProof/>
          <w:szCs w:val="24"/>
        </w:rPr>
        <w:t>environmental challenges</w:t>
      </w:r>
      <w:r w:rsidR="09AE1573" w:rsidRPr="007C1494">
        <w:rPr>
          <w:rFonts w:eastAsia="Times New Roman" w:cs="Times New Roman"/>
          <w:noProof/>
          <w:szCs w:val="24"/>
        </w:rPr>
        <w:t>.</w:t>
      </w:r>
      <w:r w:rsidR="1CD42F5E" w:rsidRPr="007C1494" w:rsidDel="0033101E">
        <w:rPr>
          <w:rFonts w:eastAsia="Times New Roman" w:cs="Times New Roman"/>
          <w:noProof/>
          <w:szCs w:val="24"/>
        </w:rPr>
        <w:t xml:space="preserve"> </w:t>
      </w:r>
      <w:r w:rsidR="00667E8A" w:rsidRPr="007C1494">
        <w:rPr>
          <w:rFonts w:eastAsia="Times New Roman" w:cs="Times New Roman"/>
          <w:noProof/>
          <w:szCs w:val="24"/>
        </w:rPr>
        <w:t xml:space="preserve">Stepping up action to fight deforestation and forest degradation will be an essential element in </w:t>
      </w:r>
      <w:r w:rsidR="0033101E">
        <w:rPr>
          <w:rFonts w:eastAsia="Times New Roman" w:cs="Times New Roman"/>
          <w:noProof/>
          <w:szCs w:val="24"/>
        </w:rPr>
        <w:t xml:space="preserve">effectively grappling with </w:t>
      </w:r>
      <w:r w:rsidR="00667E8A" w:rsidRPr="007C1494">
        <w:rPr>
          <w:rFonts w:eastAsia="Times New Roman" w:cs="Times New Roman"/>
          <w:noProof/>
          <w:szCs w:val="24"/>
        </w:rPr>
        <w:t xml:space="preserve">the planetary crises that threaten our collective future: the climate </w:t>
      </w:r>
      <w:r w:rsidR="00CB363F">
        <w:rPr>
          <w:rFonts w:eastAsia="Times New Roman" w:cs="Times New Roman"/>
          <w:noProof/>
          <w:szCs w:val="24"/>
        </w:rPr>
        <w:t xml:space="preserve">and </w:t>
      </w:r>
      <w:r w:rsidR="00667E8A" w:rsidRPr="007C1494">
        <w:rPr>
          <w:rFonts w:eastAsia="Times New Roman" w:cs="Times New Roman"/>
          <w:noProof/>
          <w:szCs w:val="24"/>
        </w:rPr>
        <w:t xml:space="preserve">the biodiversity </w:t>
      </w:r>
      <w:r w:rsidR="00667E8A" w:rsidRPr="007C1494" w:rsidDel="00CB363F">
        <w:rPr>
          <w:rFonts w:eastAsia="Times New Roman" w:cs="Times New Roman"/>
          <w:noProof/>
          <w:szCs w:val="24"/>
        </w:rPr>
        <w:t xml:space="preserve">crisis. </w:t>
      </w:r>
    </w:p>
    <w:p w14:paraId="6CF91951" w14:textId="666F0F1F" w:rsidR="0033101E" w:rsidRPr="007C1494" w:rsidRDefault="0033101E">
      <w:pPr>
        <w:jc w:val="both"/>
        <w:rPr>
          <w:rFonts w:eastAsia="Times New Roman" w:cs="Times New Roman"/>
          <w:noProof/>
          <w:szCs w:val="24"/>
        </w:rPr>
      </w:pPr>
      <w:r>
        <w:rPr>
          <w:rFonts w:eastAsia="Times New Roman" w:cs="Times New Roman"/>
          <w:noProof/>
          <w:szCs w:val="24"/>
        </w:rPr>
        <w:t>Tackling deforestation would also have the additional benefit of removing one of the main pathways of zoonotic diseases, thereby reducing the likelihood of the next pandemic emerging through this route.</w:t>
      </w:r>
      <w:r>
        <w:rPr>
          <w:rStyle w:val="FootnoteReference"/>
          <w:rFonts w:eastAsia="Times New Roman" w:cs="Times New Roman"/>
          <w:noProof/>
          <w:szCs w:val="24"/>
        </w:rPr>
        <w:footnoteReference w:id="14"/>
      </w:r>
    </w:p>
    <w:p w14:paraId="4C49D877" w14:textId="74C456C1" w:rsidR="00C44EC5" w:rsidRPr="007C1494" w:rsidRDefault="0033101E" w:rsidP="00397C82">
      <w:pPr>
        <w:jc w:val="both"/>
        <w:rPr>
          <w:rFonts w:eastAsia="Times New Roman" w:cs="Times New Roman"/>
          <w:noProof/>
          <w:szCs w:val="24"/>
        </w:rPr>
      </w:pPr>
      <w:r w:rsidRPr="0033101E">
        <w:rPr>
          <w:rFonts w:eastAsia="Times New Roman" w:cs="Times New Roman"/>
          <w:noProof/>
          <w:szCs w:val="24"/>
        </w:rPr>
        <w:t>The public has made it clear that it wants the EU to take action to address the global impacts of deforestation and forest degradation</w:t>
      </w:r>
      <w:r>
        <w:rPr>
          <w:rFonts w:eastAsia="Times New Roman" w:cs="Times New Roman"/>
          <w:noProof/>
          <w:szCs w:val="24"/>
        </w:rPr>
        <w:t>.</w:t>
      </w:r>
      <w:r w:rsidRPr="0033101E">
        <w:rPr>
          <w:rFonts w:eastAsia="Times New Roman" w:cs="Times New Roman"/>
          <w:noProof/>
          <w:szCs w:val="24"/>
        </w:rPr>
        <w:t xml:space="preserve"> </w:t>
      </w:r>
      <w:r w:rsidR="6F23554F" w:rsidRPr="007C1494">
        <w:rPr>
          <w:rFonts w:eastAsia="Times New Roman" w:cs="Times New Roman"/>
          <w:noProof/>
          <w:szCs w:val="24"/>
        </w:rPr>
        <w:t xml:space="preserve">The </w:t>
      </w:r>
      <w:r w:rsidR="6B35ECBC" w:rsidRPr="007C1494">
        <w:rPr>
          <w:rFonts w:eastAsia="Times New Roman" w:cs="Times New Roman"/>
          <w:noProof/>
          <w:szCs w:val="24"/>
        </w:rPr>
        <w:t xml:space="preserve">Commission’s </w:t>
      </w:r>
      <w:r w:rsidR="00181BE2">
        <w:rPr>
          <w:rFonts w:eastAsia="Times New Roman" w:cs="Times New Roman"/>
          <w:noProof/>
          <w:szCs w:val="24"/>
        </w:rPr>
        <w:t>online</w:t>
      </w:r>
      <w:r w:rsidR="00181BE2" w:rsidRPr="007C1494">
        <w:rPr>
          <w:rFonts w:eastAsia="Times New Roman" w:cs="Times New Roman"/>
          <w:noProof/>
          <w:szCs w:val="24"/>
        </w:rPr>
        <w:t xml:space="preserve"> </w:t>
      </w:r>
      <w:r w:rsidR="6F23554F" w:rsidRPr="007C1494">
        <w:rPr>
          <w:rFonts w:eastAsia="Times New Roman" w:cs="Times New Roman"/>
          <w:noProof/>
          <w:szCs w:val="24"/>
        </w:rPr>
        <w:t xml:space="preserve">public consultation that closed in December 2020 (see Annex II) received nearly 1.2 million contributions, </w:t>
      </w:r>
      <w:r w:rsidR="00DC6AE5" w:rsidRPr="007C1494">
        <w:rPr>
          <w:rFonts w:eastAsia="Times New Roman" w:cs="Times New Roman"/>
          <w:noProof/>
          <w:szCs w:val="24"/>
        </w:rPr>
        <w:t xml:space="preserve">including from partner countries, </w:t>
      </w:r>
      <w:r w:rsidR="6F23554F" w:rsidRPr="007C1494">
        <w:rPr>
          <w:rFonts w:eastAsia="Times New Roman" w:cs="Times New Roman"/>
          <w:noProof/>
          <w:szCs w:val="24"/>
        </w:rPr>
        <w:t>making it the</w:t>
      </w:r>
      <w:r w:rsidR="001C5DCE" w:rsidRPr="007C1494">
        <w:rPr>
          <w:rFonts w:eastAsia="Times New Roman" w:cs="Times New Roman"/>
          <w:noProof/>
          <w:szCs w:val="24"/>
        </w:rPr>
        <w:t xml:space="preserve"> second most popular in the history </w:t>
      </w:r>
      <w:r w:rsidR="6F23554F" w:rsidRPr="007C1494">
        <w:rPr>
          <w:rFonts w:eastAsia="Times New Roman" w:cs="Times New Roman"/>
          <w:noProof/>
          <w:szCs w:val="24"/>
        </w:rPr>
        <w:t xml:space="preserve">of the European Union. An overwhelming majority of respondents </w:t>
      </w:r>
      <w:r w:rsidR="00E5562F" w:rsidRPr="00A422BB">
        <w:rPr>
          <w:rFonts w:eastAsia="Times New Roman" w:cs="Times New Roman"/>
          <w:noProof/>
          <w:szCs w:val="24"/>
        </w:rPr>
        <w:t>furthermore</w:t>
      </w:r>
      <w:r w:rsidR="00E5562F">
        <w:rPr>
          <w:rFonts w:eastAsia="Times New Roman" w:cs="Times New Roman"/>
          <w:noProof/>
          <w:szCs w:val="24"/>
        </w:rPr>
        <w:t xml:space="preserve"> </w:t>
      </w:r>
      <w:r w:rsidR="00C44EC5" w:rsidRPr="007C1494">
        <w:rPr>
          <w:rFonts w:eastAsia="Times New Roman" w:cs="Times New Roman"/>
          <w:noProof/>
          <w:szCs w:val="24"/>
        </w:rPr>
        <w:t>stated</w:t>
      </w:r>
      <w:r w:rsidR="5B9A5C2C" w:rsidRPr="007C1494">
        <w:rPr>
          <w:rFonts w:eastAsia="Times New Roman" w:cs="Times New Roman"/>
          <w:noProof/>
          <w:szCs w:val="24"/>
        </w:rPr>
        <w:t xml:space="preserve"> that </w:t>
      </w:r>
      <w:r w:rsidR="00431453">
        <w:rPr>
          <w:rFonts w:eastAsia="Times New Roman" w:cs="Times New Roman"/>
          <w:noProof/>
          <w:szCs w:val="24"/>
        </w:rPr>
        <w:t xml:space="preserve">they believed that </w:t>
      </w:r>
      <w:r w:rsidR="5B9A5C2C" w:rsidRPr="007C1494">
        <w:rPr>
          <w:rFonts w:eastAsia="Times New Roman" w:cs="Times New Roman"/>
          <w:noProof/>
          <w:szCs w:val="24"/>
        </w:rPr>
        <w:t>an EU intervention could reduce global deforestation and forest degradation.</w:t>
      </w:r>
      <w:r w:rsidR="00FA2191" w:rsidRPr="007C1494">
        <w:rPr>
          <w:rFonts w:eastAsia="Times New Roman" w:cs="Times New Roman"/>
          <w:noProof/>
          <w:szCs w:val="24"/>
        </w:rPr>
        <w:t xml:space="preserve"> </w:t>
      </w:r>
      <w:r w:rsidR="00C150BF" w:rsidRPr="007C1494">
        <w:rPr>
          <w:rFonts w:eastAsia="Times New Roman" w:cs="Times New Roman"/>
          <w:noProof/>
          <w:szCs w:val="24"/>
        </w:rPr>
        <w:t xml:space="preserve">This was confirmed also at specific </w:t>
      </w:r>
      <w:r w:rsidR="00EA3C5E" w:rsidRPr="007C1494">
        <w:rPr>
          <w:rFonts w:eastAsia="Times New Roman" w:cs="Times New Roman"/>
          <w:noProof/>
          <w:szCs w:val="24"/>
        </w:rPr>
        <w:t>stakeholder events, for example</w:t>
      </w:r>
      <w:r w:rsidR="00C150BF" w:rsidRPr="007C1494">
        <w:rPr>
          <w:rFonts w:eastAsia="Times New Roman" w:cs="Times New Roman"/>
          <w:noProof/>
          <w:szCs w:val="24"/>
        </w:rPr>
        <w:t xml:space="preserve"> </w:t>
      </w:r>
      <w:r>
        <w:rPr>
          <w:rFonts w:eastAsia="Times New Roman" w:cs="Times New Roman"/>
          <w:noProof/>
          <w:szCs w:val="24"/>
        </w:rPr>
        <w:t xml:space="preserve">at </w:t>
      </w:r>
      <w:r w:rsidR="00C150BF" w:rsidRPr="007C1494">
        <w:rPr>
          <w:rFonts w:eastAsia="Times New Roman" w:cs="Times New Roman"/>
          <w:noProof/>
          <w:szCs w:val="24"/>
        </w:rPr>
        <w:t xml:space="preserve">the </w:t>
      </w:r>
      <w:r w:rsidR="00431453">
        <w:rPr>
          <w:rFonts w:eastAsia="Times New Roman" w:cs="Times New Roman"/>
          <w:noProof/>
          <w:szCs w:val="24"/>
        </w:rPr>
        <w:t xml:space="preserve">meetings of the </w:t>
      </w:r>
      <w:r w:rsidR="00C150BF" w:rsidRPr="007C1494">
        <w:rPr>
          <w:rFonts w:eastAsia="Times New Roman" w:cs="Times New Roman"/>
          <w:noProof/>
          <w:szCs w:val="24"/>
        </w:rPr>
        <w:t xml:space="preserve">Multi-Stakeholder Platform on Protecting and Restoring the World’s Forests </w:t>
      </w:r>
      <w:r w:rsidR="00C150BF" w:rsidRPr="007C1494">
        <w:rPr>
          <w:rStyle w:val="FootnoteReference"/>
          <w:rFonts w:eastAsia="Times New Roman" w:cs="Times New Roman"/>
          <w:noProof/>
          <w:szCs w:val="24"/>
        </w:rPr>
        <w:footnoteReference w:id="15"/>
      </w:r>
      <w:r w:rsidR="00C150BF" w:rsidRPr="007C1494">
        <w:rPr>
          <w:rFonts w:eastAsia="Times New Roman" w:cs="Times New Roman"/>
          <w:noProof/>
          <w:szCs w:val="24"/>
        </w:rPr>
        <w:t xml:space="preserve">, gathering a very broad range of stakeholders from the EU and partner countries, including public authorities and representatives of industry, civil society, international organizations and research </w:t>
      </w:r>
      <w:r w:rsidR="00EA3C5E" w:rsidRPr="007C1494">
        <w:rPr>
          <w:rFonts w:eastAsia="Times New Roman" w:cs="Times New Roman"/>
          <w:noProof/>
          <w:szCs w:val="24"/>
        </w:rPr>
        <w:t>institutions</w:t>
      </w:r>
      <w:r w:rsidR="00C150BF" w:rsidRPr="007C1494">
        <w:rPr>
          <w:rFonts w:eastAsia="Times New Roman" w:cs="Times New Roman"/>
          <w:noProof/>
          <w:szCs w:val="24"/>
        </w:rPr>
        <w:t>.</w:t>
      </w:r>
    </w:p>
    <w:p w14:paraId="6C397B40" w14:textId="2B411F87" w:rsidR="7A9F70EC" w:rsidRPr="007C1494" w:rsidRDefault="7A9F70EC" w:rsidP="00E167BD">
      <w:pPr>
        <w:jc w:val="both"/>
        <w:rPr>
          <w:rFonts w:eastAsia="Times New Roman" w:cs="Times New Roman"/>
          <w:noProof/>
          <w:szCs w:val="24"/>
        </w:rPr>
      </w:pPr>
      <w:r w:rsidRPr="007C1494">
        <w:rPr>
          <w:rFonts w:eastAsia="Times New Roman" w:cs="Times New Roman"/>
          <w:noProof/>
          <w:szCs w:val="24"/>
        </w:rPr>
        <w:t>In the “</w:t>
      </w:r>
      <w:r w:rsidRPr="007C1494">
        <w:rPr>
          <w:rFonts w:eastAsia="Times New Roman" w:cs="Times New Roman"/>
          <w:i/>
          <w:iCs/>
          <w:noProof/>
          <w:szCs w:val="24"/>
        </w:rPr>
        <w:t xml:space="preserve">Conclusions of the Council and of the Governments of the Member States sitting in the Council on the Communication on Stepping Up EU Action to Protect and Restore </w:t>
      </w:r>
      <w:r w:rsidRPr="007C1494">
        <w:rPr>
          <w:rFonts w:eastAsia="Times New Roman" w:cs="Times New Roman"/>
          <w:i/>
          <w:iCs/>
          <w:noProof/>
          <w:szCs w:val="24"/>
        </w:rPr>
        <w:lastRenderedPageBreak/>
        <w:t>the World’s Forests</w:t>
      </w:r>
      <w:r w:rsidRPr="007C1494">
        <w:rPr>
          <w:rStyle w:val="FootnoteReference"/>
          <w:rFonts w:eastAsia="Times New Roman" w:cs="Times New Roman"/>
          <w:noProof/>
          <w:szCs w:val="24"/>
        </w:rPr>
        <w:footnoteReference w:id="16"/>
      </w:r>
      <w:r w:rsidRPr="007C1494">
        <w:rPr>
          <w:rFonts w:eastAsia="Times New Roman" w:cs="Times New Roman"/>
          <w:noProof/>
          <w:szCs w:val="24"/>
        </w:rPr>
        <w:t xml:space="preserve">” </w:t>
      </w:r>
      <w:r w:rsidR="00431453">
        <w:rPr>
          <w:rFonts w:eastAsia="Times New Roman" w:cs="Times New Roman"/>
          <w:noProof/>
          <w:szCs w:val="24"/>
        </w:rPr>
        <w:t xml:space="preserve">of </w:t>
      </w:r>
      <w:r w:rsidR="00431453" w:rsidRPr="007C1494">
        <w:rPr>
          <w:rFonts w:eastAsia="Times New Roman" w:cs="Times New Roman"/>
          <w:noProof/>
          <w:szCs w:val="24"/>
        </w:rPr>
        <w:t>2019</w:t>
      </w:r>
      <w:r w:rsidR="004262C8">
        <w:rPr>
          <w:rFonts w:eastAsia="Times New Roman" w:cs="Times New Roman"/>
          <w:noProof/>
          <w:szCs w:val="24"/>
        </w:rPr>
        <w:t>.</w:t>
      </w:r>
      <w:r w:rsidR="00431453">
        <w:rPr>
          <w:rFonts w:eastAsia="Times New Roman" w:cs="Times New Roman"/>
          <w:noProof/>
          <w:szCs w:val="24"/>
        </w:rPr>
        <w:t xml:space="preserve"> </w:t>
      </w:r>
      <w:r w:rsidRPr="007C1494">
        <w:rPr>
          <w:rFonts w:eastAsia="Times New Roman" w:cs="Times New Roman"/>
          <w:noProof/>
          <w:szCs w:val="24"/>
        </w:rPr>
        <w:t>EU Member States</w:t>
      </w:r>
      <w:r w:rsidR="007679F9">
        <w:rPr>
          <w:rFonts w:eastAsia="Times New Roman" w:cs="Times New Roman"/>
          <w:noProof/>
          <w:szCs w:val="24"/>
        </w:rPr>
        <w:t xml:space="preserve"> </w:t>
      </w:r>
      <w:r w:rsidRPr="007C1494">
        <w:rPr>
          <w:rFonts w:eastAsia="Times New Roman" w:cs="Times New Roman"/>
          <w:noProof/>
          <w:szCs w:val="24"/>
        </w:rPr>
        <w:t xml:space="preserve">expressed their concern </w:t>
      </w:r>
      <w:r w:rsidR="0033101E">
        <w:rPr>
          <w:rFonts w:eastAsia="Times New Roman" w:cs="Times New Roman"/>
          <w:noProof/>
          <w:szCs w:val="24"/>
        </w:rPr>
        <w:t>regarding</w:t>
      </w:r>
      <w:r w:rsidR="0033101E" w:rsidRPr="007C1494">
        <w:rPr>
          <w:rFonts w:eastAsia="Times New Roman" w:cs="Times New Roman"/>
          <w:noProof/>
          <w:szCs w:val="24"/>
        </w:rPr>
        <w:t xml:space="preserve"> </w:t>
      </w:r>
      <w:r w:rsidRPr="007C1494">
        <w:rPr>
          <w:rFonts w:eastAsia="Times New Roman" w:cs="Times New Roman"/>
          <w:noProof/>
          <w:szCs w:val="24"/>
        </w:rPr>
        <w:t>the current deforestation situation</w:t>
      </w:r>
      <w:r w:rsidR="0033101E">
        <w:rPr>
          <w:rFonts w:eastAsia="Times New Roman" w:cs="Times New Roman"/>
          <w:noProof/>
          <w:szCs w:val="24"/>
        </w:rPr>
        <w:t xml:space="preserve"> and stressed the importance of the EU addressing the direct and indirect drivers of deforestation, noting that approximately 80 per cent of global deforestation is caused by agricultural expansion</w:t>
      </w:r>
      <w:r w:rsidRPr="007C1494">
        <w:rPr>
          <w:rFonts w:eastAsia="Times New Roman" w:cs="Times New Roman"/>
          <w:noProof/>
          <w:szCs w:val="24"/>
        </w:rPr>
        <w:t xml:space="preserve">. </w:t>
      </w:r>
      <w:r w:rsidR="00C44EC5" w:rsidRPr="007C1494">
        <w:rPr>
          <w:rFonts w:eastAsia="Times New Roman" w:cs="Times New Roman"/>
          <w:noProof/>
          <w:szCs w:val="24"/>
        </w:rPr>
        <w:t>They</w:t>
      </w:r>
      <w:r w:rsidRPr="007C1494">
        <w:rPr>
          <w:rFonts w:eastAsia="Times New Roman" w:cs="Times New Roman"/>
          <w:noProof/>
          <w:szCs w:val="24"/>
        </w:rPr>
        <w:t xml:space="preserve"> emphasised that since current policies and action at global level on conservation, restoration and sustainable management of forests do not suffice </w:t>
      </w:r>
      <w:r w:rsidR="2B7EB755" w:rsidRPr="007C1494">
        <w:rPr>
          <w:rFonts w:eastAsia="Times New Roman" w:cs="Times New Roman"/>
          <w:noProof/>
          <w:szCs w:val="24"/>
        </w:rPr>
        <w:t xml:space="preserve">to </w:t>
      </w:r>
      <w:r w:rsidR="57740B7C" w:rsidRPr="007C1494">
        <w:rPr>
          <w:rFonts w:eastAsia="Times New Roman" w:cs="Times New Roman"/>
          <w:noProof/>
          <w:szCs w:val="24"/>
        </w:rPr>
        <w:t>halt deforestation and forest degradation, enhanced EU action is needed to contribute more effectively to the achievement of the UN Sustainable Development Goals</w:t>
      </w:r>
      <w:r w:rsidR="00490E46" w:rsidRPr="007C1494">
        <w:rPr>
          <w:rFonts w:eastAsia="Times New Roman" w:cs="Times New Roman"/>
          <w:noProof/>
          <w:szCs w:val="24"/>
        </w:rPr>
        <w:t xml:space="preserve"> (SDG</w:t>
      </w:r>
      <w:r w:rsidR="00A05253" w:rsidRPr="007C1494">
        <w:rPr>
          <w:rFonts w:eastAsia="Times New Roman" w:cs="Times New Roman"/>
          <w:noProof/>
          <w:szCs w:val="24"/>
        </w:rPr>
        <w:t>s</w:t>
      </w:r>
      <w:r w:rsidR="00490E46" w:rsidRPr="007C1494">
        <w:rPr>
          <w:rFonts w:eastAsia="Times New Roman" w:cs="Times New Roman"/>
          <w:noProof/>
          <w:szCs w:val="24"/>
        </w:rPr>
        <w:t>)</w:t>
      </w:r>
      <w:r w:rsidR="57740B7C" w:rsidRPr="007C1494">
        <w:rPr>
          <w:rFonts w:eastAsia="Times New Roman" w:cs="Times New Roman"/>
          <w:noProof/>
          <w:szCs w:val="24"/>
        </w:rPr>
        <w:t xml:space="preserve">. The Council specifically </w:t>
      </w:r>
      <w:r w:rsidR="0053280B" w:rsidRPr="007C1494">
        <w:rPr>
          <w:rFonts w:eastAsia="Times New Roman" w:cs="Times New Roman"/>
          <w:noProof/>
          <w:szCs w:val="24"/>
        </w:rPr>
        <w:t>supported</w:t>
      </w:r>
      <w:r w:rsidR="57740B7C" w:rsidRPr="007C1494">
        <w:rPr>
          <w:rFonts w:eastAsia="Times New Roman" w:cs="Times New Roman"/>
          <w:noProof/>
          <w:szCs w:val="24"/>
        </w:rPr>
        <w:t xml:space="preserve"> the Commission </w:t>
      </w:r>
      <w:r w:rsidR="0053280B" w:rsidRPr="007C1494">
        <w:rPr>
          <w:rFonts w:eastAsia="Times New Roman" w:cs="Times New Roman"/>
          <w:noProof/>
          <w:szCs w:val="24"/>
        </w:rPr>
        <w:t xml:space="preserve">announcement in the </w:t>
      </w:r>
      <w:r w:rsidR="00D761F9" w:rsidRPr="00A422BB">
        <w:rPr>
          <w:rFonts w:eastAsia="Times New Roman" w:cs="Times New Roman"/>
          <w:noProof/>
          <w:szCs w:val="24"/>
        </w:rPr>
        <w:t>2019</w:t>
      </w:r>
      <w:r w:rsidR="0053280B" w:rsidRPr="007C1494">
        <w:rPr>
          <w:rFonts w:eastAsia="Times New Roman" w:cs="Times New Roman"/>
          <w:noProof/>
          <w:szCs w:val="24"/>
        </w:rPr>
        <w:t xml:space="preserve"> Communication </w:t>
      </w:r>
      <w:r w:rsidR="57740B7C" w:rsidRPr="007C1494">
        <w:rPr>
          <w:rFonts w:eastAsia="Times New Roman" w:cs="Times New Roman"/>
          <w:noProof/>
          <w:szCs w:val="24"/>
        </w:rPr>
        <w:t>t</w:t>
      </w:r>
      <w:r w:rsidR="00667E8A" w:rsidRPr="007C1494">
        <w:rPr>
          <w:rFonts w:eastAsia="Times New Roman" w:cs="Times New Roman"/>
          <w:noProof/>
          <w:szCs w:val="24"/>
        </w:rPr>
        <w:t xml:space="preserve">hat it would </w:t>
      </w:r>
      <w:r w:rsidR="57740B7C" w:rsidRPr="007C1494">
        <w:rPr>
          <w:rFonts w:eastAsia="Times New Roman" w:cs="Times New Roman"/>
          <w:noProof/>
          <w:szCs w:val="24"/>
        </w:rPr>
        <w:t>assess additional regulatory and non-regulatory measures and t</w:t>
      </w:r>
      <w:r w:rsidR="00667E8A" w:rsidRPr="007C1494">
        <w:rPr>
          <w:rFonts w:eastAsia="Times New Roman" w:cs="Times New Roman"/>
          <w:noProof/>
          <w:szCs w:val="24"/>
        </w:rPr>
        <w:t xml:space="preserve">hat it would present </w:t>
      </w:r>
      <w:r w:rsidR="57740B7C" w:rsidRPr="007C1494">
        <w:rPr>
          <w:rFonts w:eastAsia="Times New Roman" w:cs="Times New Roman"/>
          <w:noProof/>
          <w:szCs w:val="24"/>
        </w:rPr>
        <w:t xml:space="preserve">respective proposals. This impact assessment and the accompanying proposal </w:t>
      </w:r>
      <w:r w:rsidR="0053280B" w:rsidRPr="007C1494">
        <w:rPr>
          <w:rFonts w:eastAsia="Times New Roman" w:cs="Times New Roman"/>
          <w:noProof/>
          <w:szCs w:val="24"/>
        </w:rPr>
        <w:t xml:space="preserve">follow </w:t>
      </w:r>
      <w:r w:rsidR="00667E8A" w:rsidRPr="007C1494">
        <w:rPr>
          <w:rFonts w:eastAsia="Times New Roman" w:cs="Times New Roman"/>
          <w:noProof/>
          <w:szCs w:val="24"/>
        </w:rPr>
        <w:t xml:space="preserve">up on </w:t>
      </w:r>
      <w:r w:rsidR="0053280B" w:rsidRPr="007C1494">
        <w:rPr>
          <w:rFonts w:eastAsia="Times New Roman" w:cs="Times New Roman"/>
          <w:noProof/>
          <w:szCs w:val="24"/>
        </w:rPr>
        <w:t>that announcement</w:t>
      </w:r>
      <w:r w:rsidR="57740B7C" w:rsidRPr="007C1494">
        <w:rPr>
          <w:rFonts w:eastAsia="Times New Roman" w:cs="Times New Roman"/>
          <w:noProof/>
          <w:szCs w:val="24"/>
        </w:rPr>
        <w:t>.</w:t>
      </w:r>
    </w:p>
    <w:p w14:paraId="022647FC" w14:textId="43BF0387" w:rsidR="00192045" w:rsidRPr="007C1494" w:rsidRDefault="54B6770C">
      <w:pPr>
        <w:jc w:val="both"/>
        <w:rPr>
          <w:rFonts w:eastAsia="Times New Roman" w:cs="Times New Roman"/>
          <w:noProof/>
          <w:szCs w:val="24"/>
        </w:rPr>
      </w:pPr>
      <w:r w:rsidRPr="007C1494">
        <w:rPr>
          <w:rFonts w:eastAsia="Times New Roman" w:cs="Times New Roman"/>
          <w:noProof/>
          <w:szCs w:val="24"/>
        </w:rPr>
        <w:t>The European Parliament</w:t>
      </w:r>
      <w:r w:rsidR="00060B02">
        <w:rPr>
          <w:rFonts w:eastAsia="Times New Roman" w:cs="Times New Roman"/>
          <w:noProof/>
          <w:szCs w:val="24"/>
        </w:rPr>
        <w:t xml:space="preserve"> </w:t>
      </w:r>
      <w:r w:rsidRPr="007C1494">
        <w:rPr>
          <w:rFonts w:eastAsia="Times New Roman" w:cs="Times New Roman"/>
          <w:noProof/>
          <w:szCs w:val="24"/>
        </w:rPr>
        <w:t>adopted on 22 October 2020 a resolution</w:t>
      </w:r>
      <w:r w:rsidR="1BFD02F2" w:rsidRPr="007C1494">
        <w:rPr>
          <w:rStyle w:val="FootnoteReference"/>
          <w:rFonts w:eastAsia="Times New Roman" w:cs="Times New Roman"/>
          <w:noProof/>
          <w:szCs w:val="24"/>
        </w:rPr>
        <w:footnoteReference w:id="17"/>
      </w:r>
      <w:r w:rsidRPr="007C1494">
        <w:rPr>
          <w:rFonts w:eastAsia="Times New Roman" w:cs="Times New Roman"/>
          <w:noProof/>
          <w:szCs w:val="24"/>
        </w:rPr>
        <w:t xml:space="preserve"> in accordance with Article 225 of the Treaty on the Functioning of the European Union (TFEU) calling for an “EU legal framework to halt and reverse EU-driven global deforestation”. </w:t>
      </w:r>
      <w:r w:rsidR="0E91CEAE" w:rsidRPr="007C1494">
        <w:rPr>
          <w:rFonts w:eastAsia="Times New Roman" w:cs="Times New Roman"/>
          <w:noProof/>
          <w:szCs w:val="24"/>
        </w:rPr>
        <w:t xml:space="preserve">The resolution requests the Commission to submit, on the basis of Article 192 (1) TFEU, a proposal for an EU legal framework to halt and reverse EU-driven global deforestation. </w:t>
      </w:r>
      <w:r w:rsidR="6D58EA20" w:rsidRPr="007C1494" w:rsidDel="00C44EC5">
        <w:rPr>
          <w:rFonts w:eastAsia="Times New Roman" w:cs="Times New Roman"/>
          <w:noProof/>
          <w:szCs w:val="24"/>
        </w:rPr>
        <w:t>This impact assessment</w:t>
      </w:r>
      <w:r w:rsidR="1EB6CF0D" w:rsidRPr="007C1494" w:rsidDel="00C44EC5">
        <w:rPr>
          <w:rFonts w:eastAsia="Times New Roman" w:cs="Times New Roman"/>
          <w:noProof/>
          <w:szCs w:val="24"/>
        </w:rPr>
        <w:t xml:space="preserve"> takes into account</w:t>
      </w:r>
      <w:r w:rsidR="37982825" w:rsidRPr="007C1494" w:rsidDel="00C44EC5">
        <w:rPr>
          <w:rFonts w:eastAsia="Times New Roman" w:cs="Times New Roman"/>
          <w:noProof/>
          <w:szCs w:val="24"/>
        </w:rPr>
        <w:t xml:space="preserve"> the recommendations of the </w:t>
      </w:r>
      <w:r w:rsidR="37982825" w:rsidRPr="007C1494" w:rsidDel="00060B02">
        <w:rPr>
          <w:rFonts w:eastAsia="Times New Roman" w:cs="Times New Roman"/>
          <w:noProof/>
          <w:szCs w:val="24"/>
        </w:rPr>
        <w:t>European Parliament</w:t>
      </w:r>
      <w:r w:rsidR="00650608" w:rsidRPr="007C1494">
        <w:rPr>
          <w:rFonts w:eastAsia="Times New Roman" w:cs="Times New Roman"/>
          <w:noProof/>
          <w:szCs w:val="24"/>
        </w:rPr>
        <w:t xml:space="preserve">. </w:t>
      </w:r>
    </w:p>
    <w:p w14:paraId="07170F43" w14:textId="3116BDDC" w:rsidR="00650608" w:rsidRPr="007C1494" w:rsidRDefault="00AA5B21">
      <w:pPr>
        <w:jc w:val="both"/>
        <w:rPr>
          <w:rFonts w:eastAsia="Times New Roman" w:cs="Times New Roman"/>
          <w:noProof/>
          <w:szCs w:val="24"/>
        </w:rPr>
      </w:pPr>
      <w:r w:rsidRPr="007C1494">
        <w:rPr>
          <w:rFonts w:eastAsia="Times New Roman" w:cs="Times New Roman"/>
          <w:noProof/>
          <w:szCs w:val="24"/>
        </w:rPr>
        <w:t xml:space="preserve">As described below in detail, the current legislative framework — at national, EU and international level — is not sufficient to reduce EU-driven deforestation. </w:t>
      </w:r>
      <w:r>
        <w:rPr>
          <w:rFonts w:eastAsia="Times New Roman" w:cs="Times New Roman"/>
          <w:noProof/>
          <w:szCs w:val="24"/>
        </w:rPr>
        <w:t>Ther</w:t>
      </w:r>
      <w:r w:rsidR="00A95A21">
        <w:rPr>
          <w:rFonts w:eastAsia="Times New Roman" w:cs="Times New Roman"/>
          <w:noProof/>
          <w:szCs w:val="24"/>
        </w:rPr>
        <w:t>e</w:t>
      </w:r>
      <w:r>
        <w:rPr>
          <w:rFonts w:eastAsia="Times New Roman" w:cs="Times New Roman"/>
          <w:noProof/>
          <w:szCs w:val="24"/>
        </w:rPr>
        <w:t>fore</w:t>
      </w:r>
      <w:r w:rsidR="00C73290">
        <w:rPr>
          <w:rFonts w:eastAsia="Times New Roman" w:cs="Times New Roman"/>
          <w:noProof/>
          <w:szCs w:val="24"/>
        </w:rPr>
        <w:t xml:space="preserve">, </w:t>
      </w:r>
      <w:r>
        <w:rPr>
          <w:rFonts w:eastAsia="Times New Roman" w:cs="Times New Roman"/>
          <w:noProof/>
          <w:szCs w:val="24"/>
        </w:rPr>
        <w:t>i</w:t>
      </w:r>
      <w:r w:rsidR="00650608" w:rsidRPr="007C1494">
        <w:rPr>
          <w:rFonts w:eastAsia="Times New Roman" w:cs="Times New Roman"/>
          <w:noProof/>
          <w:szCs w:val="24"/>
        </w:rPr>
        <w:t>n line with the</w:t>
      </w:r>
      <w:r w:rsidR="000C216D" w:rsidRPr="007C1494">
        <w:rPr>
          <w:rFonts w:eastAsia="Times New Roman" w:cs="Times New Roman"/>
          <w:noProof/>
          <w:szCs w:val="24"/>
        </w:rPr>
        <w:t xml:space="preserve"> </w:t>
      </w:r>
      <w:r w:rsidR="00667E8A" w:rsidRPr="007C1494">
        <w:rPr>
          <w:rFonts w:eastAsia="Times New Roman" w:cs="Times New Roman"/>
          <w:noProof/>
          <w:szCs w:val="24"/>
        </w:rPr>
        <w:t>announcement made in</w:t>
      </w:r>
      <w:r w:rsidR="00650608" w:rsidRPr="007C1494">
        <w:rPr>
          <w:rFonts w:eastAsia="Times New Roman" w:cs="Times New Roman"/>
          <w:noProof/>
          <w:szCs w:val="24"/>
        </w:rPr>
        <w:t xml:space="preserve"> the</w:t>
      </w:r>
      <w:r w:rsidR="000C216D" w:rsidRPr="007C1494">
        <w:rPr>
          <w:rFonts w:eastAsia="Times New Roman" w:cs="Times New Roman"/>
          <w:noProof/>
          <w:szCs w:val="24"/>
        </w:rPr>
        <w:t xml:space="preserve"> </w:t>
      </w:r>
      <w:r w:rsidR="00D761F9" w:rsidRPr="00A422BB">
        <w:rPr>
          <w:rFonts w:eastAsia="Times New Roman" w:cs="Times New Roman"/>
          <w:noProof/>
          <w:szCs w:val="24"/>
        </w:rPr>
        <w:t>2019</w:t>
      </w:r>
      <w:r w:rsidR="000C216D" w:rsidRPr="007C1494">
        <w:rPr>
          <w:rFonts w:eastAsia="Times New Roman" w:cs="Times New Roman"/>
          <w:noProof/>
          <w:szCs w:val="24"/>
        </w:rPr>
        <w:t xml:space="preserve"> </w:t>
      </w:r>
      <w:r w:rsidR="0087425A" w:rsidRPr="007C1494">
        <w:rPr>
          <w:rFonts w:eastAsia="Times New Roman" w:cs="Times New Roman"/>
          <w:noProof/>
          <w:szCs w:val="24"/>
        </w:rPr>
        <w:t>Communication</w:t>
      </w:r>
      <w:r w:rsidR="0087425A">
        <w:rPr>
          <w:rFonts w:eastAsia="Times New Roman" w:cs="Times New Roman"/>
          <w:noProof/>
          <w:szCs w:val="24"/>
        </w:rPr>
        <w:t>,</w:t>
      </w:r>
      <w:r w:rsidR="0087425A" w:rsidRPr="007C1494">
        <w:rPr>
          <w:rFonts w:eastAsia="Times New Roman" w:cs="Times New Roman"/>
          <w:noProof/>
          <w:szCs w:val="24"/>
        </w:rPr>
        <w:t xml:space="preserve"> </w:t>
      </w:r>
      <w:r w:rsidR="00650608" w:rsidRPr="007C1494">
        <w:rPr>
          <w:rFonts w:eastAsia="Times New Roman" w:cs="Times New Roman"/>
          <w:noProof/>
          <w:szCs w:val="24"/>
        </w:rPr>
        <w:t>the</w:t>
      </w:r>
      <w:r w:rsidR="000C216D" w:rsidRPr="007C1494">
        <w:rPr>
          <w:rFonts w:eastAsia="Times New Roman" w:cs="Times New Roman"/>
          <w:noProof/>
          <w:szCs w:val="24"/>
        </w:rPr>
        <w:t xml:space="preserve"> </w:t>
      </w:r>
      <w:r w:rsidR="00650608" w:rsidRPr="007C1494">
        <w:rPr>
          <w:rFonts w:eastAsia="Times New Roman" w:cs="Times New Roman"/>
          <w:noProof/>
          <w:szCs w:val="24"/>
        </w:rPr>
        <w:t>European Green Deal, the 2030 EU Biodiversity Strategy</w:t>
      </w:r>
      <w:r w:rsidR="00650193" w:rsidRPr="007C1494">
        <w:rPr>
          <w:rFonts w:eastAsia="Times New Roman" w:cs="Times New Roman"/>
          <w:noProof/>
          <w:szCs w:val="24"/>
        </w:rPr>
        <w:t>,</w:t>
      </w:r>
      <w:r w:rsidR="00650608" w:rsidRPr="007C1494">
        <w:rPr>
          <w:rFonts w:eastAsia="Times New Roman" w:cs="Times New Roman"/>
          <w:noProof/>
          <w:szCs w:val="24"/>
        </w:rPr>
        <w:t xml:space="preserve"> the Farm to Fork Initiative</w:t>
      </w:r>
      <w:r w:rsidR="000C216D" w:rsidRPr="007C1494">
        <w:rPr>
          <w:rFonts w:eastAsia="Times New Roman" w:cs="Times New Roman"/>
          <w:noProof/>
          <w:szCs w:val="24"/>
        </w:rPr>
        <w:t>, t</w:t>
      </w:r>
      <w:r w:rsidR="0087425A">
        <w:rPr>
          <w:rFonts w:eastAsia="Times New Roman" w:cs="Times New Roman"/>
          <w:noProof/>
          <w:szCs w:val="24"/>
        </w:rPr>
        <w:t>his</w:t>
      </w:r>
      <w:r w:rsidR="000C216D" w:rsidRPr="007C1494">
        <w:rPr>
          <w:rFonts w:eastAsia="Times New Roman" w:cs="Times New Roman"/>
          <w:noProof/>
          <w:szCs w:val="24"/>
        </w:rPr>
        <w:t xml:space="preserve"> initiative focuses on forests</w:t>
      </w:r>
      <w:r w:rsidR="00650193" w:rsidRPr="007C1494">
        <w:rPr>
          <w:rFonts w:eastAsia="Times New Roman" w:cs="Times New Roman"/>
          <w:noProof/>
          <w:szCs w:val="24"/>
        </w:rPr>
        <w:t>.</w:t>
      </w:r>
      <w:r w:rsidR="00061A39">
        <w:rPr>
          <w:rFonts w:eastAsia="Times New Roman" w:cs="Times New Roman"/>
          <w:noProof/>
          <w:szCs w:val="24"/>
        </w:rPr>
        <w:t xml:space="preserve"> While the European Parliament and NGOs advocated for an inclusion of</w:t>
      </w:r>
      <w:r w:rsidR="000C216D" w:rsidRPr="007C1494">
        <w:rPr>
          <w:rFonts w:eastAsia="Times New Roman" w:cs="Times New Roman"/>
          <w:noProof/>
          <w:szCs w:val="24"/>
        </w:rPr>
        <w:t xml:space="preserve"> other ecosystems</w:t>
      </w:r>
      <w:r w:rsidR="00061A39">
        <w:rPr>
          <w:rFonts w:eastAsia="Times New Roman" w:cs="Times New Roman"/>
          <w:noProof/>
          <w:szCs w:val="24"/>
        </w:rPr>
        <w:t xml:space="preserve">, such an expansion of the scope </w:t>
      </w:r>
      <w:r w:rsidR="00650193" w:rsidRPr="007C1494">
        <w:rPr>
          <w:rFonts w:eastAsia="Times New Roman" w:cs="Times New Roman"/>
          <w:noProof/>
          <w:szCs w:val="24"/>
        </w:rPr>
        <w:t>at</w:t>
      </w:r>
      <w:r w:rsidR="000C216D" w:rsidRPr="007C1494">
        <w:rPr>
          <w:rFonts w:eastAsia="Times New Roman" w:cs="Times New Roman"/>
          <w:noProof/>
          <w:szCs w:val="24"/>
        </w:rPr>
        <w:t xml:space="preserve"> this</w:t>
      </w:r>
      <w:r w:rsidR="00650193" w:rsidRPr="007C1494">
        <w:rPr>
          <w:rFonts w:eastAsia="Times New Roman" w:cs="Times New Roman"/>
          <w:noProof/>
          <w:szCs w:val="24"/>
        </w:rPr>
        <w:t xml:space="preserve"> stage</w:t>
      </w:r>
      <w:r w:rsidR="000C216D" w:rsidRPr="007C1494">
        <w:rPr>
          <w:rFonts w:eastAsia="Times New Roman" w:cs="Times New Roman"/>
          <w:noProof/>
          <w:szCs w:val="24"/>
        </w:rPr>
        <w:t xml:space="preserve"> </w:t>
      </w:r>
      <w:r w:rsidR="00061A39">
        <w:rPr>
          <w:rFonts w:eastAsia="Times New Roman" w:cs="Times New Roman"/>
          <w:noProof/>
          <w:szCs w:val="24"/>
        </w:rPr>
        <w:t xml:space="preserve">was considered </w:t>
      </w:r>
      <w:r w:rsidR="000C216D" w:rsidRPr="007C1494">
        <w:rPr>
          <w:rFonts w:eastAsia="Times New Roman" w:cs="Times New Roman"/>
          <w:noProof/>
          <w:szCs w:val="24"/>
        </w:rPr>
        <w:t>detriment</w:t>
      </w:r>
      <w:r w:rsidR="00061A39">
        <w:rPr>
          <w:rFonts w:eastAsia="Times New Roman" w:cs="Times New Roman"/>
          <w:noProof/>
          <w:szCs w:val="24"/>
        </w:rPr>
        <w:t>al to</w:t>
      </w:r>
      <w:r w:rsidR="000C216D" w:rsidRPr="007C1494" w:rsidDel="00061A39">
        <w:rPr>
          <w:rFonts w:eastAsia="Times New Roman" w:cs="Times New Roman"/>
          <w:noProof/>
          <w:szCs w:val="24"/>
        </w:rPr>
        <w:t xml:space="preserve"> </w:t>
      </w:r>
      <w:r w:rsidR="000C216D" w:rsidRPr="007C1494">
        <w:rPr>
          <w:rFonts w:eastAsia="Times New Roman" w:cs="Times New Roman"/>
          <w:noProof/>
          <w:szCs w:val="24"/>
        </w:rPr>
        <w:t xml:space="preserve">the effectiveness and enforceability of the policy measures </w:t>
      </w:r>
      <w:r w:rsidR="004E499D" w:rsidRPr="007C1494">
        <w:rPr>
          <w:rFonts w:eastAsia="Times New Roman" w:cs="Times New Roman"/>
          <w:noProof/>
          <w:szCs w:val="24"/>
        </w:rPr>
        <w:t>hereby</w:t>
      </w:r>
      <w:r w:rsidR="000C216D" w:rsidRPr="007C1494">
        <w:rPr>
          <w:rFonts w:eastAsia="Times New Roman" w:cs="Times New Roman"/>
          <w:noProof/>
          <w:szCs w:val="24"/>
        </w:rPr>
        <w:t xml:space="preserve"> </w:t>
      </w:r>
      <w:r w:rsidR="00650193" w:rsidRPr="007C1494">
        <w:rPr>
          <w:rFonts w:eastAsia="Times New Roman" w:cs="Times New Roman"/>
          <w:noProof/>
          <w:szCs w:val="24"/>
        </w:rPr>
        <w:t>assessed</w:t>
      </w:r>
      <w:r w:rsidR="000C216D" w:rsidRPr="007C1494">
        <w:rPr>
          <w:rFonts w:eastAsia="Times New Roman" w:cs="Times New Roman"/>
          <w:noProof/>
          <w:szCs w:val="24"/>
        </w:rPr>
        <w:t xml:space="preserve">. </w:t>
      </w:r>
      <w:r w:rsidR="004E499D" w:rsidRPr="007C1494">
        <w:rPr>
          <w:rFonts w:eastAsia="Times New Roman" w:cs="Times New Roman"/>
          <w:noProof/>
          <w:szCs w:val="24"/>
        </w:rPr>
        <w:t>However, at a later stage</w:t>
      </w:r>
      <w:r w:rsidR="0035146A" w:rsidRPr="007C1494">
        <w:rPr>
          <w:rFonts w:eastAsia="Times New Roman" w:cs="Times New Roman"/>
          <w:noProof/>
          <w:szCs w:val="24"/>
        </w:rPr>
        <w:t xml:space="preserve">, </w:t>
      </w:r>
      <w:r w:rsidR="00650193" w:rsidRPr="007C1494">
        <w:rPr>
          <w:rFonts w:eastAsia="Times New Roman" w:cs="Times New Roman"/>
          <w:noProof/>
          <w:szCs w:val="24"/>
        </w:rPr>
        <w:t>building on lessons learned in implementation of a legislati</w:t>
      </w:r>
      <w:r w:rsidR="004262C8" w:rsidRPr="00A422BB">
        <w:rPr>
          <w:rFonts w:eastAsia="Times New Roman" w:cs="Times New Roman"/>
          <w:noProof/>
          <w:szCs w:val="24"/>
        </w:rPr>
        <w:t>ve act</w:t>
      </w:r>
      <w:r w:rsidR="00650193" w:rsidRPr="007C1494">
        <w:rPr>
          <w:rFonts w:eastAsia="Times New Roman" w:cs="Times New Roman"/>
          <w:noProof/>
          <w:szCs w:val="24"/>
        </w:rPr>
        <w:t xml:space="preserve"> focusing on</w:t>
      </w:r>
      <w:r w:rsidR="004E499D" w:rsidRPr="007C1494">
        <w:rPr>
          <w:rFonts w:eastAsia="Times New Roman" w:cs="Times New Roman"/>
          <w:noProof/>
          <w:szCs w:val="24"/>
        </w:rPr>
        <w:t xml:space="preserve"> deforestation</w:t>
      </w:r>
      <w:r w:rsidR="00650193" w:rsidRPr="007C1494">
        <w:rPr>
          <w:rFonts w:eastAsia="Times New Roman" w:cs="Times New Roman"/>
          <w:noProof/>
          <w:szCs w:val="24"/>
        </w:rPr>
        <w:t>,</w:t>
      </w:r>
      <w:r w:rsidR="004E499D" w:rsidRPr="007C1494">
        <w:rPr>
          <w:rFonts w:eastAsia="Times New Roman" w:cs="Times New Roman"/>
          <w:noProof/>
          <w:szCs w:val="24"/>
        </w:rPr>
        <w:t xml:space="preserve"> </w:t>
      </w:r>
      <w:r w:rsidR="00576B69" w:rsidRPr="007C1494">
        <w:rPr>
          <w:rFonts w:eastAsia="Times New Roman" w:cs="Times New Roman"/>
          <w:noProof/>
          <w:szCs w:val="24"/>
        </w:rPr>
        <w:t xml:space="preserve">it might be considered to expand the </w:t>
      </w:r>
      <w:r w:rsidR="0035146A" w:rsidRPr="007C1494">
        <w:rPr>
          <w:rFonts w:eastAsia="Times New Roman" w:cs="Times New Roman"/>
          <w:noProof/>
          <w:szCs w:val="24"/>
        </w:rPr>
        <w:t xml:space="preserve">measures </w:t>
      </w:r>
      <w:r w:rsidR="004E499D" w:rsidRPr="007C1494">
        <w:rPr>
          <w:rFonts w:eastAsia="Times New Roman" w:cs="Times New Roman"/>
          <w:noProof/>
          <w:szCs w:val="24"/>
        </w:rPr>
        <w:t xml:space="preserve">to cover also other ecosystems. </w:t>
      </w:r>
    </w:p>
    <w:p w14:paraId="4530885E" w14:textId="179C0281" w:rsidR="774BB1F9" w:rsidRPr="007C1494" w:rsidRDefault="00335526" w:rsidP="00335526">
      <w:pPr>
        <w:pStyle w:val="Heading2"/>
        <w:rPr>
          <w:noProof/>
        </w:rPr>
      </w:pPr>
      <w:bookmarkStart w:id="6" w:name="_Toc67074970"/>
      <w:bookmarkStart w:id="7" w:name="_Toc75542165"/>
      <w:bookmarkStart w:id="8" w:name="_Toc75543198"/>
      <w:bookmarkStart w:id="9" w:name="_Toc84591886"/>
      <w:r w:rsidRPr="00335526">
        <w:t>1.1</w:t>
      </w:r>
      <w:r w:rsidRPr="00335526">
        <w:tab/>
      </w:r>
      <w:r w:rsidR="774BB1F9" w:rsidRPr="007C1494">
        <w:rPr>
          <w:noProof/>
        </w:rPr>
        <w:t>EU context</w:t>
      </w:r>
      <w:bookmarkEnd w:id="6"/>
      <w:bookmarkEnd w:id="7"/>
      <w:bookmarkEnd w:id="8"/>
      <w:bookmarkEnd w:id="9"/>
    </w:p>
    <w:p w14:paraId="271DF831" w14:textId="5E923B8D" w:rsidR="00576BB4" w:rsidRDefault="005C614D" w:rsidP="005C614D">
      <w:pPr>
        <w:jc w:val="both"/>
        <w:rPr>
          <w:rFonts w:eastAsia="Times New Roman" w:cs="Times New Roman"/>
          <w:noProof/>
          <w:szCs w:val="24"/>
        </w:rPr>
      </w:pPr>
      <w:r>
        <w:rPr>
          <w:rFonts w:eastAsia="Times New Roman" w:cs="Times New Roman"/>
          <w:noProof/>
          <w:szCs w:val="24"/>
        </w:rPr>
        <w:t>The existing EU legislative framework addresses deforestation only partially</w:t>
      </w:r>
      <w:r w:rsidR="00700CDD">
        <w:rPr>
          <w:rFonts w:eastAsia="Times New Roman" w:cs="Times New Roman"/>
          <w:noProof/>
          <w:szCs w:val="24"/>
        </w:rPr>
        <w:t xml:space="preserve"> (see also section 4)</w:t>
      </w:r>
      <w:r>
        <w:rPr>
          <w:rFonts w:eastAsia="Times New Roman" w:cs="Times New Roman"/>
          <w:noProof/>
          <w:szCs w:val="24"/>
        </w:rPr>
        <w:t xml:space="preserve">. </w:t>
      </w:r>
      <w:r w:rsidR="00576BB4">
        <w:rPr>
          <w:rFonts w:eastAsia="Times New Roman" w:cs="Times New Roman"/>
          <w:noProof/>
          <w:szCs w:val="24"/>
        </w:rPr>
        <w:t>T</w:t>
      </w:r>
      <w:r>
        <w:rPr>
          <w:rFonts w:eastAsia="Times New Roman" w:cs="Times New Roman"/>
          <w:noProof/>
          <w:szCs w:val="24"/>
        </w:rPr>
        <w:t xml:space="preserve">he EU </w:t>
      </w:r>
      <w:r>
        <w:rPr>
          <w:rFonts w:eastAsia="Calibri" w:cs="Times New Roman"/>
          <w:noProof/>
          <w:szCs w:val="24"/>
        </w:rPr>
        <w:t>Forest Law Enforcement Governance and Trade</w:t>
      </w:r>
      <w:r>
        <w:rPr>
          <w:rFonts w:eastAsia="Times New Roman" w:cs="Times New Roman"/>
          <w:noProof/>
          <w:szCs w:val="24"/>
        </w:rPr>
        <w:t xml:space="preserve"> (FLEGT) Action Plan</w:t>
      </w:r>
      <w:r>
        <w:rPr>
          <w:rFonts w:eastAsia="Times New Roman" w:cs="Times New Roman"/>
          <w:noProof/>
          <w:szCs w:val="24"/>
          <w:vertAlign w:val="superscript"/>
        </w:rPr>
        <w:footnoteReference w:id="18"/>
      </w:r>
      <w:r>
        <w:rPr>
          <w:rFonts w:eastAsia="Times New Roman" w:cs="Times New Roman"/>
          <w:noProof/>
          <w:szCs w:val="24"/>
        </w:rPr>
        <w:t xml:space="preserve"> </w:t>
      </w:r>
      <w:r w:rsidR="00576BB4">
        <w:rPr>
          <w:rFonts w:eastAsia="Times New Roman" w:cs="Times New Roman"/>
          <w:noProof/>
          <w:szCs w:val="24"/>
        </w:rPr>
        <w:t xml:space="preserve">constitutes the key EU policy against illegal logging and associated trade. While it </w:t>
      </w:r>
      <w:r>
        <w:rPr>
          <w:rFonts w:eastAsia="Times New Roman" w:cs="Times New Roman"/>
          <w:noProof/>
          <w:szCs w:val="24"/>
        </w:rPr>
        <w:t xml:space="preserve">tackles illegal logging </w:t>
      </w:r>
      <w:r w:rsidR="00AA5B21">
        <w:rPr>
          <w:rFonts w:eastAsia="Times New Roman" w:cs="Times New Roman"/>
          <w:noProof/>
          <w:szCs w:val="24"/>
        </w:rPr>
        <w:t>and associated trade</w:t>
      </w:r>
      <w:r>
        <w:rPr>
          <w:rFonts w:eastAsia="Times New Roman" w:cs="Times New Roman"/>
          <w:noProof/>
          <w:szCs w:val="24"/>
        </w:rPr>
        <w:t xml:space="preserve">, it does not address deforestation </w:t>
      </w:r>
      <w:r w:rsidR="005737E3">
        <w:rPr>
          <w:rFonts w:eastAsia="Times New Roman" w:cs="Times New Roman"/>
          <w:noProof/>
          <w:szCs w:val="24"/>
        </w:rPr>
        <w:t>as such</w:t>
      </w:r>
      <w:r>
        <w:rPr>
          <w:rFonts w:eastAsia="Times New Roman" w:cs="Times New Roman"/>
          <w:noProof/>
          <w:szCs w:val="24"/>
        </w:rPr>
        <w:t xml:space="preserve">. </w:t>
      </w:r>
    </w:p>
    <w:p w14:paraId="6449EC55" w14:textId="4381F9F6" w:rsidR="002A28CE" w:rsidRDefault="00576BB4" w:rsidP="00576BB4">
      <w:pPr>
        <w:jc w:val="both"/>
        <w:rPr>
          <w:rFonts w:eastAsia="Times New Roman" w:cs="Times New Roman"/>
          <w:noProof/>
          <w:szCs w:val="24"/>
        </w:rPr>
      </w:pPr>
      <w:r w:rsidRPr="00576BB4">
        <w:rPr>
          <w:rFonts w:eastAsia="Times New Roman" w:cs="Times New Roman"/>
          <w:noProof/>
          <w:szCs w:val="24"/>
        </w:rPr>
        <w:t>A key element of the FLEGT Action Plan is a voluntary scheme to ensure that only legally harvested timber is imported into the EU from countries agreeing to take part in this scheme.</w:t>
      </w:r>
      <w:r>
        <w:rPr>
          <w:rFonts w:eastAsia="Times New Roman" w:cs="Times New Roman"/>
          <w:noProof/>
          <w:szCs w:val="24"/>
        </w:rPr>
        <w:t xml:space="preserve"> </w:t>
      </w:r>
      <w:r w:rsidRPr="00576BB4">
        <w:rPr>
          <w:rFonts w:eastAsia="Times New Roman" w:cs="Times New Roman"/>
          <w:noProof/>
          <w:szCs w:val="24"/>
        </w:rPr>
        <w:t>The internal EU legal framework for this scheme is the</w:t>
      </w:r>
      <w:r w:rsidR="005C614D">
        <w:rPr>
          <w:rFonts w:eastAsia="Times New Roman" w:cs="Times New Roman"/>
          <w:noProof/>
          <w:szCs w:val="24"/>
        </w:rPr>
        <w:t xml:space="preserve"> </w:t>
      </w:r>
      <w:r w:rsidR="00AA5B21">
        <w:rPr>
          <w:rFonts w:eastAsia="Times New Roman" w:cs="Times New Roman"/>
          <w:noProof/>
          <w:szCs w:val="24"/>
        </w:rPr>
        <w:t>Forest Law Enforcement, Governance and Trade Regulation (FLEGT Regulation)</w:t>
      </w:r>
      <w:r>
        <w:rPr>
          <w:rStyle w:val="FootnoteReference"/>
          <w:rFonts w:eastAsia="Times New Roman" w:cs="Times New Roman"/>
          <w:noProof/>
          <w:szCs w:val="24"/>
        </w:rPr>
        <w:footnoteReference w:id="19"/>
      </w:r>
      <w:r>
        <w:rPr>
          <w:rFonts w:eastAsia="Times New Roman" w:cs="Times New Roman"/>
          <w:noProof/>
          <w:szCs w:val="24"/>
        </w:rPr>
        <w:t>, which</w:t>
      </w:r>
      <w:r w:rsidR="00AA5B21">
        <w:rPr>
          <w:rFonts w:eastAsia="Times New Roman" w:cs="Times New Roman"/>
          <w:noProof/>
          <w:szCs w:val="24"/>
        </w:rPr>
        <w:t xml:space="preserve"> establishes a licensing system that is the basis for FLEGT Voluntary Partnership Agreements</w:t>
      </w:r>
      <w:r w:rsidR="00A260D4">
        <w:rPr>
          <w:rFonts w:eastAsia="Times New Roman" w:cs="Times New Roman"/>
          <w:noProof/>
          <w:szCs w:val="24"/>
        </w:rPr>
        <w:t xml:space="preserve">. </w:t>
      </w:r>
      <w:r w:rsidR="002A28CE">
        <w:rPr>
          <w:rFonts w:eastAsia="Times New Roman" w:cs="Times New Roman"/>
          <w:noProof/>
          <w:szCs w:val="24"/>
        </w:rPr>
        <w:t>Another key element of the FLEGT Action Plan is t</w:t>
      </w:r>
      <w:r w:rsidR="00A260D4">
        <w:rPr>
          <w:rFonts w:eastAsia="Times New Roman" w:cs="Times New Roman"/>
          <w:noProof/>
          <w:szCs w:val="24"/>
        </w:rPr>
        <w:t>he</w:t>
      </w:r>
      <w:r w:rsidR="00AA5B21">
        <w:rPr>
          <w:rFonts w:eastAsia="Times New Roman" w:cs="Times New Roman"/>
          <w:noProof/>
          <w:szCs w:val="24"/>
        </w:rPr>
        <w:t xml:space="preserve"> </w:t>
      </w:r>
      <w:r w:rsidR="005C614D">
        <w:rPr>
          <w:rFonts w:eastAsia="Times New Roman" w:cs="Times New Roman"/>
          <w:noProof/>
          <w:szCs w:val="24"/>
        </w:rPr>
        <w:t>EU Timber Regulation (EUTR)</w:t>
      </w:r>
      <w:r w:rsidR="005C614D">
        <w:rPr>
          <w:rFonts w:eastAsia="Times New Roman" w:cs="Times New Roman"/>
          <w:noProof/>
          <w:szCs w:val="24"/>
          <w:vertAlign w:val="superscript"/>
        </w:rPr>
        <w:footnoteReference w:id="20"/>
      </w:r>
      <w:r w:rsidR="005C614D" w:rsidDel="00A260D4">
        <w:rPr>
          <w:rFonts w:eastAsia="Times New Roman" w:cs="Times New Roman"/>
          <w:noProof/>
          <w:szCs w:val="24"/>
        </w:rPr>
        <w:t>,</w:t>
      </w:r>
      <w:r w:rsidR="005C614D">
        <w:rPr>
          <w:rFonts w:eastAsia="Times New Roman" w:cs="Times New Roman"/>
          <w:noProof/>
          <w:szCs w:val="24"/>
        </w:rPr>
        <w:t xml:space="preserve"> </w:t>
      </w:r>
      <w:r w:rsidR="002A28CE">
        <w:rPr>
          <w:rFonts w:eastAsia="Times New Roman" w:cs="Times New Roman"/>
          <w:noProof/>
          <w:szCs w:val="24"/>
        </w:rPr>
        <w:t xml:space="preserve">which </w:t>
      </w:r>
      <w:r w:rsidR="00A260D4">
        <w:rPr>
          <w:rFonts w:eastAsia="Times New Roman" w:cs="Times New Roman"/>
          <w:noProof/>
          <w:szCs w:val="24"/>
        </w:rPr>
        <w:t>p</w:t>
      </w:r>
      <w:r w:rsidR="005C614D">
        <w:rPr>
          <w:rFonts w:eastAsia="Times New Roman" w:cs="Times New Roman"/>
          <w:noProof/>
          <w:szCs w:val="24"/>
        </w:rPr>
        <w:t>rohibits the placing of illegally harvested timber and timber products on the EU market</w:t>
      </w:r>
      <w:r w:rsidR="00AA5B21">
        <w:rPr>
          <w:rFonts w:eastAsia="Times New Roman" w:cs="Times New Roman"/>
          <w:noProof/>
          <w:szCs w:val="24"/>
        </w:rPr>
        <w:t xml:space="preserve"> and </w:t>
      </w:r>
      <w:r w:rsidR="005C614D">
        <w:rPr>
          <w:rFonts w:eastAsia="Times New Roman" w:cs="Times New Roman"/>
          <w:noProof/>
          <w:szCs w:val="24"/>
        </w:rPr>
        <w:t>lays down obligations for operators placing timber on the market for the first time</w:t>
      </w:r>
      <w:r w:rsidR="00AA5B21">
        <w:rPr>
          <w:rFonts w:eastAsia="Times New Roman" w:cs="Times New Roman"/>
          <w:noProof/>
          <w:szCs w:val="24"/>
        </w:rPr>
        <w:t>. It requires that they should</w:t>
      </w:r>
      <w:r w:rsidR="005C614D" w:rsidDel="00AA5B21">
        <w:rPr>
          <w:rFonts w:eastAsia="Times New Roman" w:cs="Times New Roman"/>
          <w:noProof/>
          <w:szCs w:val="24"/>
        </w:rPr>
        <w:t xml:space="preserve"> </w:t>
      </w:r>
      <w:r w:rsidR="005C614D">
        <w:rPr>
          <w:rFonts w:eastAsia="Times New Roman" w:cs="Times New Roman"/>
          <w:noProof/>
          <w:szCs w:val="24"/>
        </w:rPr>
        <w:t>exercise Due Diligence (DD</w:t>
      </w:r>
      <w:r w:rsidR="00AA5B21">
        <w:rPr>
          <w:rFonts w:eastAsia="Times New Roman" w:cs="Times New Roman"/>
          <w:noProof/>
          <w:szCs w:val="24"/>
        </w:rPr>
        <w:t>). T</w:t>
      </w:r>
      <w:r w:rsidR="005C614D">
        <w:rPr>
          <w:rFonts w:eastAsia="Times New Roman" w:cs="Times New Roman"/>
          <w:noProof/>
          <w:szCs w:val="24"/>
        </w:rPr>
        <w:t xml:space="preserve">raders </w:t>
      </w:r>
      <w:r w:rsidR="00AA5B21">
        <w:rPr>
          <w:rFonts w:eastAsia="Times New Roman" w:cs="Times New Roman"/>
          <w:noProof/>
          <w:szCs w:val="24"/>
        </w:rPr>
        <w:t xml:space="preserve">must </w:t>
      </w:r>
      <w:r w:rsidR="005C614D">
        <w:rPr>
          <w:rFonts w:eastAsia="Times New Roman" w:cs="Times New Roman"/>
          <w:noProof/>
          <w:szCs w:val="24"/>
        </w:rPr>
        <w:t>keep a</w:t>
      </w:r>
      <w:r w:rsidR="005C614D" w:rsidDel="00AA5B21">
        <w:rPr>
          <w:rFonts w:eastAsia="Times New Roman" w:cs="Times New Roman"/>
          <w:noProof/>
          <w:szCs w:val="24"/>
        </w:rPr>
        <w:t xml:space="preserve"> </w:t>
      </w:r>
      <w:r w:rsidR="005C614D">
        <w:rPr>
          <w:rFonts w:eastAsia="Times New Roman" w:cs="Times New Roman"/>
          <w:noProof/>
          <w:szCs w:val="24"/>
        </w:rPr>
        <w:t xml:space="preserve">record of their suppliers and customers. The Regulation applies to both imported and domestically produced timber and timber products. </w:t>
      </w:r>
      <w:r w:rsidR="002A28CE">
        <w:rPr>
          <w:rFonts w:eastAsia="Times New Roman" w:cs="Times New Roman"/>
          <w:noProof/>
          <w:szCs w:val="24"/>
        </w:rPr>
        <w:t>Both FLEGT Regulation and EUTR have undergone a Fitness Check</w:t>
      </w:r>
      <w:r w:rsidR="00ED1E35">
        <w:rPr>
          <w:rStyle w:val="FootnoteReference"/>
          <w:rFonts w:eastAsia="Times New Roman" w:cs="Times New Roman"/>
          <w:noProof/>
          <w:szCs w:val="24"/>
        </w:rPr>
        <w:footnoteReference w:id="21"/>
      </w:r>
      <w:r w:rsidR="002A28CE">
        <w:rPr>
          <w:rFonts w:eastAsia="Times New Roman" w:cs="Times New Roman"/>
          <w:noProof/>
          <w:szCs w:val="24"/>
        </w:rPr>
        <w:t xml:space="preserve">, the findings of which </w:t>
      </w:r>
      <w:r w:rsidR="00ED1E35">
        <w:rPr>
          <w:rFonts w:eastAsia="Times New Roman" w:cs="Times New Roman"/>
          <w:noProof/>
          <w:szCs w:val="24"/>
        </w:rPr>
        <w:t>have provided input into this impact assessment.</w:t>
      </w:r>
    </w:p>
    <w:p w14:paraId="2AE28F2F" w14:textId="1A40FE27" w:rsidR="005C614D" w:rsidRDefault="00387F5F" w:rsidP="005C614D">
      <w:pPr>
        <w:jc w:val="both"/>
        <w:rPr>
          <w:rFonts w:eastAsia="Times New Roman" w:cs="Times New Roman"/>
          <w:noProof/>
          <w:szCs w:val="24"/>
        </w:rPr>
      </w:pPr>
      <w:r>
        <w:rPr>
          <w:rFonts w:eastAsia="Times New Roman" w:cs="Times New Roman"/>
          <w:noProof/>
          <w:szCs w:val="24"/>
        </w:rPr>
        <w:t>Note, that t</w:t>
      </w:r>
      <w:r w:rsidR="005C614D">
        <w:rPr>
          <w:rFonts w:eastAsia="Times New Roman" w:cs="Times New Roman"/>
          <w:noProof/>
          <w:szCs w:val="24"/>
        </w:rPr>
        <w:t>he 2018 Renewable Energy Directive (RED)</w:t>
      </w:r>
      <w:r w:rsidR="005C614D">
        <w:rPr>
          <w:rFonts w:eastAsia="Times New Roman" w:cs="Times New Roman"/>
          <w:noProof/>
          <w:szCs w:val="24"/>
          <w:vertAlign w:val="superscript"/>
        </w:rPr>
        <w:footnoteReference w:id="22"/>
      </w:r>
      <w:r w:rsidR="005C614D">
        <w:rPr>
          <w:rFonts w:eastAsia="Times New Roman" w:cs="Times New Roman"/>
          <w:noProof/>
          <w:szCs w:val="24"/>
        </w:rPr>
        <w:t xml:space="preserve"> includes sustainability criteria for bioenergy, covering both biofuels for transport and biomass and biogas for heat and power, which must be met in order to qualify for financial and regulatory support. However, the Directive does not cover the placing on the market of such commodities</w:t>
      </w:r>
      <w:r w:rsidR="00E6418B">
        <w:rPr>
          <w:rFonts w:eastAsia="Times New Roman" w:cs="Times New Roman"/>
          <w:noProof/>
          <w:szCs w:val="24"/>
        </w:rPr>
        <w:t>,</w:t>
      </w:r>
      <w:r w:rsidR="005C614D">
        <w:rPr>
          <w:rFonts w:eastAsia="Times New Roman" w:cs="Times New Roman"/>
          <w:noProof/>
          <w:szCs w:val="24"/>
        </w:rPr>
        <w:t xml:space="preserve"> nor uses of commodities other than for bioenergy.  </w:t>
      </w:r>
    </w:p>
    <w:p w14:paraId="0248D531" w14:textId="2F112B26" w:rsidR="005C614D" w:rsidRDefault="005C614D" w:rsidP="005C614D">
      <w:pPr>
        <w:jc w:val="both"/>
        <w:rPr>
          <w:rFonts w:eastAsia="Calibri" w:cs="Arial"/>
          <w:noProof/>
          <w:szCs w:val="24"/>
        </w:rPr>
      </w:pPr>
      <w:r>
        <w:rPr>
          <w:rFonts w:eastAsia="Times New Roman" w:cs="Times New Roman"/>
          <w:noProof/>
          <w:szCs w:val="24"/>
        </w:rPr>
        <w:t xml:space="preserve">At EU level, a number </w:t>
      </w:r>
      <w:r w:rsidR="004262C8">
        <w:rPr>
          <w:rFonts w:eastAsia="Times New Roman" w:cs="Times New Roman"/>
          <w:noProof/>
          <w:szCs w:val="24"/>
        </w:rPr>
        <w:t>of</w:t>
      </w:r>
      <w:r>
        <w:rPr>
          <w:rFonts w:eastAsia="Times New Roman" w:cs="Times New Roman"/>
          <w:noProof/>
          <w:szCs w:val="24"/>
        </w:rPr>
        <w:t xml:space="preserve"> initiatives and instruments </w:t>
      </w:r>
      <w:r w:rsidR="00AA5B21">
        <w:rPr>
          <w:rFonts w:eastAsia="Times New Roman" w:cs="Times New Roman"/>
          <w:noProof/>
          <w:szCs w:val="24"/>
        </w:rPr>
        <w:t xml:space="preserve">form </w:t>
      </w:r>
      <w:r>
        <w:rPr>
          <w:rFonts w:eastAsia="Times New Roman" w:cs="Times New Roman"/>
          <w:noProof/>
          <w:szCs w:val="24"/>
        </w:rPr>
        <w:t xml:space="preserve">the policy context for this impact assessment. </w:t>
      </w:r>
      <w:r w:rsidR="00AA5B21">
        <w:rPr>
          <w:rFonts w:eastAsia="Times New Roman" w:cs="Times New Roman"/>
          <w:noProof/>
          <w:szCs w:val="24"/>
        </w:rPr>
        <w:t xml:space="preserve">The 2019 Communication sets out the overall objective of protecting and improving the health of existing forests, in particular primary forests and to increase sustainable, biodiverse forest coverage worldwide. In the context of </w:t>
      </w:r>
      <w:r>
        <w:rPr>
          <w:rFonts w:eastAsia="Times New Roman" w:cs="Times New Roman"/>
          <w:noProof/>
          <w:szCs w:val="24"/>
        </w:rPr>
        <w:t xml:space="preserve">the European Green Deal, both the </w:t>
      </w:r>
      <w:r>
        <w:rPr>
          <w:rFonts w:eastAsia="SimSun" w:cs="Arial"/>
          <w:noProof/>
          <w:szCs w:val="24"/>
        </w:rPr>
        <w:t>2030 EU Biodiversity Strategy and the Farm to Fork Initiative identify the legislative proposal and other measures to avoid or minimise the placing of products coming from supply chains associated with deforestation or forest degradation on the EU market, as important for the achievement of their objectives.</w:t>
      </w:r>
      <w:r>
        <w:rPr>
          <w:rFonts w:eastAsia="Times New Roman" w:cs="Times New Roman"/>
          <w:noProof/>
          <w:szCs w:val="24"/>
        </w:rPr>
        <w:t xml:space="preserve"> </w:t>
      </w:r>
    </w:p>
    <w:p w14:paraId="3F27780A" w14:textId="38964307" w:rsidR="005C614D" w:rsidRDefault="005C614D" w:rsidP="005C614D">
      <w:pPr>
        <w:jc w:val="both"/>
        <w:rPr>
          <w:rFonts w:asciiTheme="minorHAnsi" w:hAnsiTheme="minorHAnsi"/>
          <w:noProof/>
          <w:sz w:val="22"/>
        </w:rPr>
      </w:pPr>
      <w:r>
        <w:rPr>
          <w:rFonts w:eastAsia="Times New Roman" w:cs="Times New Roman"/>
          <w:noProof/>
          <w:szCs w:val="24"/>
        </w:rPr>
        <w:t>Other</w:t>
      </w:r>
      <w:r w:rsidDel="00387F5F">
        <w:rPr>
          <w:rFonts w:eastAsia="Times New Roman" w:cs="Times New Roman"/>
          <w:noProof/>
          <w:szCs w:val="24"/>
        </w:rPr>
        <w:t xml:space="preserve"> </w:t>
      </w:r>
      <w:r w:rsidR="00A752AE">
        <w:rPr>
          <w:rFonts w:eastAsia="Times New Roman" w:cs="Times New Roman"/>
          <w:noProof/>
          <w:szCs w:val="24"/>
        </w:rPr>
        <w:t xml:space="preserve">main </w:t>
      </w:r>
      <w:r>
        <w:rPr>
          <w:rFonts w:eastAsia="Times New Roman" w:cs="Times New Roman"/>
          <w:noProof/>
          <w:szCs w:val="24"/>
        </w:rPr>
        <w:t xml:space="preserve">EU initiatives that are relevant for the </w:t>
      </w:r>
      <w:r w:rsidR="004262C8">
        <w:rPr>
          <w:rFonts w:eastAsia="Times New Roman" w:cs="Times New Roman"/>
          <w:noProof/>
          <w:szCs w:val="24"/>
        </w:rPr>
        <w:t>i</w:t>
      </w:r>
      <w:r>
        <w:rPr>
          <w:rFonts w:eastAsia="Times New Roman" w:cs="Times New Roman"/>
          <w:noProof/>
          <w:szCs w:val="24"/>
        </w:rPr>
        <w:t>mpact assessment</w:t>
      </w:r>
      <w:r w:rsidR="00387F5F">
        <w:rPr>
          <w:rFonts w:eastAsia="Times New Roman" w:cs="Times New Roman"/>
          <w:noProof/>
          <w:szCs w:val="24"/>
        </w:rPr>
        <w:t xml:space="preserve"> given their scope</w:t>
      </w:r>
      <w:r>
        <w:rPr>
          <w:rFonts w:eastAsia="Times New Roman" w:cs="Times New Roman"/>
          <w:noProof/>
          <w:szCs w:val="24"/>
        </w:rPr>
        <w:t>, either already in force, or being prepared at the time of publication of this report, include:</w:t>
      </w:r>
    </w:p>
    <w:p w14:paraId="6834FD29" w14:textId="77777777" w:rsidR="005C614D" w:rsidRDefault="005C614D" w:rsidP="005C614D">
      <w:pPr>
        <w:pStyle w:val="ListParagraph"/>
        <w:numPr>
          <w:ilvl w:val="0"/>
          <w:numId w:val="107"/>
        </w:numPr>
        <w:ind w:left="714" w:hanging="357"/>
        <w:jc w:val="both"/>
        <w:rPr>
          <w:rFonts w:eastAsia="Times New Roman" w:cs="Times New Roman"/>
          <w:noProof/>
          <w:szCs w:val="24"/>
        </w:rPr>
      </w:pPr>
      <w:r>
        <w:rPr>
          <w:rFonts w:eastAsia="Times New Roman" w:cs="Times New Roman"/>
          <w:noProof/>
          <w:szCs w:val="24"/>
        </w:rPr>
        <w:t>The EU Taxonomy Regulation;</w:t>
      </w:r>
      <w:r>
        <w:rPr>
          <w:rFonts w:cs="Times New Roman"/>
          <w:noProof/>
          <w:vertAlign w:val="superscript"/>
        </w:rPr>
        <w:footnoteReference w:id="23"/>
      </w:r>
    </w:p>
    <w:p w14:paraId="53E10375" w14:textId="77777777" w:rsidR="005C614D" w:rsidRDefault="005C614D" w:rsidP="005C614D">
      <w:pPr>
        <w:pStyle w:val="ListParagraph"/>
        <w:numPr>
          <w:ilvl w:val="0"/>
          <w:numId w:val="107"/>
        </w:numPr>
        <w:ind w:left="714" w:hanging="357"/>
        <w:jc w:val="both"/>
        <w:rPr>
          <w:rFonts w:eastAsia="Times New Roman" w:cs="Times New Roman"/>
          <w:noProof/>
          <w:szCs w:val="24"/>
        </w:rPr>
      </w:pPr>
      <w:r>
        <w:rPr>
          <w:rFonts w:eastAsia="Times New Roman" w:cs="Times New Roman"/>
          <w:noProof/>
          <w:szCs w:val="24"/>
        </w:rPr>
        <w:t>The EU Land Use, Land Use Change and Forestry (LULUCF) Regulation;</w:t>
      </w:r>
      <w:r>
        <w:rPr>
          <w:rFonts w:cs="Times New Roman"/>
          <w:noProof/>
          <w:vertAlign w:val="superscript"/>
        </w:rPr>
        <w:footnoteReference w:id="24"/>
      </w:r>
    </w:p>
    <w:p w14:paraId="7A4E791D" w14:textId="7D4D334B" w:rsidR="005C614D" w:rsidRDefault="004262C8" w:rsidP="005C614D">
      <w:pPr>
        <w:pStyle w:val="ListParagraph"/>
        <w:numPr>
          <w:ilvl w:val="0"/>
          <w:numId w:val="107"/>
        </w:numPr>
        <w:ind w:left="714" w:hanging="357"/>
        <w:jc w:val="both"/>
        <w:rPr>
          <w:rFonts w:eastAsia="SimSun" w:cs="Times New Roman"/>
          <w:noProof/>
          <w:szCs w:val="24"/>
        </w:rPr>
      </w:pPr>
      <w:r>
        <w:rPr>
          <w:rFonts w:eastAsia="Times New Roman" w:cs="Times New Roman"/>
          <w:noProof/>
          <w:szCs w:val="24"/>
        </w:rPr>
        <w:t>The</w:t>
      </w:r>
      <w:r w:rsidR="005C614D">
        <w:rPr>
          <w:rFonts w:eastAsia="Times New Roman" w:cs="Times New Roman"/>
          <w:noProof/>
          <w:szCs w:val="24"/>
        </w:rPr>
        <w:t xml:space="preserve"> EU Forest Strategy;</w:t>
      </w:r>
      <w:r w:rsidR="00BD46AF">
        <w:rPr>
          <w:rStyle w:val="FootnoteReference"/>
          <w:rFonts w:eastAsia="Times New Roman" w:cs="Times New Roman"/>
          <w:noProof/>
          <w:szCs w:val="24"/>
        </w:rPr>
        <w:footnoteReference w:id="25"/>
      </w:r>
    </w:p>
    <w:p w14:paraId="2F895708" w14:textId="15B5C20E" w:rsidR="005C614D" w:rsidRDefault="004262C8" w:rsidP="005C614D">
      <w:pPr>
        <w:pStyle w:val="ListParagraph"/>
        <w:numPr>
          <w:ilvl w:val="0"/>
          <w:numId w:val="107"/>
        </w:numPr>
        <w:ind w:left="714" w:hanging="357"/>
        <w:jc w:val="both"/>
        <w:rPr>
          <w:rFonts w:eastAsia="SimSun" w:cs="Times New Roman"/>
          <w:noProof/>
          <w:szCs w:val="24"/>
        </w:rPr>
      </w:pPr>
      <w:r>
        <w:rPr>
          <w:rFonts w:eastAsia="Times New Roman" w:cs="Times New Roman"/>
          <w:noProof/>
          <w:szCs w:val="24"/>
        </w:rPr>
        <w:t>The</w:t>
      </w:r>
      <w:r w:rsidR="00AA5B21">
        <w:rPr>
          <w:rFonts w:eastAsia="Times New Roman" w:cs="Times New Roman"/>
          <w:noProof/>
          <w:szCs w:val="24"/>
        </w:rPr>
        <w:t xml:space="preserve"> </w:t>
      </w:r>
      <w:r w:rsidR="005C614D">
        <w:rPr>
          <w:rFonts w:eastAsia="Times New Roman" w:cs="Times New Roman"/>
          <w:noProof/>
          <w:szCs w:val="24"/>
        </w:rPr>
        <w:t>legislative initiative on Sustainable Corporate Governance (SCG),</w:t>
      </w:r>
      <w:r w:rsidR="00A752AE">
        <w:rPr>
          <w:rStyle w:val="FootnoteReference"/>
          <w:rFonts w:eastAsia="Times New Roman" w:cs="Times New Roman"/>
          <w:noProof/>
          <w:szCs w:val="24"/>
        </w:rPr>
        <w:footnoteReference w:id="26"/>
      </w:r>
      <w:r w:rsidR="005C614D">
        <w:rPr>
          <w:rFonts w:eastAsia="Times New Roman" w:cs="Times New Roman"/>
          <w:noProof/>
          <w:szCs w:val="24"/>
        </w:rPr>
        <w:t xml:space="preserve"> which aims to improve the EU regulatory framework on company law and corporate governance;</w:t>
      </w:r>
    </w:p>
    <w:p w14:paraId="42DC8D5F" w14:textId="78E245A9" w:rsidR="005C614D" w:rsidRDefault="005C614D" w:rsidP="005C614D">
      <w:pPr>
        <w:pStyle w:val="ListParagraph"/>
        <w:numPr>
          <w:ilvl w:val="0"/>
          <w:numId w:val="107"/>
        </w:numPr>
        <w:ind w:left="714" w:hanging="357"/>
        <w:jc w:val="both"/>
        <w:rPr>
          <w:rFonts w:eastAsia="SimSun" w:cs="Times New Roman"/>
          <w:noProof/>
          <w:szCs w:val="24"/>
        </w:rPr>
      </w:pPr>
      <w:r>
        <w:rPr>
          <w:rFonts w:eastAsia="Times New Roman" w:cs="Times New Roman"/>
          <w:noProof/>
          <w:szCs w:val="24"/>
        </w:rPr>
        <w:t xml:space="preserve">The </w:t>
      </w:r>
      <w:r w:rsidR="004262C8" w:rsidRPr="004262C8">
        <w:rPr>
          <w:rFonts w:eastAsia="Times New Roman" w:cs="Times New Roman"/>
          <w:noProof/>
          <w:szCs w:val="24"/>
        </w:rPr>
        <w:t>proposal for a Corporate Sustainability Reporting Directive (CSRD)</w:t>
      </w:r>
      <w:r>
        <w:rPr>
          <w:rFonts w:eastAsia="Times New Roman" w:cs="Times New Roman"/>
          <w:noProof/>
          <w:szCs w:val="24"/>
        </w:rPr>
        <w:t>;</w:t>
      </w:r>
      <w:r w:rsidR="00A752AE" w:rsidRPr="00A752AE">
        <w:rPr>
          <w:rStyle w:val="FootnoteReference"/>
          <w:rFonts w:eastAsia="Times New Roman" w:cs="Times New Roman"/>
          <w:noProof/>
          <w:szCs w:val="24"/>
        </w:rPr>
        <w:t xml:space="preserve"> </w:t>
      </w:r>
      <w:r w:rsidR="00A752AE">
        <w:rPr>
          <w:rStyle w:val="FootnoteReference"/>
          <w:rFonts w:eastAsia="Times New Roman" w:cs="Times New Roman"/>
          <w:noProof/>
          <w:szCs w:val="24"/>
        </w:rPr>
        <w:footnoteReference w:id="27"/>
      </w:r>
    </w:p>
    <w:p w14:paraId="22284995" w14:textId="6FA58880" w:rsidR="005C614D" w:rsidRDefault="00AA5B21" w:rsidP="005C614D">
      <w:pPr>
        <w:pStyle w:val="ListParagraph"/>
        <w:numPr>
          <w:ilvl w:val="0"/>
          <w:numId w:val="107"/>
        </w:numPr>
        <w:ind w:left="714" w:hanging="357"/>
        <w:jc w:val="both"/>
        <w:rPr>
          <w:rFonts w:eastAsia="SimSun" w:cs="Times New Roman"/>
          <w:noProof/>
          <w:szCs w:val="24"/>
        </w:rPr>
      </w:pPr>
      <w:r>
        <w:rPr>
          <w:rFonts w:eastAsia="Times New Roman" w:cs="Times New Roman"/>
          <w:noProof/>
          <w:szCs w:val="24"/>
        </w:rPr>
        <w:t xml:space="preserve">A </w:t>
      </w:r>
      <w:r w:rsidR="005C614D">
        <w:rPr>
          <w:rFonts w:eastAsia="Times New Roman" w:cs="Times New Roman"/>
          <w:noProof/>
          <w:szCs w:val="24"/>
        </w:rPr>
        <w:t>legislative initiative on substantiating green claims</w:t>
      </w:r>
      <w:r w:rsidR="00387F5F">
        <w:rPr>
          <w:rStyle w:val="FootnoteReference"/>
          <w:rFonts w:eastAsia="Times New Roman" w:cs="Times New Roman"/>
          <w:noProof/>
          <w:szCs w:val="24"/>
        </w:rPr>
        <w:footnoteReference w:id="28"/>
      </w:r>
      <w:r w:rsidR="005C614D">
        <w:rPr>
          <w:rFonts w:eastAsia="Times New Roman" w:cs="Times New Roman"/>
          <w:noProof/>
          <w:szCs w:val="24"/>
        </w:rPr>
        <w:t xml:space="preserve"> regarding the environmental performance of products &amp; businesses;</w:t>
      </w:r>
    </w:p>
    <w:p w14:paraId="7E9BAB52" w14:textId="3C728D0A" w:rsidR="005C614D" w:rsidRDefault="005C614D" w:rsidP="005C614D">
      <w:pPr>
        <w:pStyle w:val="ListParagraph"/>
        <w:numPr>
          <w:ilvl w:val="0"/>
          <w:numId w:val="107"/>
        </w:numPr>
        <w:ind w:left="714" w:hanging="357"/>
        <w:jc w:val="both"/>
        <w:rPr>
          <w:rFonts w:eastAsia="SimSun" w:cs="Times New Roman"/>
          <w:noProof/>
          <w:szCs w:val="24"/>
        </w:rPr>
      </w:pPr>
      <w:r>
        <w:rPr>
          <w:rFonts w:eastAsia="SimSun" w:cs="Times New Roman"/>
          <w:noProof/>
          <w:szCs w:val="24"/>
        </w:rPr>
        <w:t>The Sustainable Product Initiative (SPI).</w:t>
      </w:r>
      <w:r w:rsidR="00A752AE" w:rsidRPr="00A752AE">
        <w:rPr>
          <w:rStyle w:val="FootnoteReference"/>
          <w:rFonts w:eastAsia="SimSun" w:cs="Times New Roman"/>
          <w:noProof/>
          <w:szCs w:val="24"/>
        </w:rPr>
        <w:t xml:space="preserve"> </w:t>
      </w:r>
      <w:r w:rsidR="00A752AE">
        <w:rPr>
          <w:rStyle w:val="FootnoteReference"/>
          <w:rFonts w:eastAsia="SimSun" w:cs="Times New Roman"/>
          <w:noProof/>
          <w:szCs w:val="24"/>
        </w:rPr>
        <w:footnoteReference w:id="29"/>
      </w:r>
    </w:p>
    <w:p w14:paraId="0A7C46FE" w14:textId="7D1B7366" w:rsidR="6E0F3ECC" w:rsidRPr="007C1494" w:rsidRDefault="005C614D" w:rsidP="00B8307C">
      <w:pPr>
        <w:jc w:val="both"/>
        <w:rPr>
          <w:rFonts w:eastAsiaTheme="minorEastAsia"/>
          <w:noProof/>
        </w:rPr>
      </w:pPr>
      <w:r>
        <w:rPr>
          <w:rFonts w:eastAsia="SimSun" w:cs="Arial"/>
          <w:noProof/>
        </w:rPr>
        <w:t xml:space="preserve">A comprehensive description of all EU initiatives and instruments relevant for this Impact Assessment is included in Annex </w:t>
      </w:r>
      <w:r w:rsidR="00110982" w:rsidRPr="00B8307C">
        <w:rPr>
          <w:rFonts w:eastAsia="SimSun" w:cs="Arial"/>
          <w:noProof/>
          <w:szCs w:val="24"/>
        </w:rPr>
        <w:t>8</w:t>
      </w:r>
      <w:r w:rsidRPr="00B8307C">
        <w:rPr>
          <w:rFonts w:eastAsia="SimSun" w:cs="Arial"/>
          <w:noProof/>
          <w:szCs w:val="24"/>
        </w:rPr>
        <w:t>.</w:t>
      </w:r>
    </w:p>
    <w:p w14:paraId="1AD99491" w14:textId="5AC6CC64" w:rsidR="6E0F3ECC" w:rsidRPr="007C1494" w:rsidRDefault="00335526" w:rsidP="00335526">
      <w:pPr>
        <w:pStyle w:val="Heading2"/>
        <w:rPr>
          <w:noProof/>
        </w:rPr>
      </w:pPr>
      <w:bookmarkStart w:id="10" w:name="_Toc67074971"/>
      <w:bookmarkStart w:id="11" w:name="_Toc75542166"/>
      <w:bookmarkStart w:id="12" w:name="_Toc75543199"/>
      <w:bookmarkStart w:id="13" w:name="_Toc84591887"/>
      <w:r w:rsidRPr="00335526">
        <w:t>1.2</w:t>
      </w:r>
      <w:r w:rsidRPr="00335526">
        <w:tab/>
      </w:r>
      <w:r w:rsidR="0593ECE8" w:rsidRPr="007C1494">
        <w:rPr>
          <w:noProof/>
        </w:rPr>
        <w:t xml:space="preserve">International </w:t>
      </w:r>
      <w:r w:rsidR="005C614D">
        <w:rPr>
          <w:noProof/>
        </w:rPr>
        <w:t>and national</w:t>
      </w:r>
      <w:r w:rsidR="0593ECE8" w:rsidRPr="007C1494">
        <w:rPr>
          <w:noProof/>
        </w:rPr>
        <w:t xml:space="preserve"> context</w:t>
      </w:r>
      <w:bookmarkEnd w:id="10"/>
      <w:bookmarkEnd w:id="11"/>
      <w:bookmarkEnd w:id="12"/>
      <w:bookmarkEnd w:id="13"/>
    </w:p>
    <w:p w14:paraId="540634E3" w14:textId="79F81834" w:rsidR="005C614D" w:rsidRPr="005C614D" w:rsidRDefault="005C614D" w:rsidP="005C614D">
      <w:pPr>
        <w:jc w:val="both"/>
        <w:rPr>
          <w:rFonts w:eastAsia="Times New Roman" w:cs="Times New Roman"/>
          <w:noProof/>
          <w:szCs w:val="24"/>
        </w:rPr>
      </w:pPr>
      <w:r w:rsidRPr="005C614D">
        <w:rPr>
          <w:rFonts w:eastAsia="Times New Roman" w:cs="Times New Roman"/>
          <w:noProof/>
          <w:szCs w:val="24"/>
        </w:rPr>
        <w:t xml:space="preserve">At international level, there are a range of fora and processes that are either directly or indirectly relevant for the fight against deforestation and forest degradation, mainly under the auspices of the United Nations. The </w:t>
      </w:r>
      <w:r w:rsidR="00D4130B">
        <w:rPr>
          <w:rFonts w:eastAsia="Times New Roman" w:cs="Times New Roman"/>
          <w:noProof/>
          <w:szCs w:val="24"/>
        </w:rPr>
        <w:t xml:space="preserve">bodies, </w:t>
      </w:r>
      <w:r w:rsidRPr="005C614D">
        <w:rPr>
          <w:rFonts w:eastAsia="Times New Roman" w:cs="Times New Roman"/>
          <w:noProof/>
          <w:szCs w:val="24"/>
        </w:rPr>
        <w:t>instruments, processes and commitments relevant for this impact assessment are the following:</w:t>
      </w:r>
    </w:p>
    <w:p w14:paraId="0D27BFFC" w14:textId="52BF32B0" w:rsidR="005C614D" w:rsidRPr="005C614D" w:rsidRDefault="005C614D" w:rsidP="005C614D">
      <w:pPr>
        <w:numPr>
          <w:ilvl w:val="0"/>
          <w:numId w:val="105"/>
        </w:numPr>
        <w:ind w:left="714" w:hanging="357"/>
        <w:contextualSpacing/>
        <w:jc w:val="both"/>
        <w:rPr>
          <w:rFonts w:eastAsia="SimSun" w:cs="Arial"/>
          <w:noProof/>
          <w:szCs w:val="24"/>
        </w:rPr>
      </w:pPr>
      <w:r w:rsidRPr="005C614D">
        <w:rPr>
          <w:rFonts w:eastAsia="Times New Roman" w:cs="Times New Roman"/>
          <w:noProof/>
          <w:szCs w:val="24"/>
        </w:rPr>
        <w:t>The UN Framework Convention on Climate Change (UNFCCC) of 1992 and its Paris Agreement, adopted at COP 21 in 2015</w:t>
      </w:r>
      <w:r w:rsidR="0086481C">
        <w:rPr>
          <w:rFonts w:eastAsia="Times New Roman" w:cs="Times New Roman"/>
          <w:noProof/>
          <w:szCs w:val="24"/>
        </w:rPr>
        <w:t>;</w:t>
      </w:r>
      <w:r w:rsidRPr="005C614D">
        <w:rPr>
          <w:rFonts w:eastAsia="Times New Roman" w:cs="Times New Roman"/>
          <w:noProof/>
          <w:szCs w:val="24"/>
          <w:vertAlign w:val="superscript"/>
        </w:rPr>
        <w:footnoteReference w:id="30"/>
      </w:r>
    </w:p>
    <w:p w14:paraId="48FCE004" w14:textId="095E4CB5" w:rsidR="005C614D" w:rsidRPr="005C614D" w:rsidRDefault="005C614D" w:rsidP="005C614D">
      <w:pPr>
        <w:numPr>
          <w:ilvl w:val="0"/>
          <w:numId w:val="105"/>
        </w:numPr>
        <w:ind w:left="714" w:hanging="357"/>
        <w:contextualSpacing/>
        <w:jc w:val="both"/>
        <w:rPr>
          <w:rFonts w:eastAsia="SimSun" w:cs="Times New Roman"/>
          <w:noProof/>
          <w:szCs w:val="24"/>
        </w:rPr>
      </w:pPr>
      <w:r w:rsidRPr="005C614D">
        <w:rPr>
          <w:rFonts w:eastAsia="Times New Roman" w:cs="Times New Roman"/>
          <w:noProof/>
          <w:szCs w:val="24"/>
        </w:rPr>
        <w:t>The Convention on Biologic</w:t>
      </w:r>
      <w:r w:rsidR="00BF2C84">
        <w:rPr>
          <w:rFonts w:eastAsia="Times New Roman" w:cs="Times New Roman"/>
          <w:noProof/>
          <w:szCs w:val="24"/>
        </w:rPr>
        <w:t>al</w:t>
      </w:r>
      <w:r w:rsidRPr="005C614D">
        <w:rPr>
          <w:rFonts w:eastAsia="Times New Roman" w:cs="Times New Roman"/>
          <w:noProof/>
          <w:szCs w:val="24"/>
        </w:rPr>
        <w:t xml:space="preserve"> Diversity (CBD)</w:t>
      </w:r>
      <w:r w:rsidR="0086481C">
        <w:rPr>
          <w:rFonts w:eastAsia="Times New Roman" w:cs="Times New Roman"/>
          <w:noProof/>
          <w:szCs w:val="24"/>
        </w:rPr>
        <w:t>;</w:t>
      </w:r>
      <w:r w:rsidRPr="005C614D">
        <w:rPr>
          <w:rFonts w:eastAsia="Times New Roman" w:cs="Times New Roman"/>
          <w:noProof/>
          <w:szCs w:val="24"/>
          <w:vertAlign w:val="superscript"/>
        </w:rPr>
        <w:footnoteReference w:id="31"/>
      </w:r>
    </w:p>
    <w:p w14:paraId="282ADF82" w14:textId="1EB64FEF" w:rsidR="005C614D" w:rsidRPr="005C614D" w:rsidRDefault="005C614D" w:rsidP="005C614D">
      <w:pPr>
        <w:numPr>
          <w:ilvl w:val="0"/>
          <w:numId w:val="105"/>
        </w:numPr>
        <w:ind w:left="714" w:hanging="357"/>
        <w:contextualSpacing/>
        <w:jc w:val="both"/>
        <w:rPr>
          <w:rFonts w:eastAsia="SimSun" w:cs="Times New Roman"/>
          <w:noProof/>
          <w:szCs w:val="24"/>
        </w:rPr>
      </w:pPr>
      <w:r w:rsidRPr="005C614D">
        <w:rPr>
          <w:rFonts w:eastAsia="Times New Roman" w:cs="Times New Roman"/>
          <w:noProof/>
          <w:szCs w:val="24"/>
        </w:rPr>
        <w:t>The UN Sustainable Development Goals (SDGs)</w:t>
      </w:r>
      <w:r w:rsidR="0086481C">
        <w:rPr>
          <w:rFonts w:eastAsia="Times New Roman" w:cs="Times New Roman"/>
          <w:noProof/>
          <w:szCs w:val="24"/>
        </w:rPr>
        <w:t>;</w:t>
      </w:r>
      <w:r w:rsidRPr="005C614D">
        <w:rPr>
          <w:rFonts w:eastAsia="Times New Roman" w:cs="Times New Roman"/>
          <w:noProof/>
          <w:szCs w:val="24"/>
          <w:vertAlign w:val="superscript"/>
        </w:rPr>
        <w:footnoteReference w:id="32"/>
      </w:r>
    </w:p>
    <w:p w14:paraId="0FCD40D7" w14:textId="579341F4" w:rsidR="005C614D" w:rsidRPr="005C614D" w:rsidRDefault="005C614D" w:rsidP="005C614D">
      <w:pPr>
        <w:numPr>
          <w:ilvl w:val="0"/>
          <w:numId w:val="105"/>
        </w:numPr>
        <w:ind w:left="714" w:hanging="357"/>
        <w:contextualSpacing/>
        <w:jc w:val="both"/>
        <w:rPr>
          <w:rFonts w:eastAsia="SimSun" w:cs="Times New Roman"/>
          <w:noProof/>
          <w:szCs w:val="24"/>
        </w:rPr>
      </w:pPr>
      <w:r w:rsidRPr="005C614D">
        <w:rPr>
          <w:rFonts w:eastAsia="Times New Roman" w:cs="Times New Roman"/>
          <w:noProof/>
          <w:szCs w:val="24"/>
        </w:rPr>
        <w:t>The UN Forum on Forests (UNFF)</w:t>
      </w:r>
      <w:r w:rsidR="0086481C">
        <w:rPr>
          <w:rFonts w:eastAsia="Times New Roman" w:cs="Times New Roman"/>
          <w:noProof/>
          <w:szCs w:val="24"/>
        </w:rPr>
        <w:t>;</w:t>
      </w:r>
      <w:r w:rsidRPr="005C614D">
        <w:rPr>
          <w:rFonts w:eastAsia="Times New Roman" w:cs="Times New Roman"/>
          <w:noProof/>
          <w:szCs w:val="24"/>
          <w:vertAlign w:val="superscript"/>
        </w:rPr>
        <w:footnoteReference w:id="33"/>
      </w:r>
      <w:r w:rsidRPr="005C614D">
        <w:rPr>
          <w:rFonts w:eastAsia="Times New Roman" w:cs="Times New Roman"/>
          <w:noProof/>
          <w:szCs w:val="24"/>
        </w:rPr>
        <w:t xml:space="preserve"> </w:t>
      </w:r>
    </w:p>
    <w:p w14:paraId="503D3DF0" w14:textId="77777777" w:rsidR="005C614D" w:rsidRPr="005C614D" w:rsidRDefault="005C614D" w:rsidP="005C614D">
      <w:pPr>
        <w:numPr>
          <w:ilvl w:val="0"/>
          <w:numId w:val="105"/>
        </w:numPr>
        <w:ind w:left="714" w:hanging="357"/>
        <w:contextualSpacing/>
        <w:jc w:val="both"/>
        <w:rPr>
          <w:rFonts w:eastAsia="SimSun" w:cs="Times New Roman"/>
          <w:noProof/>
          <w:szCs w:val="24"/>
        </w:rPr>
      </w:pPr>
      <w:r w:rsidRPr="005C614D">
        <w:rPr>
          <w:rFonts w:eastAsia="Times New Roman" w:cs="Times New Roman"/>
          <w:noProof/>
          <w:szCs w:val="24"/>
        </w:rPr>
        <w:t>The New York Declaration on Forests (NYDF)</w:t>
      </w:r>
      <w:r w:rsidRPr="005C614D">
        <w:rPr>
          <w:rFonts w:eastAsia="Calibri" w:cs="Times New Roman"/>
          <w:b/>
          <w:bCs/>
          <w:noProof/>
        </w:rPr>
        <w:t xml:space="preserve"> </w:t>
      </w:r>
    </w:p>
    <w:p w14:paraId="587E051D" w14:textId="4755FFD6" w:rsidR="005C614D" w:rsidRPr="005C614D" w:rsidRDefault="005C614D" w:rsidP="005C614D">
      <w:pPr>
        <w:numPr>
          <w:ilvl w:val="0"/>
          <w:numId w:val="105"/>
        </w:numPr>
        <w:ind w:left="714" w:hanging="357"/>
        <w:contextualSpacing/>
        <w:jc w:val="both"/>
        <w:rPr>
          <w:rFonts w:eastAsia="SimSun" w:cs="Times New Roman"/>
          <w:noProof/>
        </w:rPr>
      </w:pPr>
      <w:r w:rsidRPr="005C614D">
        <w:rPr>
          <w:rFonts w:eastAsia="Times New Roman" w:cs="Times New Roman"/>
          <w:noProof/>
          <w:szCs w:val="24"/>
        </w:rPr>
        <w:t>REDD+ (Reducing Emissions from Deforestation and Forest Degradation), which is a climate change mitigation solution being developed by the parties to the UNFCCC</w:t>
      </w:r>
      <w:r w:rsidR="0086481C">
        <w:rPr>
          <w:rFonts w:eastAsia="Times New Roman" w:cs="Times New Roman"/>
          <w:noProof/>
          <w:szCs w:val="24"/>
        </w:rPr>
        <w:t>;</w:t>
      </w:r>
    </w:p>
    <w:p w14:paraId="75971D12" w14:textId="4944988C" w:rsidR="005C614D" w:rsidRPr="005C614D" w:rsidRDefault="005C614D" w:rsidP="005C614D">
      <w:pPr>
        <w:numPr>
          <w:ilvl w:val="0"/>
          <w:numId w:val="105"/>
        </w:numPr>
        <w:ind w:left="714" w:hanging="357"/>
        <w:contextualSpacing/>
        <w:jc w:val="both"/>
        <w:rPr>
          <w:rFonts w:eastAsia="SimSun" w:cs="Times New Roman"/>
          <w:noProof/>
          <w:szCs w:val="24"/>
        </w:rPr>
      </w:pPr>
      <w:r w:rsidRPr="005C614D">
        <w:rPr>
          <w:rFonts w:eastAsia="Times New Roman" w:cs="Times New Roman"/>
          <w:noProof/>
          <w:szCs w:val="24"/>
        </w:rPr>
        <w:t>The Durban Declaration 2050 vision for forests and forestry in 2015</w:t>
      </w:r>
      <w:r w:rsidR="0086481C">
        <w:rPr>
          <w:rFonts w:eastAsia="Times New Roman" w:cs="Times New Roman"/>
          <w:noProof/>
          <w:szCs w:val="24"/>
        </w:rPr>
        <w:t>;</w:t>
      </w:r>
      <w:r w:rsidRPr="005C614D">
        <w:rPr>
          <w:rFonts w:eastAsia="Times New Roman" w:cs="Times New Roman"/>
          <w:noProof/>
          <w:szCs w:val="24"/>
        </w:rPr>
        <w:t xml:space="preserve"> </w:t>
      </w:r>
    </w:p>
    <w:p w14:paraId="41433F30" w14:textId="679D0A99" w:rsidR="005C614D" w:rsidRPr="005C614D" w:rsidRDefault="005C614D" w:rsidP="005C614D">
      <w:pPr>
        <w:numPr>
          <w:ilvl w:val="0"/>
          <w:numId w:val="105"/>
        </w:numPr>
        <w:ind w:left="714" w:hanging="357"/>
        <w:contextualSpacing/>
        <w:jc w:val="both"/>
        <w:rPr>
          <w:rFonts w:eastAsia="SimSun" w:cs="Times New Roman"/>
          <w:noProof/>
          <w:szCs w:val="24"/>
        </w:rPr>
      </w:pPr>
      <w:r w:rsidRPr="005C614D">
        <w:rPr>
          <w:rFonts w:eastAsia="Times New Roman" w:cs="Times New Roman"/>
          <w:noProof/>
          <w:szCs w:val="24"/>
        </w:rPr>
        <w:t>The Committee on Forestry (COFO) of the FAO</w:t>
      </w:r>
      <w:r w:rsidR="0086481C">
        <w:rPr>
          <w:rFonts w:eastAsia="Times New Roman" w:cs="Times New Roman"/>
          <w:noProof/>
          <w:szCs w:val="24"/>
        </w:rPr>
        <w:t>;</w:t>
      </w:r>
      <w:r w:rsidRPr="005C614D">
        <w:rPr>
          <w:rFonts w:eastAsia="Times New Roman" w:cs="Times New Roman"/>
          <w:noProof/>
          <w:szCs w:val="24"/>
        </w:rPr>
        <w:t xml:space="preserve"> </w:t>
      </w:r>
    </w:p>
    <w:p w14:paraId="1C493406" w14:textId="77777777" w:rsidR="00BF2C84" w:rsidRDefault="005C614D" w:rsidP="00D07B8C">
      <w:pPr>
        <w:numPr>
          <w:ilvl w:val="0"/>
          <w:numId w:val="105"/>
        </w:numPr>
        <w:ind w:left="714" w:hanging="357"/>
        <w:contextualSpacing/>
        <w:jc w:val="both"/>
        <w:rPr>
          <w:rFonts w:eastAsia="Times New Roman" w:cs="Times New Roman"/>
          <w:noProof/>
          <w:szCs w:val="20"/>
        </w:rPr>
      </w:pPr>
      <w:r w:rsidRPr="00BF2C84">
        <w:rPr>
          <w:rFonts w:eastAsia="Times New Roman" w:cs="Times New Roman"/>
          <w:noProof/>
          <w:szCs w:val="24"/>
        </w:rPr>
        <w:t>UN Decade of Ecosystem Restoration (2020-2030)</w:t>
      </w:r>
      <w:r w:rsidR="0086481C" w:rsidRPr="00BF2C84">
        <w:rPr>
          <w:rFonts w:eastAsia="Times New Roman" w:cs="Times New Roman"/>
          <w:noProof/>
          <w:szCs w:val="24"/>
        </w:rPr>
        <w:t>.</w:t>
      </w:r>
      <w:r w:rsidRPr="00BF2C84">
        <w:rPr>
          <w:rFonts w:eastAsia="Times New Roman" w:cs="Times New Roman"/>
          <w:noProof/>
          <w:szCs w:val="24"/>
          <w:vertAlign w:val="superscript"/>
        </w:rPr>
        <w:footnoteReference w:id="34"/>
      </w:r>
    </w:p>
    <w:p w14:paraId="7B8C4D65" w14:textId="59A014A4" w:rsidR="00BF2C84" w:rsidRPr="00D07B8C" w:rsidRDefault="00BF2C84" w:rsidP="00362EF8">
      <w:pPr>
        <w:numPr>
          <w:ilvl w:val="0"/>
          <w:numId w:val="105"/>
        </w:numPr>
        <w:ind w:left="714" w:hanging="357"/>
        <w:contextualSpacing/>
        <w:jc w:val="both"/>
        <w:rPr>
          <w:rFonts w:eastAsia="Times New Roman" w:cs="Times New Roman"/>
          <w:noProof/>
          <w:szCs w:val="20"/>
        </w:rPr>
      </w:pPr>
      <w:r w:rsidRPr="00A422BB">
        <w:rPr>
          <w:rFonts w:eastAsia="Times New Roman" w:cs="Times New Roman"/>
          <w:noProof/>
          <w:szCs w:val="20"/>
        </w:rPr>
        <w:t>United Nations Convention to Combat Desertification (UNCCD)</w:t>
      </w:r>
    </w:p>
    <w:p w14:paraId="712381FE" w14:textId="77777777" w:rsidR="373A4D0D" w:rsidRPr="005C614D" w:rsidRDefault="373A4D0D" w:rsidP="005C614D">
      <w:pPr>
        <w:ind w:left="714"/>
        <w:contextualSpacing/>
        <w:jc w:val="both"/>
        <w:rPr>
          <w:rFonts w:eastAsia="Times New Roman" w:cs="Times New Roman"/>
          <w:b/>
          <w:noProof/>
          <w:szCs w:val="20"/>
        </w:rPr>
      </w:pPr>
    </w:p>
    <w:p w14:paraId="050D3AB6" w14:textId="4E1548BA" w:rsidR="51937F0C" w:rsidRPr="007C1494" w:rsidRDefault="51937F0C" w:rsidP="00D00BCF">
      <w:pPr>
        <w:jc w:val="both"/>
        <w:rPr>
          <w:rFonts w:eastAsia="Times New Roman" w:cs="Times New Roman"/>
          <w:noProof/>
          <w:szCs w:val="24"/>
        </w:rPr>
      </w:pPr>
      <w:r w:rsidRPr="007C1494">
        <w:rPr>
          <w:rFonts w:eastAsia="Times New Roman" w:cs="Times New Roman"/>
          <w:noProof/>
          <w:szCs w:val="24"/>
        </w:rPr>
        <w:t>At the national</w:t>
      </w:r>
      <w:r w:rsidR="00A16831" w:rsidRPr="007C1494">
        <w:rPr>
          <w:rFonts w:eastAsia="Times New Roman" w:cs="Times New Roman"/>
          <w:noProof/>
          <w:szCs w:val="24"/>
        </w:rPr>
        <w:t xml:space="preserve"> and regional</w:t>
      </w:r>
      <w:r w:rsidRPr="007C1494">
        <w:rPr>
          <w:rFonts w:eastAsia="Times New Roman" w:cs="Times New Roman"/>
          <w:noProof/>
          <w:szCs w:val="24"/>
        </w:rPr>
        <w:t xml:space="preserve"> level, the following initiatives are relevant for this impact assessment</w:t>
      </w:r>
      <w:r w:rsidR="00451112">
        <w:rPr>
          <w:rFonts w:eastAsia="Times New Roman" w:cs="Times New Roman"/>
          <w:noProof/>
          <w:szCs w:val="24"/>
        </w:rPr>
        <w:t xml:space="preserve"> as they </w:t>
      </w:r>
      <w:r w:rsidR="00F45578">
        <w:rPr>
          <w:rFonts w:eastAsia="Times New Roman" w:cs="Times New Roman"/>
          <w:noProof/>
          <w:szCs w:val="24"/>
        </w:rPr>
        <w:t>aim to achieve</w:t>
      </w:r>
      <w:r w:rsidR="00451112">
        <w:rPr>
          <w:rFonts w:eastAsia="Times New Roman" w:cs="Times New Roman"/>
          <w:noProof/>
          <w:szCs w:val="24"/>
        </w:rPr>
        <w:t xml:space="preserve"> similar objectives</w:t>
      </w:r>
      <w:r w:rsidRPr="007C1494">
        <w:rPr>
          <w:rFonts w:eastAsia="Times New Roman" w:cs="Times New Roman"/>
          <w:noProof/>
          <w:szCs w:val="24"/>
        </w:rPr>
        <w:t>:</w:t>
      </w:r>
    </w:p>
    <w:p w14:paraId="503489FE" w14:textId="59F54D0F" w:rsidR="005C614D" w:rsidRPr="005C614D" w:rsidRDefault="005C614D" w:rsidP="005C614D">
      <w:pPr>
        <w:numPr>
          <w:ilvl w:val="0"/>
          <w:numId w:val="106"/>
        </w:numPr>
        <w:ind w:left="714" w:hanging="357"/>
        <w:contextualSpacing/>
        <w:jc w:val="both"/>
        <w:rPr>
          <w:rFonts w:eastAsia="SimSun" w:cs="Times New Roman"/>
          <w:noProof/>
          <w:szCs w:val="24"/>
        </w:rPr>
      </w:pPr>
      <w:r w:rsidRPr="005C614D">
        <w:rPr>
          <w:rFonts w:eastAsia="Times New Roman" w:cs="Times New Roman"/>
          <w:noProof/>
          <w:szCs w:val="24"/>
        </w:rPr>
        <w:t>The Ministerial Conference on the Protection of Forests in Europe</w:t>
      </w:r>
      <w:r>
        <w:rPr>
          <w:rFonts w:eastAsia="Times New Roman" w:cs="Times New Roman"/>
          <w:noProof/>
          <w:szCs w:val="24"/>
        </w:rPr>
        <w:t>;</w:t>
      </w:r>
      <w:r w:rsidRPr="005C614D">
        <w:rPr>
          <w:rFonts w:eastAsia="Times New Roman" w:cs="Times New Roman"/>
          <w:noProof/>
          <w:szCs w:val="24"/>
        </w:rPr>
        <w:t xml:space="preserve"> </w:t>
      </w:r>
    </w:p>
    <w:p w14:paraId="0A9EA8F9" w14:textId="3518CEF6" w:rsidR="005C614D" w:rsidRPr="005C614D" w:rsidRDefault="005C614D" w:rsidP="005C614D">
      <w:pPr>
        <w:numPr>
          <w:ilvl w:val="0"/>
          <w:numId w:val="106"/>
        </w:numPr>
        <w:ind w:left="714" w:hanging="357"/>
        <w:contextualSpacing/>
        <w:jc w:val="both"/>
        <w:rPr>
          <w:rFonts w:eastAsia="SimSun" w:cs="Times New Roman"/>
          <w:noProof/>
          <w:szCs w:val="24"/>
        </w:rPr>
      </w:pPr>
      <w:r w:rsidRPr="005C614D">
        <w:rPr>
          <w:rFonts w:eastAsia="Times New Roman" w:cs="Times New Roman"/>
          <w:noProof/>
          <w:szCs w:val="24"/>
        </w:rPr>
        <w:t>The Amsterdam Declaration Partnership, an initiative supported by</w:t>
      </w:r>
      <w:r>
        <w:rPr>
          <w:rFonts w:eastAsia="Times New Roman" w:cs="Times New Roman"/>
          <w:noProof/>
          <w:szCs w:val="24"/>
        </w:rPr>
        <w:t xml:space="preserve"> eight EU Member States</w:t>
      </w:r>
      <w:r w:rsidRPr="005C614D">
        <w:rPr>
          <w:rFonts w:eastAsia="Times New Roman" w:cs="Times New Roman"/>
          <w:noProof/>
          <w:szCs w:val="24"/>
        </w:rPr>
        <w:t xml:space="preserve"> </w:t>
      </w:r>
      <w:r>
        <w:rPr>
          <w:rFonts w:eastAsia="Times New Roman" w:cs="Times New Roman"/>
          <w:noProof/>
          <w:szCs w:val="24"/>
        </w:rPr>
        <w:t>(</w:t>
      </w:r>
      <w:r w:rsidRPr="005C614D">
        <w:rPr>
          <w:rFonts w:eastAsia="Times New Roman" w:cs="Times New Roman"/>
          <w:noProof/>
          <w:szCs w:val="24"/>
        </w:rPr>
        <w:t>Belgium, Denmark, France, Germany, I</w:t>
      </w:r>
      <w:r>
        <w:rPr>
          <w:rFonts w:eastAsia="Times New Roman" w:cs="Times New Roman"/>
          <w:noProof/>
          <w:szCs w:val="24"/>
        </w:rPr>
        <w:t>taly, the Netherlands and Spain)</w:t>
      </w:r>
      <w:r w:rsidRPr="005C614D">
        <w:rPr>
          <w:rFonts w:eastAsia="Times New Roman" w:cs="Times New Roman"/>
          <w:noProof/>
          <w:szCs w:val="24"/>
        </w:rPr>
        <w:t xml:space="preserve"> as well a</w:t>
      </w:r>
      <w:r>
        <w:rPr>
          <w:rFonts w:eastAsia="Times New Roman" w:cs="Times New Roman"/>
          <w:noProof/>
          <w:szCs w:val="24"/>
        </w:rPr>
        <w:t>s Norway and the United Kingdom;</w:t>
      </w:r>
      <w:r w:rsidR="00B8307C">
        <w:rPr>
          <w:rStyle w:val="FootnoteReference"/>
          <w:rFonts w:eastAsia="Times New Roman" w:cs="Times New Roman"/>
          <w:noProof/>
          <w:szCs w:val="24"/>
        </w:rPr>
        <w:footnoteReference w:id="35"/>
      </w:r>
      <w:r w:rsidRPr="005C614D">
        <w:rPr>
          <w:rFonts w:eastAsia="Times New Roman" w:cs="Times New Roman"/>
          <w:noProof/>
          <w:szCs w:val="24"/>
        </w:rPr>
        <w:t xml:space="preserve"> </w:t>
      </w:r>
    </w:p>
    <w:p w14:paraId="03C507D1" w14:textId="7BDCE32A" w:rsidR="005C614D" w:rsidRPr="002F1C23" w:rsidRDefault="005C614D" w:rsidP="00386C2D">
      <w:pPr>
        <w:numPr>
          <w:ilvl w:val="0"/>
          <w:numId w:val="106"/>
        </w:numPr>
        <w:spacing w:after="0" w:line="240" w:lineRule="auto"/>
        <w:ind w:left="714" w:hanging="357"/>
        <w:contextualSpacing/>
        <w:jc w:val="both"/>
        <w:rPr>
          <w:rFonts w:eastAsia="SimSun" w:cs="Times New Roman"/>
          <w:noProof/>
          <w:szCs w:val="24"/>
        </w:rPr>
      </w:pPr>
      <w:r w:rsidRPr="005C614D">
        <w:rPr>
          <w:rFonts w:eastAsia="Times New Roman" w:cs="Times New Roman"/>
          <w:noProof/>
          <w:szCs w:val="24"/>
        </w:rPr>
        <w:t xml:space="preserve">France’s 2017 due diligence law, and </w:t>
      </w:r>
      <w:r>
        <w:rPr>
          <w:rFonts w:eastAsia="Times New Roman" w:cs="Times New Roman"/>
          <w:noProof/>
          <w:szCs w:val="24"/>
        </w:rPr>
        <w:t xml:space="preserve">the French </w:t>
      </w:r>
      <w:r w:rsidRPr="005C614D">
        <w:rPr>
          <w:rFonts w:eastAsia="Times New Roman" w:cs="Times New Roman"/>
          <w:noProof/>
          <w:szCs w:val="24"/>
        </w:rPr>
        <w:t>national strategy against im</w:t>
      </w:r>
      <w:r>
        <w:rPr>
          <w:rFonts w:eastAsia="Times New Roman" w:cs="Times New Roman"/>
          <w:noProof/>
          <w:szCs w:val="24"/>
        </w:rPr>
        <w:t>ported deforestation;</w:t>
      </w:r>
      <w:r w:rsidRPr="005C614D">
        <w:rPr>
          <w:rFonts w:eastAsia="Times New Roman" w:cs="Times New Roman"/>
          <w:noProof/>
          <w:szCs w:val="24"/>
          <w:vertAlign w:val="superscript"/>
        </w:rPr>
        <w:footnoteReference w:id="36"/>
      </w:r>
    </w:p>
    <w:p w14:paraId="6403C827" w14:textId="2986F436" w:rsidR="00D85175" w:rsidRPr="00A422BB" w:rsidRDefault="00D85175">
      <w:pPr>
        <w:pStyle w:val="ListParagraph"/>
        <w:numPr>
          <w:ilvl w:val="0"/>
          <w:numId w:val="106"/>
        </w:numPr>
        <w:spacing w:after="0" w:line="240" w:lineRule="auto"/>
        <w:rPr>
          <w:rFonts w:eastAsia="SimSun" w:cs="Times New Roman"/>
          <w:noProof/>
          <w:szCs w:val="24"/>
        </w:rPr>
      </w:pPr>
      <w:r w:rsidRPr="00A422BB">
        <w:rPr>
          <w:rFonts w:eastAsia="SimSun" w:cs="Times New Roman"/>
          <w:noProof/>
          <w:szCs w:val="24"/>
        </w:rPr>
        <w:t>Germany’s draft Supply Chain Act</w:t>
      </w:r>
    </w:p>
    <w:p w14:paraId="38C9889C" w14:textId="6EF4818D" w:rsidR="005C614D" w:rsidRPr="005C614D" w:rsidRDefault="005C614D" w:rsidP="00D07B8C">
      <w:pPr>
        <w:numPr>
          <w:ilvl w:val="0"/>
          <w:numId w:val="106"/>
        </w:numPr>
        <w:spacing w:after="0" w:line="240" w:lineRule="auto"/>
        <w:ind w:left="714" w:hanging="357"/>
        <w:contextualSpacing/>
        <w:jc w:val="both"/>
        <w:rPr>
          <w:rFonts w:eastAsia="SimSun" w:cs="Times New Roman"/>
          <w:noProof/>
        </w:rPr>
      </w:pPr>
      <w:r w:rsidRPr="005C614D">
        <w:rPr>
          <w:rFonts w:eastAsia="Times New Roman" w:cs="Times New Roman"/>
          <w:noProof/>
          <w:szCs w:val="24"/>
        </w:rPr>
        <w:t>The draft Schatz bill,</w:t>
      </w:r>
      <w:r w:rsidRPr="005C614D">
        <w:rPr>
          <w:rFonts w:eastAsia="Times New Roman" w:cs="Times New Roman"/>
          <w:noProof/>
          <w:szCs w:val="24"/>
          <w:vertAlign w:val="superscript"/>
        </w:rPr>
        <w:footnoteReference w:id="37"/>
      </w:r>
      <w:r w:rsidRPr="005C614D">
        <w:rPr>
          <w:rFonts w:eastAsia="Times New Roman" w:cs="Times New Roman"/>
          <w:noProof/>
          <w:szCs w:val="24"/>
        </w:rPr>
        <w:t xml:space="preserve"> introduced in the US Senate to restrict access to the US market for certain commodities that originate</w:t>
      </w:r>
      <w:r>
        <w:rPr>
          <w:rFonts w:eastAsia="Times New Roman" w:cs="Times New Roman"/>
          <w:noProof/>
          <w:szCs w:val="24"/>
        </w:rPr>
        <w:t xml:space="preserve"> from illegally deforested land;</w:t>
      </w:r>
    </w:p>
    <w:p w14:paraId="268A9E8B" w14:textId="77777777" w:rsidR="005C614D" w:rsidRPr="005C614D" w:rsidRDefault="005C614D" w:rsidP="005C614D">
      <w:pPr>
        <w:numPr>
          <w:ilvl w:val="0"/>
          <w:numId w:val="106"/>
        </w:numPr>
        <w:ind w:left="714" w:hanging="357"/>
        <w:contextualSpacing/>
        <w:jc w:val="both"/>
        <w:rPr>
          <w:rFonts w:eastAsia="SimSun" w:cs="Times New Roman"/>
          <w:noProof/>
          <w:szCs w:val="24"/>
        </w:rPr>
      </w:pPr>
      <w:r w:rsidRPr="005C614D">
        <w:rPr>
          <w:rFonts w:eastAsia="Times New Roman" w:cs="Times New Roman"/>
          <w:noProof/>
          <w:szCs w:val="24"/>
        </w:rPr>
        <w:t xml:space="preserve">The UK’s proposed law to prevent forests and other natural areas of importance from being illegally converted to agricultural land. </w:t>
      </w:r>
    </w:p>
    <w:p w14:paraId="4F40290B" w14:textId="22F4FAF3" w:rsidR="0088323A" w:rsidRPr="007C1494" w:rsidRDefault="0088323A" w:rsidP="005C614D">
      <w:pPr>
        <w:ind w:left="714"/>
        <w:contextualSpacing/>
        <w:jc w:val="both"/>
        <w:rPr>
          <w:noProof/>
        </w:rPr>
      </w:pPr>
    </w:p>
    <w:p w14:paraId="2B4BFAD8" w14:textId="41683E8E" w:rsidR="0088323A" w:rsidRPr="007C1494" w:rsidRDefault="00473D27" w:rsidP="005C614D">
      <w:pPr>
        <w:jc w:val="both"/>
        <w:rPr>
          <w:rFonts w:eastAsiaTheme="minorEastAsia"/>
          <w:noProof/>
          <w:szCs w:val="24"/>
        </w:rPr>
      </w:pPr>
      <w:r w:rsidRPr="007C1494">
        <w:rPr>
          <w:rFonts w:eastAsiaTheme="minorEastAsia"/>
          <w:noProof/>
          <w:szCs w:val="24"/>
        </w:rPr>
        <w:t>Apart from</w:t>
      </w:r>
      <w:r w:rsidR="0088323A" w:rsidRPr="007C1494">
        <w:rPr>
          <w:rFonts w:eastAsiaTheme="minorEastAsia"/>
          <w:noProof/>
          <w:szCs w:val="24"/>
        </w:rPr>
        <w:t xml:space="preserve"> the above mentioned initiatives and measures that have been taken into account when devel</w:t>
      </w:r>
      <w:r w:rsidRPr="007C1494">
        <w:rPr>
          <w:rFonts w:eastAsiaTheme="minorEastAsia"/>
          <w:noProof/>
          <w:szCs w:val="24"/>
        </w:rPr>
        <w:t xml:space="preserve">oping this impact assessment, </w:t>
      </w:r>
      <w:r w:rsidR="0088323A" w:rsidRPr="007C1494">
        <w:rPr>
          <w:rFonts w:eastAsiaTheme="minorEastAsia"/>
          <w:noProof/>
          <w:szCs w:val="24"/>
        </w:rPr>
        <w:t xml:space="preserve">due consideration had </w:t>
      </w:r>
      <w:r w:rsidRPr="007C1494">
        <w:rPr>
          <w:rFonts w:eastAsiaTheme="minorEastAsia"/>
          <w:noProof/>
          <w:szCs w:val="24"/>
        </w:rPr>
        <w:t xml:space="preserve">also been </w:t>
      </w:r>
      <w:r w:rsidR="008950D6" w:rsidRPr="007C1494">
        <w:rPr>
          <w:rFonts w:eastAsiaTheme="minorEastAsia"/>
          <w:noProof/>
          <w:szCs w:val="24"/>
        </w:rPr>
        <w:t xml:space="preserve">given </w:t>
      </w:r>
      <w:r w:rsidR="0088323A" w:rsidRPr="007C1494">
        <w:rPr>
          <w:rFonts w:eastAsiaTheme="minorEastAsia"/>
          <w:noProof/>
          <w:szCs w:val="24"/>
        </w:rPr>
        <w:t xml:space="preserve">to the existing </w:t>
      </w:r>
      <w:r w:rsidRPr="007C1494">
        <w:rPr>
          <w:rFonts w:eastAsiaTheme="minorEastAsia"/>
          <w:noProof/>
          <w:szCs w:val="24"/>
        </w:rPr>
        <w:t xml:space="preserve">obligations under </w:t>
      </w:r>
      <w:r w:rsidR="0088323A" w:rsidRPr="007C1494">
        <w:rPr>
          <w:rFonts w:eastAsiaTheme="minorEastAsia"/>
          <w:noProof/>
          <w:szCs w:val="24"/>
        </w:rPr>
        <w:t xml:space="preserve">international trade </w:t>
      </w:r>
      <w:r w:rsidRPr="007C1494">
        <w:rPr>
          <w:rFonts w:eastAsiaTheme="minorEastAsia"/>
          <w:noProof/>
          <w:szCs w:val="24"/>
        </w:rPr>
        <w:t>rules</w:t>
      </w:r>
      <w:r w:rsidR="0088323A" w:rsidRPr="007C1494">
        <w:rPr>
          <w:rFonts w:eastAsiaTheme="minorEastAsia"/>
          <w:noProof/>
          <w:szCs w:val="24"/>
        </w:rPr>
        <w:t xml:space="preserve"> governed in particular by the General Agreement on Tariffs and Trade (GATT) and the General Agreement on Trade in Services (GATS). </w:t>
      </w:r>
    </w:p>
    <w:p w14:paraId="55A5F799" w14:textId="6A182C98" w:rsidR="005C614D" w:rsidRPr="005C614D" w:rsidRDefault="005C614D">
      <w:pPr>
        <w:jc w:val="both"/>
        <w:rPr>
          <w:noProof/>
        </w:rPr>
      </w:pPr>
      <w:r w:rsidRPr="005C614D">
        <w:rPr>
          <w:rFonts w:eastAsia="SimSun" w:cs="Arial"/>
          <w:noProof/>
          <w:szCs w:val="24"/>
        </w:rPr>
        <w:t>A comprehensive description international and national initiatives, inst</w:t>
      </w:r>
      <w:r>
        <w:rPr>
          <w:rFonts w:eastAsia="SimSun" w:cs="Arial"/>
          <w:noProof/>
          <w:szCs w:val="24"/>
        </w:rPr>
        <w:t>ruments and commitments</w:t>
      </w:r>
      <w:r w:rsidRPr="005C614D">
        <w:rPr>
          <w:rFonts w:eastAsia="SimSun" w:cs="Arial"/>
          <w:noProof/>
          <w:szCs w:val="24"/>
        </w:rPr>
        <w:t xml:space="preserve"> relevant for this Impact Assessment is included in Annex </w:t>
      </w:r>
      <w:r w:rsidR="00BD3256">
        <w:rPr>
          <w:rFonts w:eastAsia="SimSun" w:cs="Arial"/>
          <w:noProof/>
          <w:szCs w:val="24"/>
        </w:rPr>
        <w:t>8</w:t>
      </w:r>
      <w:r w:rsidRPr="005C614D">
        <w:rPr>
          <w:rFonts w:eastAsia="SimSun" w:cs="Arial"/>
          <w:noProof/>
          <w:szCs w:val="24"/>
        </w:rPr>
        <w:t>.</w:t>
      </w:r>
    </w:p>
    <w:p w14:paraId="3C73C585" w14:textId="77777777" w:rsidR="00B8307C" w:rsidRPr="005C614D" w:rsidRDefault="00B8307C" w:rsidP="00B8307C">
      <w:pPr>
        <w:jc w:val="both"/>
        <w:rPr>
          <w:noProof/>
        </w:rPr>
      </w:pPr>
    </w:p>
    <w:p w14:paraId="2FFED4E0" w14:textId="52D89B33" w:rsidR="00244E6A" w:rsidRPr="007C1494" w:rsidRDefault="00335526" w:rsidP="00335526">
      <w:pPr>
        <w:pStyle w:val="Heading1"/>
        <w:rPr>
          <w:rFonts w:asciiTheme="minorHAnsi" w:eastAsiaTheme="minorEastAsia" w:hAnsiTheme="minorHAnsi" w:cstheme="minorBidi"/>
          <w:noProof/>
        </w:rPr>
      </w:pPr>
      <w:bookmarkStart w:id="14" w:name="_Toc481484460"/>
      <w:bookmarkStart w:id="15" w:name="_Toc67074973"/>
      <w:bookmarkStart w:id="16" w:name="_Toc75542167"/>
      <w:bookmarkStart w:id="17" w:name="_Toc75543200"/>
      <w:bookmarkStart w:id="18" w:name="_Toc84591888"/>
      <w:r w:rsidRPr="00335526">
        <w:t>2</w:t>
      </w:r>
      <w:r w:rsidRPr="00335526">
        <w:tab/>
      </w:r>
      <w:r w:rsidR="00244E6A" w:rsidRPr="007C1494">
        <w:rPr>
          <w:noProof/>
        </w:rPr>
        <w:t>Problem definition</w:t>
      </w:r>
      <w:bookmarkEnd w:id="14"/>
      <w:bookmarkEnd w:id="15"/>
      <w:bookmarkEnd w:id="16"/>
      <w:bookmarkEnd w:id="17"/>
      <w:bookmarkEnd w:id="18"/>
    </w:p>
    <w:p w14:paraId="5E17D0D5" w14:textId="5317CB21" w:rsidR="00244E6A" w:rsidRPr="00BB6F9C" w:rsidRDefault="00335526" w:rsidP="00335526">
      <w:pPr>
        <w:pStyle w:val="Heading2"/>
        <w:rPr>
          <w:rFonts w:eastAsiaTheme="minorEastAsia"/>
          <w:noProof/>
        </w:rPr>
      </w:pPr>
      <w:bookmarkStart w:id="19" w:name="_Toc481484461"/>
      <w:bookmarkStart w:id="20" w:name="_Toc67074974"/>
      <w:bookmarkStart w:id="21" w:name="_Toc75542168"/>
      <w:bookmarkStart w:id="22" w:name="_Toc75543201"/>
      <w:bookmarkStart w:id="23" w:name="_Toc84591889"/>
      <w:r w:rsidRPr="00335526">
        <w:t>2.1</w:t>
      </w:r>
      <w:r w:rsidRPr="00335526">
        <w:tab/>
      </w:r>
      <w:r w:rsidR="00244E6A" w:rsidRPr="007C1494">
        <w:rPr>
          <w:noProof/>
        </w:rPr>
        <w:t>What is/are the problems?</w:t>
      </w:r>
      <w:bookmarkEnd w:id="19"/>
      <w:bookmarkEnd w:id="20"/>
      <w:bookmarkEnd w:id="21"/>
      <w:bookmarkEnd w:id="22"/>
      <w:bookmarkEnd w:id="23"/>
    </w:p>
    <w:p w14:paraId="41B0B280" w14:textId="529EB0CD" w:rsidR="00244E6A" w:rsidRPr="007C1494" w:rsidRDefault="10389320" w:rsidP="00D00BCF">
      <w:pPr>
        <w:jc w:val="both"/>
        <w:rPr>
          <w:rFonts w:eastAsia="Times New Roman" w:cs="Times New Roman"/>
          <w:noProof/>
          <w:szCs w:val="24"/>
        </w:rPr>
      </w:pPr>
      <w:r w:rsidRPr="007C1494">
        <w:rPr>
          <w:rFonts w:eastAsia="Times New Roman" w:cs="Times New Roman"/>
          <w:noProof/>
          <w:szCs w:val="24"/>
        </w:rPr>
        <w:t>Forests are</w:t>
      </w:r>
      <w:r w:rsidRPr="007C1494" w:rsidDel="00F206D7">
        <w:rPr>
          <w:rFonts w:eastAsia="Times New Roman" w:cs="Times New Roman"/>
          <w:noProof/>
          <w:szCs w:val="24"/>
        </w:rPr>
        <w:t xml:space="preserve"> </w:t>
      </w:r>
      <w:r w:rsidRPr="007C1494">
        <w:rPr>
          <w:rFonts w:eastAsia="Times New Roman" w:cs="Times New Roman"/>
          <w:noProof/>
          <w:szCs w:val="24"/>
        </w:rPr>
        <w:t xml:space="preserve">valuable ecosystems that sustain </w:t>
      </w:r>
      <w:r w:rsidR="5F459595" w:rsidRPr="007C1494">
        <w:rPr>
          <w:rFonts w:eastAsia="Times New Roman" w:cs="Times New Roman"/>
          <w:noProof/>
          <w:szCs w:val="24"/>
        </w:rPr>
        <w:t xml:space="preserve">most </w:t>
      </w:r>
      <w:r w:rsidRPr="007C1494">
        <w:rPr>
          <w:rFonts w:eastAsia="Times New Roman" w:cs="Times New Roman"/>
          <w:noProof/>
          <w:szCs w:val="24"/>
        </w:rPr>
        <w:t>terrest</w:t>
      </w:r>
      <w:r w:rsidR="657B3EEB" w:rsidRPr="007C1494">
        <w:rPr>
          <w:rFonts w:eastAsia="Times New Roman" w:cs="Times New Roman"/>
          <w:noProof/>
          <w:szCs w:val="24"/>
        </w:rPr>
        <w:t>rial biodiversity and act as a major sink of carbon. Yet f</w:t>
      </w:r>
      <w:r w:rsidR="6508A633" w:rsidRPr="007C1494">
        <w:rPr>
          <w:rFonts w:eastAsia="Times New Roman" w:cs="Times New Roman"/>
          <w:noProof/>
          <w:szCs w:val="24"/>
        </w:rPr>
        <w:t xml:space="preserve">orests </w:t>
      </w:r>
      <w:r w:rsidR="7D903273" w:rsidRPr="007C1494">
        <w:rPr>
          <w:rFonts w:eastAsia="Times New Roman" w:cs="Times New Roman"/>
          <w:noProof/>
          <w:szCs w:val="24"/>
        </w:rPr>
        <w:t xml:space="preserve">around the world </w:t>
      </w:r>
      <w:r w:rsidR="6508A633" w:rsidRPr="007C1494">
        <w:rPr>
          <w:rFonts w:eastAsia="Times New Roman" w:cs="Times New Roman"/>
          <w:noProof/>
          <w:szCs w:val="24"/>
        </w:rPr>
        <w:t xml:space="preserve">are being </w:t>
      </w:r>
      <w:r w:rsidR="4D6D7BC1" w:rsidRPr="007C1494">
        <w:rPr>
          <w:rFonts w:eastAsia="Times New Roman" w:cs="Times New Roman"/>
          <w:noProof/>
          <w:szCs w:val="24"/>
        </w:rPr>
        <w:t xml:space="preserve">rapidly </w:t>
      </w:r>
      <w:r w:rsidR="6508A633" w:rsidRPr="007C1494">
        <w:rPr>
          <w:rFonts w:eastAsia="Times New Roman" w:cs="Times New Roman"/>
          <w:noProof/>
          <w:szCs w:val="24"/>
        </w:rPr>
        <w:t>cut</w:t>
      </w:r>
      <w:r w:rsidR="00DC4791" w:rsidRPr="007C1494">
        <w:rPr>
          <w:rFonts w:eastAsia="Times New Roman" w:cs="Times New Roman"/>
          <w:noProof/>
          <w:szCs w:val="24"/>
        </w:rPr>
        <w:t xml:space="preserve"> in an unsustainable manner</w:t>
      </w:r>
      <w:r w:rsidR="6F5831C2" w:rsidRPr="007C1494">
        <w:rPr>
          <w:rFonts w:eastAsia="Times New Roman" w:cs="Times New Roman"/>
          <w:noProof/>
          <w:szCs w:val="24"/>
        </w:rPr>
        <w:t>, burnt</w:t>
      </w:r>
      <w:r w:rsidR="6508A633" w:rsidRPr="007C1494">
        <w:rPr>
          <w:rFonts w:eastAsia="Times New Roman" w:cs="Times New Roman"/>
          <w:noProof/>
          <w:szCs w:val="24"/>
        </w:rPr>
        <w:t xml:space="preserve"> and degraded. This leads </w:t>
      </w:r>
      <w:r w:rsidR="3EFF2A12" w:rsidRPr="007C1494">
        <w:rPr>
          <w:rFonts w:eastAsia="Times New Roman" w:cs="Times New Roman"/>
          <w:noProof/>
          <w:szCs w:val="24"/>
        </w:rPr>
        <w:t xml:space="preserve">to biodiversity loss and greenhouse gas emissions, which in turn </w:t>
      </w:r>
      <w:r w:rsidR="4B0AC002" w:rsidRPr="007C1494">
        <w:rPr>
          <w:rFonts w:eastAsia="Times New Roman" w:cs="Times New Roman"/>
          <w:noProof/>
          <w:szCs w:val="24"/>
        </w:rPr>
        <w:t xml:space="preserve">fuel </w:t>
      </w:r>
      <w:r w:rsidR="002C51C8">
        <w:rPr>
          <w:rFonts w:eastAsia="Times New Roman" w:cs="Times New Roman"/>
          <w:noProof/>
          <w:szCs w:val="24"/>
        </w:rPr>
        <w:t>climate change</w:t>
      </w:r>
      <w:r w:rsidR="6508A633" w:rsidRPr="007C1494">
        <w:rPr>
          <w:rFonts w:eastAsia="Times New Roman" w:cs="Times New Roman"/>
          <w:noProof/>
          <w:szCs w:val="24"/>
        </w:rPr>
        <w:t xml:space="preserve">. </w:t>
      </w:r>
      <w:r w:rsidR="5E90D9A4" w:rsidRPr="007C1494">
        <w:rPr>
          <w:rFonts w:eastAsia="Times New Roman" w:cs="Times New Roman"/>
          <w:noProof/>
          <w:szCs w:val="24"/>
        </w:rPr>
        <w:t>Th</w:t>
      </w:r>
      <w:r w:rsidR="10ECC430" w:rsidRPr="007C1494">
        <w:rPr>
          <w:rFonts w:eastAsia="Times New Roman" w:cs="Times New Roman"/>
          <w:noProof/>
          <w:szCs w:val="24"/>
        </w:rPr>
        <w:t xml:space="preserve">is </w:t>
      </w:r>
      <w:r w:rsidR="2178279A" w:rsidRPr="007C1494">
        <w:rPr>
          <w:rFonts w:eastAsia="Times New Roman" w:cs="Times New Roman"/>
          <w:noProof/>
          <w:szCs w:val="24"/>
        </w:rPr>
        <w:t>also increase</w:t>
      </w:r>
      <w:r w:rsidR="1A221E4D" w:rsidRPr="007C1494">
        <w:rPr>
          <w:rFonts w:eastAsia="Times New Roman" w:cs="Times New Roman"/>
          <w:noProof/>
          <w:szCs w:val="24"/>
        </w:rPr>
        <w:t>s</w:t>
      </w:r>
      <w:r w:rsidR="2178279A" w:rsidRPr="007C1494">
        <w:rPr>
          <w:rFonts w:eastAsia="Times New Roman" w:cs="Times New Roman"/>
          <w:noProof/>
          <w:szCs w:val="24"/>
        </w:rPr>
        <w:t xml:space="preserve"> the likelihood of new diseases spreading from animals to humans. </w:t>
      </w:r>
      <w:r w:rsidR="002C51C8">
        <w:rPr>
          <w:rFonts w:eastAsia="Times New Roman" w:cs="Times New Roman"/>
          <w:noProof/>
          <w:szCs w:val="24"/>
        </w:rPr>
        <w:t>Around 80%</w:t>
      </w:r>
      <w:r w:rsidR="6508A633" w:rsidRPr="007C1494">
        <w:rPr>
          <w:rFonts w:eastAsia="Times New Roman" w:cs="Times New Roman"/>
          <w:noProof/>
          <w:szCs w:val="24"/>
        </w:rPr>
        <w:t xml:space="preserve"> </w:t>
      </w:r>
      <w:r w:rsidR="005D1687" w:rsidRPr="005D1687">
        <w:rPr>
          <w:rFonts w:eastAsia="Times New Roman" w:cs="Times New Roman"/>
          <w:noProof/>
          <w:szCs w:val="24"/>
        </w:rPr>
        <w:t xml:space="preserve">of deforestation is currently driven </w:t>
      </w:r>
      <w:r w:rsidR="005D1687">
        <w:rPr>
          <w:rFonts w:eastAsia="Times New Roman" w:cs="Times New Roman"/>
          <w:noProof/>
          <w:szCs w:val="24"/>
        </w:rPr>
        <w:t xml:space="preserve">by </w:t>
      </w:r>
      <w:r w:rsidR="6508A633" w:rsidRPr="007C1494">
        <w:rPr>
          <w:rFonts w:eastAsia="Times New Roman" w:cs="Times New Roman"/>
          <w:noProof/>
          <w:szCs w:val="24"/>
        </w:rPr>
        <w:t>the expansion of agricultural land</w:t>
      </w:r>
      <w:r w:rsidR="005D1687">
        <w:rPr>
          <w:rStyle w:val="FootnoteReference"/>
          <w:rFonts w:eastAsia="Times New Roman" w:cs="Times New Roman"/>
          <w:noProof/>
          <w:szCs w:val="24"/>
        </w:rPr>
        <w:footnoteReference w:id="38"/>
      </w:r>
      <w:r w:rsidR="00A16831" w:rsidRPr="007C1494">
        <w:rPr>
          <w:rFonts w:eastAsia="Times New Roman" w:cs="Times New Roman"/>
          <w:noProof/>
          <w:szCs w:val="24"/>
        </w:rPr>
        <w:t xml:space="preserve"> and the</w:t>
      </w:r>
      <w:r w:rsidR="6508A633" w:rsidRPr="007C1494">
        <w:rPr>
          <w:rFonts w:eastAsia="Times New Roman" w:cs="Times New Roman"/>
          <w:noProof/>
          <w:szCs w:val="24"/>
        </w:rPr>
        <w:t xml:space="preserve"> demand for commodities and products such as soy, </w:t>
      </w:r>
      <w:r w:rsidR="00DC4791" w:rsidRPr="007C1494">
        <w:rPr>
          <w:rFonts w:eastAsia="Times New Roman" w:cs="Times New Roman"/>
          <w:noProof/>
          <w:szCs w:val="24"/>
        </w:rPr>
        <w:t>beef</w:t>
      </w:r>
      <w:r w:rsidR="007C5946" w:rsidRPr="007C1494">
        <w:rPr>
          <w:rFonts w:eastAsia="Times New Roman" w:cs="Times New Roman"/>
          <w:noProof/>
          <w:szCs w:val="24"/>
        </w:rPr>
        <w:t>,</w:t>
      </w:r>
      <w:r w:rsidR="6508A633" w:rsidRPr="007C1494">
        <w:rPr>
          <w:rFonts w:eastAsia="Times New Roman" w:cs="Times New Roman"/>
          <w:noProof/>
          <w:szCs w:val="24"/>
        </w:rPr>
        <w:t xml:space="preserve"> palm oil and wood. </w:t>
      </w:r>
      <w:r w:rsidR="0C3476DD" w:rsidRPr="007C1494">
        <w:rPr>
          <w:rFonts w:eastAsia="Times New Roman" w:cs="Times New Roman"/>
          <w:noProof/>
          <w:szCs w:val="24"/>
        </w:rPr>
        <w:t>The EU is a relevant consumer of those commodities</w:t>
      </w:r>
      <w:r w:rsidR="46F1DF24" w:rsidRPr="007C1494">
        <w:rPr>
          <w:rFonts w:eastAsia="Times New Roman" w:cs="Times New Roman"/>
          <w:noProof/>
          <w:szCs w:val="24"/>
        </w:rPr>
        <w:t>, part of which are</w:t>
      </w:r>
      <w:r w:rsidR="0C3476DD" w:rsidRPr="007C1494">
        <w:rPr>
          <w:rFonts w:eastAsia="Times New Roman" w:cs="Times New Roman"/>
          <w:noProof/>
          <w:szCs w:val="24"/>
        </w:rPr>
        <w:t xml:space="preserve"> </w:t>
      </w:r>
      <w:r w:rsidR="6AB1F414" w:rsidRPr="007C1494">
        <w:rPr>
          <w:rFonts w:eastAsia="Times New Roman" w:cs="Times New Roman"/>
          <w:noProof/>
          <w:szCs w:val="24"/>
        </w:rPr>
        <w:t xml:space="preserve">produced unsustainably, </w:t>
      </w:r>
      <w:r w:rsidR="61ED9218" w:rsidRPr="007C1494">
        <w:rPr>
          <w:rFonts w:eastAsia="Times New Roman" w:cs="Times New Roman"/>
          <w:noProof/>
          <w:szCs w:val="24"/>
        </w:rPr>
        <w:t xml:space="preserve">causing deforestation, </w:t>
      </w:r>
      <w:r w:rsidR="0C3476DD" w:rsidRPr="007C1494">
        <w:rPr>
          <w:rFonts w:eastAsia="Times New Roman" w:cs="Times New Roman"/>
          <w:noProof/>
          <w:szCs w:val="24"/>
        </w:rPr>
        <w:t xml:space="preserve">and </w:t>
      </w:r>
      <w:r w:rsidR="319A5197" w:rsidRPr="007C1494">
        <w:rPr>
          <w:rFonts w:eastAsia="Times New Roman" w:cs="Times New Roman"/>
          <w:noProof/>
          <w:szCs w:val="24"/>
        </w:rPr>
        <w:t xml:space="preserve">is </w:t>
      </w:r>
      <w:r w:rsidR="0C3476DD" w:rsidRPr="007C1494">
        <w:rPr>
          <w:rFonts w:eastAsia="Times New Roman" w:cs="Times New Roman"/>
          <w:noProof/>
          <w:szCs w:val="24"/>
        </w:rPr>
        <w:t>therefore a contributor to the global problem of deforestation and forest degradation.</w:t>
      </w:r>
      <w:r w:rsidR="27A03C71" w:rsidRPr="007C1494">
        <w:rPr>
          <w:rFonts w:eastAsia="Times New Roman" w:cs="Times New Roman"/>
          <w:noProof/>
          <w:szCs w:val="24"/>
        </w:rPr>
        <w:t xml:space="preserve"> </w:t>
      </w:r>
      <w:r w:rsidR="21946324" w:rsidRPr="007C1494">
        <w:rPr>
          <w:rFonts w:eastAsia="Times New Roman" w:cs="Times New Roman"/>
          <w:noProof/>
          <w:szCs w:val="24"/>
        </w:rPr>
        <w:t>T</w:t>
      </w:r>
      <w:r w:rsidR="27A03C71" w:rsidRPr="007C1494">
        <w:rPr>
          <w:rFonts w:eastAsia="Times New Roman" w:cs="Times New Roman"/>
          <w:noProof/>
          <w:szCs w:val="24"/>
        </w:rPr>
        <w:t xml:space="preserve">he EU does not have in place </w:t>
      </w:r>
      <w:r w:rsidR="5E6B4559" w:rsidRPr="007C1494">
        <w:rPr>
          <w:rFonts w:eastAsia="Times New Roman" w:cs="Times New Roman"/>
          <w:noProof/>
          <w:szCs w:val="24"/>
        </w:rPr>
        <w:t xml:space="preserve">specific and </w:t>
      </w:r>
      <w:r w:rsidR="7AE835F0" w:rsidRPr="007C1494">
        <w:rPr>
          <w:rFonts w:eastAsia="Times New Roman" w:cs="Times New Roman"/>
          <w:noProof/>
          <w:szCs w:val="24"/>
        </w:rPr>
        <w:t xml:space="preserve">effective rules to </w:t>
      </w:r>
      <w:r w:rsidR="0C73CE5F" w:rsidRPr="007C1494">
        <w:rPr>
          <w:rFonts w:eastAsia="Times New Roman" w:cs="Times New Roman"/>
          <w:noProof/>
          <w:szCs w:val="24"/>
        </w:rPr>
        <w:t>reduce its contribution to deforestation and forest degradation</w:t>
      </w:r>
      <w:r w:rsidR="7AE835F0" w:rsidRPr="007C1494">
        <w:rPr>
          <w:rFonts w:eastAsia="Times New Roman" w:cs="Times New Roman"/>
          <w:noProof/>
          <w:szCs w:val="24"/>
        </w:rPr>
        <w:t>.</w:t>
      </w:r>
    </w:p>
    <w:p w14:paraId="2D4DBF5F" w14:textId="5BB4F701" w:rsidR="00244E6A" w:rsidRPr="007C1494" w:rsidRDefault="088A85CD" w:rsidP="00D00BCF">
      <w:pPr>
        <w:jc w:val="both"/>
        <w:rPr>
          <w:rFonts w:eastAsia="Times New Roman" w:cs="Times New Roman"/>
          <w:noProof/>
          <w:szCs w:val="24"/>
        </w:rPr>
      </w:pPr>
      <w:r w:rsidRPr="007C1494">
        <w:rPr>
          <w:rFonts w:eastAsia="Times New Roman" w:cs="Times New Roman"/>
          <w:noProof/>
          <w:szCs w:val="24"/>
        </w:rPr>
        <w:t>The world</w:t>
      </w:r>
      <w:r w:rsidR="51CA58AE" w:rsidRPr="007C1494">
        <w:rPr>
          <w:rFonts w:eastAsia="Times New Roman" w:cs="Times New Roman"/>
          <w:noProof/>
          <w:szCs w:val="24"/>
        </w:rPr>
        <w:t xml:space="preserve"> currently</w:t>
      </w:r>
      <w:r w:rsidRPr="007C1494">
        <w:rPr>
          <w:rFonts w:eastAsia="Times New Roman" w:cs="Times New Roman"/>
          <w:noProof/>
          <w:szCs w:val="24"/>
        </w:rPr>
        <w:t xml:space="preserve"> has </w:t>
      </w:r>
      <w:r w:rsidR="005D1687">
        <w:rPr>
          <w:rFonts w:eastAsia="Times New Roman" w:cs="Times New Roman"/>
          <w:noProof/>
          <w:szCs w:val="24"/>
        </w:rPr>
        <w:t xml:space="preserve">a </w:t>
      </w:r>
      <w:r w:rsidRPr="007C1494">
        <w:rPr>
          <w:rFonts w:eastAsia="Times New Roman" w:cs="Times New Roman"/>
          <w:noProof/>
          <w:szCs w:val="24"/>
        </w:rPr>
        <w:t>forest</w:t>
      </w:r>
      <w:r w:rsidR="005D1687">
        <w:rPr>
          <w:rFonts w:eastAsia="Times New Roman" w:cs="Times New Roman"/>
          <w:noProof/>
          <w:szCs w:val="24"/>
        </w:rPr>
        <w:t>ed</w:t>
      </w:r>
      <w:r w:rsidRPr="007C1494">
        <w:rPr>
          <w:rFonts w:eastAsia="Times New Roman" w:cs="Times New Roman"/>
          <w:noProof/>
          <w:szCs w:val="24"/>
        </w:rPr>
        <w:t xml:space="preserve"> area of 4.06 billion hectares, which is 31% of the total land area</w:t>
      </w:r>
      <w:r w:rsidR="00244E6A" w:rsidRPr="007C1494">
        <w:rPr>
          <w:rStyle w:val="FootnoteReference"/>
          <w:rFonts w:eastAsia="Times New Roman" w:cs="Times New Roman"/>
          <w:noProof/>
          <w:szCs w:val="24"/>
        </w:rPr>
        <w:footnoteReference w:id="39"/>
      </w:r>
      <w:r w:rsidRPr="007C1494">
        <w:rPr>
          <w:rFonts w:eastAsia="Times New Roman" w:cs="Times New Roman"/>
          <w:noProof/>
          <w:szCs w:val="24"/>
        </w:rPr>
        <w:t xml:space="preserve">. </w:t>
      </w:r>
      <w:r w:rsidR="005D1687">
        <w:rPr>
          <w:rFonts w:eastAsia="Times New Roman" w:cs="Times New Roman"/>
          <w:noProof/>
          <w:szCs w:val="24"/>
        </w:rPr>
        <w:t>Forests</w:t>
      </w:r>
      <w:r w:rsidR="291F1CC0" w:rsidRPr="007C1494">
        <w:rPr>
          <w:rFonts w:eastAsia="Times New Roman" w:cs="Times New Roman"/>
          <w:noProof/>
          <w:szCs w:val="24"/>
        </w:rPr>
        <w:t xml:space="preserve"> contain more than 60 000 different tree species and provide habitats for 80</w:t>
      </w:r>
      <w:r w:rsidR="0AC28E83" w:rsidRPr="007C1494">
        <w:rPr>
          <w:rFonts w:eastAsia="Times New Roman" w:cs="Times New Roman"/>
          <w:noProof/>
          <w:szCs w:val="24"/>
        </w:rPr>
        <w:t xml:space="preserve">% </w:t>
      </w:r>
      <w:r w:rsidR="291F1CC0" w:rsidRPr="007C1494">
        <w:rPr>
          <w:rFonts w:eastAsia="Times New Roman" w:cs="Times New Roman"/>
          <w:noProof/>
          <w:szCs w:val="24"/>
        </w:rPr>
        <w:t>of amphibian species, 75</w:t>
      </w:r>
      <w:r w:rsidR="6FB32EE0" w:rsidRPr="007C1494">
        <w:rPr>
          <w:rFonts w:eastAsia="Times New Roman" w:cs="Times New Roman"/>
          <w:noProof/>
          <w:szCs w:val="24"/>
        </w:rPr>
        <w:t>%</w:t>
      </w:r>
      <w:r w:rsidR="291F1CC0" w:rsidRPr="007C1494">
        <w:rPr>
          <w:rFonts w:eastAsia="Times New Roman" w:cs="Times New Roman"/>
          <w:noProof/>
          <w:szCs w:val="24"/>
        </w:rPr>
        <w:t xml:space="preserve"> of bird species and 68</w:t>
      </w:r>
      <w:r w:rsidR="4F611D67" w:rsidRPr="007C1494">
        <w:rPr>
          <w:rFonts w:eastAsia="Times New Roman" w:cs="Times New Roman"/>
          <w:noProof/>
          <w:szCs w:val="24"/>
        </w:rPr>
        <w:t>%</w:t>
      </w:r>
      <w:r w:rsidR="291F1CC0" w:rsidRPr="007C1494">
        <w:rPr>
          <w:rFonts w:eastAsia="Times New Roman" w:cs="Times New Roman"/>
          <w:noProof/>
          <w:szCs w:val="24"/>
        </w:rPr>
        <w:t xml:space="preserve"> of mammal species</w:t>
      </w:r>
      <w:r w:rsidR="00244E6A" w:rsidRPr="007C1494">
        <w:rPr>
          <w:rStyle w:val="FootnoteReference"/>
          <w:rFonts w:eastAsia="Times New Roman" w:cs="Times New Roman"/>
          <w:noProof/>
          <w:szCs w:val="24"/>
        </w:rPr>
        <w:footnoteReference w:id="40"/>
      </w:r>
      <w:r w:rsidR="43EB07D9" w:rsidRPr="007C1494">
        <w:rPr>
          <w:rFonts w:eastAsia="Times New Roman" w:cs="Times New Roman"/>
          <w:noProof/>
          <w:szCs w:val="24"/>
        </w:rPr>
        <w:t>.</w:t>
      </w:r>
      <w:r w:rsidR="16F47FCC" w:rsidRPr="007C1494">
        <w:rPr>
          <w:rFonts w:eastAsia="Times New Roman" w:cs="Times New Roman"/>
          <w:noProof/>
          <w:szCs w:val="24"/>
        </w:rPr>
        <w:t xml:space="preserve"> </w:t>
      </w:r>
      <w:r w:rsidR="7A937E30" w:rsidRPr="007C1494">
        <w:rPr>
          <w:rFonts w:eastAsia="Times New Roman" w:cs="Times New Roman"/>
          <w:noProof/>
          <w:szCs w:val="24"/>
        </w:rPr>
        <w:t>Forest ecosystems are also the largest terrestrial carbon sink</w:t>
      </w:r>
      <w:r w:rsidR="35054325" w:rsidRPr="007C1494">
        <w:rPr>
          <w:rFonts w:eastAsia="Times New Roman" w:cs="Times New Roman"/>
          <w:noProof/>
          <w:szCs w:val="24"/>
        </w:rPr>
        <w:t xml:space="preserve"> </w:t>
      </w:r>
      <w:r w:rsidR="798C8C98" w:rsidRPr="007C1494">
        <w:rPr>
          <w:rFonts w:ascii="Calibri" w:eastAsia="Calibri" w:hAnsi="Calibri" w:cs="Calibri"/>
          <w:noProof/>
        </w:rPr>
        <w:t>—</w:t>
      </w:r>
      <w:r w:rsidR="35054325" w:rsidRPr="007C1494">
        <w:rPr>
          <w:rFonts w:eastAsia="Times New Roman" w:cs="Times New Roman"/>
          <w:noProof/>
          <w:szCs w:val="24"/>
        </w:rPr>
        <w:t xml:space="preserve"> storing </w:t>
      </w:r>
      <w:r w:rsidR="7E54ADD1" w:rsidRPr="007C1494">
        <w:rPr>
          <w:rFonts w:eastAsia="Times New Roman" w:cs="Times New Roman"/>
          <w:noProof/>
          <w:szCs w:val="24"/>
        </w:rPr>
        <w:t>approximately 400 gigatons of carbon</w:t>
      </w:r>
      <w:r w:rsidR="00244E6A" w:rsidRPr="007C1494">
        <w:rPr>
          <w:rStyle w:val="FootnoteReference"/>
          <w:rFonts w:eastAsia="Times New Roman" w:cs="Times New Roman"/>
          <w:noProof/>
          <w:szCs w:val="24"/>
        </w:rPr>
        <w:footnoteReference w:id="41"/>
      </w:r>
      <w:r w:rsidR="381013E9" w:rsidRPr="007C1494">
        <w:rPr>
          <w:rStyle w:val="FootnoteReference"/>
          <w:rFonts w:eastAsia="Times New Roman" w:cs="Times New Roman"/>
          <w:noProof/>
          <w:szCs w:val="24"/>
        </w:rPr>
        <w:t xml:space="preserve"> </w:t>
      </w:r>
      <w:r w:rsidR="71EF4E1F" w:rsidRPr="007C1494">
        <w:rPr>
          <w:rFonts w:eastAsia="Times New Roman" w:cs="Times New Roman"/>
          <w:noProof/>
          <w:szCs w:val="24"/>
        </w:rPr>
        <w:t>th</w:t>
      </w:r>
      <w:r w:rsidR="35054325" w:rsidRPr="007C1494">
        <w:rPr>
          <w:rFonts w:eastAsia="Times New Roman" w:cs="Times New Roman"/>
          <w:noProof/>
          <w:szCs w:val="24"/>
        </w:rPr>
        <w:t xml:space="preserve">at would otherwise be free in the atmosphere and contribute to ongoing changes in climate patterns. </w:t>
      </w:r>
      <w:r w:rsidR="6527F9D7" w:rsidRPr="007C1494">
        <w:rPr>
          <w:rFonts w:eastAsia="Times New Roman" w:cs="Times New Roman"/>
          <w:noProof/>
          <w:szCs w:val="24"/>
        </w:rPr>
        <w:t>On top of that, a</w:t>
      </w:r>
      <w:r w:rsidR="16F47FCC" w:rsidRPr="007C1494">
        <w:rPr>
          <w:rFonts w:eastAsia="Times New Roman" w:cs="Times New Roman"/>
          <w:noProof/>
          <w:szCs w:val="24"/>
        </w:rPr>
        <w:t xml:space="preserve">round 1.6 billion people depend on forests for their livelihood, including </w:t>
      </w:r>
      <w:r w:rsidR="00332062" w:rsidRPr="00A422BB">
        <w:rPr>
          <w:rFonts w:eastAsia="Times New Roman" w:cs="Times New Roman"/>
          <w:noProof/>
          <w:szCs w:val="24"/>
        </w:rPr>
        <w:t>around</w:t>
      </w:r>
      <w:r w:rsidR="00332062">
        <w:rPr>
          <w:rFonts w:eastAsia="Times New Roman" w:cs="Times New Roman"/>
          <w:noProof/>
          <w:szCs w:val="24"/>
        </w:rPr>
        <w:t xml:space="preserve"> </w:t>
      </w:r>
      <w:r w:rsidR="16F47FCC" w:rsidRPr="007C1494">
        <w:rPr>
          <w:rFonts w:eastAsia="Times New Roman" w:cs="Times New Roman"/>
          <w:noProof/>
          <w:szCs w:val="24"/>
        </w:rPr>
        <w:t>70 million indigenous people.</w:t>
      </w:r>
    </w:p>
    <w:p w14:paraId="234FC547" w14:textId="509221C1" w:rsidR="5C43C0DB" w:rsidRPr="007C1494" w:rsidRDefault="00F206D7" w:rsidP="00D00BCF">
      <w:pPr>
        <w:jc w:val="both"/>
        <w:rPr>
          <w:rFonts w:eastAsia="Times New Roman" w:cs="Times New Roman"/>
          <w:noProof/>
          <w:szCs w:val="24"/>
        </w:rPr>
      </w:pPr>
      <w:r>
        <w:rPr>
          <w:rFonts w:eastAsia="Times New Roman" w:cs="Times New Roman"/>
          <w:noProof/>
          <w:szCs w:val="24"/>
        </w:rPr>
        <w:t xml:space="preserve"> </w:t>
      </w:r>
      <w:r w:rsidR="5C43C0DB" w:rsidRPr="007C1494">
        <w:rPr>
          <w:rFonts w:eastAsia="Times New Roman" w:cs="Times New Roman"/>
          <w:noProof/>
          <w:szCs w:val="24"/>
        </w:rPr>
        <w:t>Deforestation occurs when forest is cleared to make space for other activities such as agriculture, mining, urban development, or othe</w:t>
      </w:r>
      <w:r w:rsidR="00473D27" w:rsidRPr="007C1494">
        <w:rPr>
          <w:rFonts w:eastAsia="Times New Roman" w:cs="Times New Roman"/>
          <w:noProof/>
          <w:szCs w:val="24"/>
        </w:rPr>
        <w:t>r land uses. F</w:t>
      </w:r>
      <w:r w:rsidR="5C43C0DB" w:rsidRPr="007C1494">
        <w:rPr>
          <w:rFonts w:eastAsia="Times New Roman" w:cs="Times New Roman"/>
          <w:noProof/>
          <w:szCs w:val="24"/>
        </w:rPr>
        <w:t>orest degradation is a more gradual process through which a forest's biomass declines, its species composition changes, or its soil quality declines, but the land still meets the definition of a forest regarding surface, crown cover, and tree height. Forest degradation is often a precursor to deforestation. Both deforestation and forest degradation represent significant problems</w:t>
      </w:r>
      <w:r w:rsidR="003E0E26">
        <w:rPr>
          <w:rFonts w:eastAsia="Times New Roman" w:cs="Times New Roman"/>
          <w:noProof/>
          <w:szCs w:val="24"/>
        </w:rPr>
        <w:t>, in particular as they are occurring at an alarming rate</w:t>
      </w:r>
      <w:r w:rsidR="5C43C0DB" w:rsidRPr="007C1494">
        <w:rPr>
          <w:rFonts w:eastAsia="Times New Roman" w:cs="Times New Roman"/>
          <w:noProof/>
          <w:szCs w:val="24"/>
        </w:rPr>
        <w:t xml:space="preserve">. </w:t>
      </w:r>
    </w:p>
    <w:p w14:paraId="76F72F88" w14:textId="77777777" w:rsidR="00617C7C" w:rsidRPr="007C1494" w:rsidRDefault="1BCB2963" w:rsidP="00D00BCF">
      <w:pPr>
        <w:jc w:val="both"/>
        <w:rPr>
          <w:rFonts w:eastAsia="Times New Roman" w:cs="Times New Roman"/>
          <w:noProof/>
          <w:szCs w:val="24"/>
        </w:rPr>
      </w:pPr>
      <w:r w:rsidRPr="007C1494">
        <w:rPr>
          <w:rFonts w:eastAsia="Times New Roman" w:cs="Times New Roman"/>
          <w:noProof/>
          <w:szCs w:val="24"/>
        </w:rPr>
        <w:t>The FAO</w:t>
      </w:r>
      <w:r w:rsidR="20C1C337" w:rsidRPr="007C1494">
        <w:rPr>
          <w:rFonts w:eastAsia="Times New Roman" w:cs="Times New Roman"/>
          <w:noProof/>
          <w:szCs w:val="24"/>
        </w:rPr>
        <w:t xml:space="preserve"> </w:t>
      </w:r>
      <w:r w:rsidRPr="007C1494">
        <w:rPr>
          <w:rFonts w:eastAsia="Times New Roman" w:cs="Times New Roman"/>
          <w:noProof/>
          <w:szCs w:val="24"/>
        </w:rPr>
        <w:t>estimates</w:t>
      </w:r>
      <w:r w:rsidR="00244E6A" w:rsidRPr="007C1494">
        <w:rPr>
          <w:rStyle w:val="FootnoteReference"/>
          <w:rFonts w:eastAsia="Times New Roman" w:cs="Times New Roman"/>
          <w:noProof/>
          <w:szCs w:val="24"/>
        </w:rPr>
        <w:footnoteReference w:id="42"/>
      </w:r>
      <w:r w:rsidRPr="007C1494">
        <w:rPr>
          <w:rFonts w:eastAsia="Times New Roman" w:cs="Times New Roman"/>
          <w:noProof/>
          <w:szCs w:val="24"/>
        </w:rPr>
        <w:t xml:space="preserve"> that 420 million hectares of forest — about 10% of the world’s forests and</w:t>
      </w:r>
      <w:r w:rsidR="00BBA006" w:rsidRPr="007C1494">
        <w:rPr>
          <w:rFonts w:eastAsia="Times New Roman" w:cs="Times New Roman"/>
          <w:noProof/>
          <w:szCs w:val="24"/>
        </w:rPr>
        <w:t xml:space="preserve"> </w:t>
      </w:r>
      <w:r w:rsidRPr="007C1494">
        <w:rPr>
          <w:rFonts w:eastAsia="Times New Roman" w:cs="Times New Roman"/>
          <w:noProof/>
          <w:szCs w:val="24"/>
        </w:rPr>
        <w:t>an area larger than the European Union — have been lost worldwide through deforestation between 1990 and 2020.</w:t>
      </w:r>
      <w:r w:rsidR="22CC8548" w:rsidRPr="007C1494">
        <w:rPr>
          <w:rFonts w:eastAsia="Times New Roman" w:cs="Times New Roman"/>
          <w:noProof/>
          <w:szCs w:val="24"/>
        </w:rPr>
        <w:t xml:space="preserve"> I</w:t>
      </w:r>
      <w:r w:rsidR="71E57A5B" w:rsidRPr="007C1494">
        <w:rPr>
          <w:rFonts w:eastAsia="Times New Roman" w:cs="Times New Roman"/>
          <w:noProof/>
          <w:szCs w:val="24"/>
        </w:rPr>
        <w:t>n</w:t>
      </w:r>
      <w:r w:rsidR="056DE14D" w:rsidRPr="007C1494">
        <w:rPr>
          <w:rFonts w:eastAsia="Times New Roman" w:cs="Times New Roman"/>
          <w:noProof/>
          <w:szCs w:val="24"/>
        </w:rPr>
        <w:t xml:space="preserve"> </w:t>
      </w:r>
      <w:r w:rsidR="22CC8548" w:rsidRPr="007C1494">
        <w:rPr>
          <w:rFonts w:eastAsia="Times New Roman" w:cs="Times New Roman"/>
          <w:noProof/>
          <w:szCs w:val="24"/>
        </w:rPr>
        <w:t xml:space="preserve">terms of net area loss (the difference between area of forest cleared and new </w:t>
      </w:r>
      <w:r w:rsidR="79CBEBAE" w:rsidRPr="007C1494">
        <w:rPr>
          <w:rFonts w:eastAsia="Times New Roman" w:cs="Times New Roman"/>
          <w:noProof/>
          <w:szCs w:val="24"/>
        </w:rPr>
        <w:t xml:space="preserve">surface of </w:t>
      </w:r>
      <w:r w:rsidR="22CC8548" w:rsidRPr="007C1494">
        <w:rPr>
          <w:rFonts w:eastAsia="Times New Roman" w:cs="Times New Roman"/>
          <w:noProof/>
          <w:szCs w:val="24"/>
        </w:rPr>
        <w:t xml:space="preserve">forests planted or regenerated), the FAO estimates that </w:t>
      </w:r>
      <w:r w:rsidR="1CEA2106" w:rsidRPr="007C1494">
        <w:rPr>
          <w:rFonts w:eastAsia="Times New Roman" w:cs="Times New Roman"/>
          <w:noProof/>
          <w:szCs w:val="24"/>
        </w:rPr>
        <w:t xml:space="preserve">the world </w:t>
      </w:r>
      <w:r w:rsidR="21C2C6E8" w:rsidRPr="007C1494">
        <w:rPr>
          <w:rFonts w:eastAsia="Times New Roman" w:cs="Times New Roman"/>
          <w:noProof/>
          <w:szCs w:val="24"/>
        </w:rPr>
        <w:t xml:space="preserve">lost around 178 million hectares of forest cover in the same period of time, </w:t>
      </w:r>
      <w:r w:rsidR="7905A260" w:rsidRPr="007C1494">
        <w:rPr>
          <w:rFonts w:eastAsia="Times New Roman" w:cs="Times New Roman"/>
          <w:noProof/>
          <w:szCs w:val="24"/>
        </w:rPr>
        <w:t xml:space="preserve">which </w:t>
      </w:r>
      <w:r w:rsidR="3E1AF8C4" w:rsidRPr="007C1494">
        <w:rPr>
          <w:rFonts w:eastAsia="Times New Roman" w:cs="Times New Roman"/>
          <w:noProof/>
          <w:szCs w:val="24"/>
        </w:rPr>
        <w:t>is</w:t>
      </w:r>
      <w:r w:rsidR="44EEF24E" w:rsidRPr="007C1494">
        <w:rPr>
          <w:rFonts w:eastAsia="Times New Roman" w:cs="Times New Roman"/>
          <w:noProof/>
          <w:szCs w:val="24"/>
        </w:rPr>
        <w:t xml:space="preserve"> </w:t>
      </w:r>
      <w:r w:rsidR="3E1AF8C4" w:rsidRPr="007C1494">
        <w:rPr>
          <w:rFonts w:eastAsia="Times New Roman" w:cs="Times New Roman"/>
          <w:noProof/>
          <w:szCs w:val="24"/>
        </w:rPr>
        <w:t xml:space="preserve">an area </w:t>
      </w:r>
      <w:r w:rsidR="5D9D1E31" w:rsidRPr="007C1494">
        <w:rPr>
          <w:rFonts w:eastAsia="Times New Roman" w:cs="Times New Roman"/>
          <w:noProof/>
          <w:szCs w:val="24"/>
        </w:rPr>
        <w:t>triple the size of France.</w:t>
      </w:r>
      <w:r w:rsidR="00F2658A" w:rsidRPr="007C1494">
        <w:rPr>
          <w:rFonts w:eastAsia="Times New Roman" w:cs="Times New Roman"/>
          <w:noProof/>
          <w:szCs w:val="24"/>
        </w:rPr>
        <w:t xml:space="preserve"> </w:t>
      </w:r>
    </w:p>
    <w:p w14:paraId="25633542" w14:textId="62CF51EF" w:rsidR="373C5839" w:rsidRPr="007C1494" w:rsidRDefault="373C5839" w:rsidP="00D00BCF">
      <w:pPr>
        <w:jc w:val="both"/>
        <w:rPr>
          <w:rFonts w:eastAsia="Times New Roman" w:cs="Times New Roman"/>
          <w:noProof/>
          <w:szCs w:val="24"/>
        </w:rPr>
      </w:pPr>
      <w:r w:rsidRPr="007C1494">
        <w:rPr>
          <w:rFonts w:eastAsia="Times New Roman" w:cs="Times New Roman"/>
          <w:noProof/>
          <w:szCs w:val="24"/>
        </w:rPr>
        <w:t xml:space="preserve">According to </w:t>
      </w:r>
      <w:r w:rsidR="00D90BD8" w:rsidRPr="007C1494">
        <w:rPr>
          <w:rFonts w:eastAsia="Times New Roman" w:cs="Times New Roman"/>
          <w:noProof/>
          <w:szCs w:val="24"/>
        </w:rPr>
        <w:t xml:space="preserve">the </w:t>
      </w:r>
      <w:r w:rsidRPr="007C1494">
        <w:rPr>
          <w:rFonts w:eastAsia="Times New Roman" w:cs="Times New Roman"/>
          <w:noProof/>
          <w:szCs w:val="24"/>
        </w:rPr>
        <w:t xml:space="preserve">FAO, the </w:t>
      </w:r>
      <w:r w:rsidR="005D1687">
        <w:rPr>
          <w:rFonts w:eastAsia="Times New Roman" w:cs="Times New Roman"/>
          <w:noProof/>
          <w:szCs w:val="24"/>
        </w:rPr>
        <w:t xml:space="preserve">global </w:t>
      </w:r>
      <w:r w:rsidRPr="007C1494">
        <w:rPr>
          <w:rFonts w:eastAsia="Times New Roman" w:cs="Times New Roman"/>
          <w:noProof/>
          <w:szCs w:val="24"/>
        </w:rPr>
        <w:t>rate of deforestation has decreased over the last decades. In the most recent five-year period (2015–2020), the annual rate of deforestation was estimated at 10 million hectares per year, down from 12 million hectares per year in the period between 2010 and 2015, and 15 million hectares per year between 2000 and 2010</w:t>
      </w:r>
      <w:r w:rsidR="00846FA4" w:rsidRPr="007C1494">
        <w:rPr>
          <w:rStyle w:val="FootnoteReference"/>
          <w:rFonts w:eastAsia="Times New Roman" w:cs="Times New Roman"/>
          <w:noProof/>
          <w:szCs w:val="24"/>
        </w:rPr>
        <w:footnoteReference w:id="43"/>
      </w:r>
      <w:r w:rsidRPr="007C1494">
        <w:rPr>
          <w:rFonts w:eastAsia="Times New Roman" w:cs="Times New Roman"/>
          <w:noProof/>
          <w:szCs w:val="24"/>
        </w:rPr>
        <w:t>.</w:t>
      </w:r>
    </w:p>
    <w:p w14:paraId="2D20C337" w14:textId="7B5C9761" w:rsidR="00F234AF" w:rsidRPr="007F4115" w:rsidRDefault="00F234AF" w:rsidP="00F234AF">
      <w:pPr>
        <w:pStyle w:val="WDFigureTitle"/>
        <w:jc w:val="both"/>
        <w:rPr>
          <w:rFonts w:ascii="Times New Roman" w:hAnsi="Times New Roman" w:cs="Times New Roman"/>
          <w:noProof/>
          <w:color w:val="auto"/>
          <w:sz w:val="18"/>
          <w:szCs w:val="18"/>
        </w:rPr>
      </w:pPr>
      <w:bookmarkStart w:id="24" w:name="_Toc57912880"/>
      <w:bookmarkStart w:id="25" w:name="_Toc65534277"/>
      <w:r w:rsidRPr="007F4115">
        <w:rPr>
          <w:rFonts w:ascii="Times New Roman" w:hAnsi="Times New Roman" w:cs="Times New Roman"/>
          <w:noProof/>
          <w:color w:val="auto"/>
          <w:sz w:val="18"/>
          <w:szCs w:val="18"/>
        </w:rPr>
        <w:t>Figure 1</w:t>
      </w:r>
      <w:r w:rsidRPr="007F4115">
        <w:rPr>
          <w:rFonts w:ascii="Times New Roman" w:hAnsi="Times New Roman" w:cs="Times New Roman"/>
          <w:noProof/>
          <w:color w:val="auto"/>
          <w:sz w:val="18"/>
          <w:szCs w:val="18"/>
        </w:rPr>
        <w:tab/>
        <w:t>Forest expansion and deforestation between 1990-2020</w:t>
      </w:r>
      <w:bookmarkEnd w:id="24"/>
      <w:bookmarkEnd w:id="25"/>
    </w:p>
    <w:p w14:paraId="5CEDDDCF" w14:textId="77777777" w:rsidR="00F234AF" w:rsidRPr="007C1494" w:rsidRDefault="00F234AF" w:rsidP="00F234AF">
      <w:pPr>
        <w:pStyle w:val="WDBody"/>
        <w:jc w:val="both"/>
        <w:rPr>
          <w:rFonts w:cs="Segoe UI"/>
          <w:noProof/>
        </w:rPr>
      </w:pPr>
      <w:r w:rsidRPr="007C1494">
        <w:rPr>
          <w:noProof/>
          <w:lang w:eastAsia="en-GB"/>
        </w:rPr>
        <w:drawing>
          <wp:inline distT="0" distB="0" distL="0" distR="0" wp14:anchorId="76343493" wp14:editId="4BD1D7AC">
            <wp:extent cx="3152381" cy="19904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3152381" cy="1990476"/>
                    </a:xfrm>
                    <a:prstGeom prst="rect">
                      <a:avLst/>
                    </a:prstGeom>
                  </pic:spPr>
                </pic:pic>
              </a:graphicData>
            </a:graphic>
          </wp:inline>
        </w:drawing>
      </w:r>
    </w:p>
    <w:p w14:paraId="2C633D52" w14:textId="0697DB59" w:rsidR="00F234AF" w:rsidRPr="007C1494" w:rsidRDefault="00F234AF" w:rsidP="00F234AF">
      <w:pPr>
        <w:pStyle w:val="WDBodySmall"/>
        <w:jc w:val="both"/>
        <w:rPr>
          <w:rFonts w:ascii="Times New Roman" w:hAnsi="Times New Roman" w:cs="Times New Roman"/>
          <w:noProof/>
        </w:rPr>
      </w:pPr>
      <w:r w:rsidRPr="007C1494">
        <w:rPr>
          <w:rFonts w:ascii="Times New Roman" w:hAnsi="Times New Roman" w:cs="Times New Roman"/>
          <w:noProof/>
        </w:rPr>
        <w:t>Source: FAO, 2020</w:t>
      </w:r>
    </w:p>
    <w:p w14:paraId="1515E634" w14:textId="77777777" w:rsidR="008646B9" w:rsidRPr="007C1494" w:rsidRDefault="008646B9" w:rsidP="13A04391">
      <w:pPr>
        <w:rPr>
          <w:rFonts w:eastAsia="Times New Roman" w:cs="Times New Roman"/>
          <w:noProof/>
          <w:szCs w:val="24"/>
        </w:rPr>
      </w:pPr>
    </w:p>
    <w:p w14:paraId="2A918C98" w14:textId="4663AF53" w:rsidR="373C5839" w:rsidRDefault="373C5839" w:rsidP="00D00BCF">
      <w:pPr>
        <w:jc w:val="both"/>
        <w:rPr>
          <w:rFonts w:eastAsia="Times New Roman" w:cs="Times New Roman"/>
          <w:noProof/>
          <w:szCs w:val="24"/>
        </w:rPr>
      </w:pPr>
      <w:r w:rsidRPr="007C1494">
        <w:rPr>
          <w:rFonts w:eastAsia="Times New Roman" w:cs="Times New Roman"/>
          <w:noProof/>
          <w:szCs w:val="24"/>
        </w:rPr>
        <w:t xml:space="preserve">In terms of net forest loss, there was </w:t>
      </w:r>
      <w:r w:rsidR="00473D27" w:rsidRPr="007C1494">
        <w:rPr>
          <w:rFonts w:eastAsia="Times New Roman" w:cs="Times New Roman"/>
          <w:noProof/>
          <w:szCs w:val="24"/>
        </w:rPr>
        <w:t>a decrease due to a reduction of</w:t>
      </w:r>
      <w:r w:rsidRPr="007C1494">
        <w:rPr>
          <w:rFonts w:eastAsia="Times New Roman" w:cs="Times New Roman"/>
          <w:noProof/>
          <w:szCs w:val="24"/>
        </w:rPr>
        <w:t xml:space="preserve"> deforestation in some countries, plus increases in forest area in others through afforestation and the natural expansion of forests. The rate of net forest loss declined from 7.8 million hectares per year in the decade 1990–2000 to 5.2 million ha per year in 2000–2010 and 4.7 million ha per year in 2010–2020. It is to be noted that other sources, such as Global Forest Watch</w:t>
      </w:r>
      <w:r w:rsidRPr="007C1494">
        <w:rPr>
          <w:rStyle w:val="FootnoteReference"/>
          <w:rFonts w:eastAsia="Times New Roman" w:cs="Times New Roman"/>
          <w:noProof/>
          <w:szCs w:val="24"/>
        </w:rPr>
        <w:footnoteReference w:id="44"/>
      </w:r>
      <w:r w:rsidRPr="007C1494">
        <w:rPr>
          <w:rFonts w:eastAsia="Times New Roman" w:cs="Times New Roman"/>
          <w:noProof/>
          <w:szCs w:val="24"/>
        </w:rPr>
        <w:t>, point to an increase in forest cover loss in recent years, specifically in tropical countries.</w:t>
      </w:r>
      <w:r w:rsidR="003458EC" w:rsidRPr="007C1494">
        <w:rPr>
          <w:rFonts w:eastAsia="Times New Roman" w:cs="Times New Roman"/>
          <w:noProof/>
          <w:szCs w:val="24"/>
        </w:rPr>
        <w:t xml:space="preserve"> </w:t>
      </w:r>
    </w:p>
    <w:p w14:paraId="2B0989AE" w14:textId="29238839" w:rsidR="00420E82" w:rsidRDefault="003D3619" w:rsidP="00D00BCF">
      <w:pPr>
        <w:jc w:val="both"/>
        <w:rPr>
          <w:rFonts w:eastAsia="Times New Roman" w:cs="Times New Roman"/>
          <w:noProof/>
          <w:szCs w:val="24"/>
        </w:rPr>
      </w:pPr>
      <w:r>
        <w:rPr>
          <w:rFonts w:eastAsia="Times New Roman" w:cs="Times New Roman"/>
          <w:noProof/>
          <w:szCs w:val="24"/>
        </w:rPr>
        <w:t xml:space="preserve">As regards </w:t>
      </w:r>
      <w:r w:rsidRPr="007C1494">
        <w:rPr>
          <w:rFonts w:eastAsia="Times New Roman" w:cs="Times New Roman"/>
          <w:noProof/>
          <w:szCs w:val="24"/>
        </w:rPr>
        <w:t>forest degradation</w:t>
      </w:r>
      <w:r>
        <w:rPr>
          <w:rFonts w:eastAsia="Times New Roman" w:cs="Times New Roman"/>
          <w:noProof/>
          <w:szCs w:val="24"/>
        </w:rPr>
        <w:t>, s</w:t>
      </w:r>
      <w:r w:rsidR="00420E82" w:rsidRPr="007C1494">
        <w:rPr>
          <w:rFonts w:eastAsia="Times New Roman" w:cs="Times New Roman"/>
          <w:noProof/>
          <w:szCs w:val="24"/>
        </w:rPr>
        <w:t xml:space="preserve">ystematic data and statistics are much scarcer in comparison with deforestation. By definition, degradation is more difficult to measure and monitor. </w:t>
      </w:r>
      <w:r w:rsidR="00420E82">
        <w:rPr>
          <w:rFonts w:eastAsia="Times New Roman" w:cs="Times New Roman"/>
          <w:noProof/>
          <w:szCs w:val="24"/>
        </w:rPr>
        <w:t xml:space="preserve">As part of the FAO’s 2020 </w:t>
      </w:r>
      <w:r w:rsidR="006B739E" w:rsidRPr="00A422BB">
        <w:rPr>
          <w:rFonts w:eastAsia="Times New Roman" w:cs="Times New Roman"/>
          <w:noProof/>
          <w:szCs w:val="24"/>
        </w:rPr>
        <w:t>Global</w:t>
      </w:r>
      <w:r w:rsidR="00420E82">
        <w:rPr>
          <w:rFonts w:eastAsia="Times New Roman" w:cs="Times New Roman"/>
          <w:noProof/>
          <w:szCs w:val="24"/>
        </w:rPr>
        <w:t xml:space="preserve"> Forest Resources Assessment, countries were asked whether and how they monitored forest degradation, with various definitions and criteria reported.</w:t>
      </w:r>
      <w:r w:rsidR="00420E82" w:rsidRPr="00795A27">
        <w:rPr>
          <w:rStyle w:val="FootnoteReference"/>
          <w:noProof/>
        </w:rPr>
        <w:footnoteReference w:id="45"/>
      </w:r>
      <w:r w:rsidR="00420E82">
        <w:rPr>
          <w:rFonts w:eastAsia="Times New Roman" w:cs="Times New Roman"/>
          <w:noProof/>
          <w:szCs w:val="24"/>
        </w:rPr>
        <w:t xml:space="preserve"> I</w:t>
      </w:r>
      <w:r w:rsidR="00420E82" w:rsidRPr="007C1494">
        <w:rPr>
          <w:rFonts w:eastAsia="Times New Roman" w:cs="Times New Roman"/>
          <w:noProof/>
          <w:szCs w:val="24"/>
        </w:rPr>
        <w:t xml:space="preserve">llegal or otherwise unsustainable logging </w:t>
      </w:r>
      <w:r w:rsidR="00420E82">
        <w:rPr>
          <w:rFonts w:eastAsia="Times New Roman" w:cs="Times New Roman"/>
          <w:noProof/>
          <w:szCs w:val="24"/>
        </w:rPr>
        <w:t>is</w:t>
      </w:r>
      <w:r w:rsidR="00420E82" w:rsidRPr="007C1494">
        <w:rPr>
          <w:rFonts w:eastAsia="Times New Roman" w:cs="Times New Roman"/>
          <w:noProof/>
          <w:szCs w:val="24"/>
        </w:rPr>
        <w:t xml:space="preserve"> a principal agent of forest degradation</w:t>
      </w:r>
      <w:r w:rsidR="00420E82">
        <w:rPr>
          <w:rFonts w:eastAsia="Times New Roman" w:cs="Times New Roman"/>
          <w:noProof/>
          <w:szCs w:val="24"/>
        </w:rPr>
        <w:t>.</w:t>
      </w:r>
      <w:r w:rsidR="00420E82" w:rsidRPr="007C1494">
        <w:rPr>
          <w:rStyle w:val="FootnoteReference"/>
          <w:rFonts w:eastAsia="Times New Roman" w:cs="Times New Roman"/>
          <w:noProof/>
          <w:szCs w:val="24"/>
        </w:rPr>
        <w:footnoteReference w:id="46"/>
      </w:r>
      <w:r w:rsidR="00420E82">
        <w:rPr>
          <w:rFonts w:eastAsia="Times New Roman" w:cs="Times New Roman"/>
          <w:noProof/>
          <w:szCs w:val="24"/>
        </w:rPr>
        <w:t xml:space="preserve"> Major </w:t>
      </w:r>
      <w:r w:rsidR="00F206D7">
        <w:rPr>
          <w:rFonts w:eastAsia="Times New Roman" w:cs="Times New Roman"/>
          <w:noProof/>
          <w:szCs w:val="24"/>
        </w:rPr>
        <w:t xml:space="preserve">natural </w:t>
      </w:r>
      <w:r w:rsidR="00420E82">
        <w:rPr>
          <w:rFonts w:eastAsia="Times New Roman" w:cs="Times New Roman"/>
          <w:noProof/>
          <w:szCs w:val="24"/>
        </w:rPr>
        <w:t>causes of forest disturbance include</w:t>
      </w:r>
      <w:r w:rsidR="00420E82" w:rsidRPr="007C1494">
        <w:rPr>
          <w:rFonts w:eastAsia="Times New Roman" w:cs="Times New Roman"/>
          <w:noProof/>
          <w:szCs w:val="24"/>
        </w:rPr>
        <w:t xml:space="preserve"> forest fires, insect</w:t>
      </w:r>
      <w:r w:rsidR="00420E82">
        <w:rPr>
          <w:rFonts w:eastAsia="Times New Roman" w:cs="Times New Roman"/>
          <w:noProof/>
          <w:szCs w:val="24"/>
        </w:rPr>
        <w:t>s, disease and severe weather events</w:t>
      </w:r>
      <w:r w:rsidR="00420E82" w:rsidRPr="00795A27">
        <w:rPr>
          <w:rStyle w:val="FootnoteReference"/>
          <w:noProof/>
        </w:rPr>
        <w:footnoteReference w:id="47"/>
      </w:r>
      <w:r w:rsidR="00420E82">
        <w:rPr>
          <w:rFonts w:eastAsia="Times New Roman" w:cs="Times New Roman"/>
          <w:noProof/>
          <w:szCs w:val="24"/>
        </w:rPr>
        <w:t>.</w:t>
      </w:r>
      <w:r w:rsidR="00420E82" w:rsidRPr="007C1494">
        <w:rPr>
          <w:rFonts w:eastAsia="Times New Roman" w:cs="Times New Roman"/>
          <w:noProof/>
          <w:szCs w:val="24"/>
        </w:rPr>
        <w:t xml:space="preserve"> </w:t>
      </w:r>
      <w:r w:rsidR="00420E82">
        <w:rPr>
          <w:rFonts w:eastAsia="Times New Roman" w:cs="Times New Roman"/>
          <w:noProof/>
          <w:szCs w:val="24"/>
        </w:rPr>
        <w:t>Considering forest intactness,</w:t>
      </w:r>
      <w:r w:rsidR="00420E82" w:rsidRPr="007C1494">
        <w:rPr>
          <w:rFonts w:eastAsia="Times New Roman" w:cs="Times New Roman"/>
          <w:noProof/>
          <w:szCs w:val="24"/>
        </w:rPr>
        <w:t xml:space="preserve"> the FAO </w:t>
      </w:r>
      <w:r w:rsidR="00F206D7">
        <w:rPr>
          <w:rFonts w:eastAsia="Times New Roman" w:cs="Times New Roman"/>
          <w:noProof/>
          <w:szCs w:val="24"/>
        </w:rPr>
        <w:t xml:space="preserve">in recent publications </w:t>
      </w:r>
      <w:r w:rsidR="00420E82" w:rsidRPr="007C1494">
        <w:rPr>
          <w:rFonts w:eastAsia="Times New Roman" w:cs="Times New Roman"/>
          <w:noProof/>
          <w:szCs w:val="24"/>
        </w:rPr>
        <w:t>conclud</w:t>
      </w:r>
      <w:r w:rsidR="00F206D7">
        <w:rPr>
          <w:rFonts w:eastAsia="Times New Roman" w:cs="Times New Roman"/>
          <w:noProof/>
          <w:szCs w:val="24"/>
        </w:rPr>
        <w:t>ed</w:t>
      </w:r>
      <w:r w:rsidR="00420E82" w:rsidRPr="007C1494" w:rsidDel="00F206D7">
        <w:rPr>
          <w:rFonts w:eastAsia="Times New Roman" w:cs="Times New Roman"/>
          <w:noProof/>
          <w:szCs w:val="24"/>
        </w:rPr>
        <w:t xml:space="preserve"> </w:t>
      </w:r>
      <w:r w:rsidR="00420E82" w:rsidRPr="007C1494">
        <w:rPr>
          <w:rFonts w:eastAsia="Times New Roman" w:cs="Times New Roman"/>
          <w:noProof/>
          <w:szCs w:val="24"/>
        </w:rPr>
        <w:t>that 49% of the global forest area had a high level of integrity, while 10% of the global forests are severely fragmented</w:t>
      </w:r>
      <w:r w:rsidR="00420E82" w:rsidRPr="00CD742D">
        <w:rPr>
          <w:rFonts w:eastAsia="Times New Roman" w:cs="Times New Roman"/>
          <w:noProof/>
          <w:szCs w:val="24"/>
        </w:rPr>
        <w:t xml:space="preserve"> </w:t>
      </w:r>
      <w:r w:rsidR="00420E82">
        <w:rPr>
          <w:rFonts w:eastAsia="Times New Roman" w:cs="Times New Roman"/>
          <w:noProof/>
          <w:szCs w:val="24"/>
        </w:rPr>
        <w:t>with little or no connectivity.</w:t>
      </w:r>
      <w:r w:rsidR="00420E82" w:rsidRPr="00795A27">
        <w:rPr>
          <w:rStyle w:val="FootnoteReference"/>
          <w:noProof/>
        </w:rPr>
        <w:footnoteReference w:id="48"/>
      </w:r>
      <w:r w:rsidR="00296866" w:rsidRPr="00795A27" w:rsidDel="00296866">
        <w:rPr>
          <w:rStyle w:val="FootnoteReference"/>
          <w:noProof/>
        </w:rPr>
        <w:t xml:space="preserve"> </w:t>
      </w:r>
    </w:p>
    <w:p w14:paraId="7D282A8A" w14:textId="018022A8" w:rsidR="005D1687" w:rsidRPr="007C1494" w:rsidRDefault="005D1687" w:rsidP="00D00BCF">
      <w:pPr>
        <w:jc w:val="both"/>
        <w:rPr>
          <w:rFonts w:eastAsia="Times New Roman" w:cs="Times New Roman"/>
          <w:noProof/>
          <w:szCs w:val="24"/>
        </w:rPr>
      </w:pPr>
      <w:r w:rsidRPr="005D1687">
        <w:rPr>
          <w:rFonts w:eastAsia="Times New Roman" w:cs="Times New Roman"/>
          <w:noProof/>
          <w:szCs w:val="24"/>
        </w:rPr>
        <w:t xml:space="preserve">According to </w:t>
      </w:r>
      <w:r w:rsidR="00420E82">
        <w:rPr>
          <w:rFonts w:eastAsia="Times New Roman" w:cs="Times New Roman"/>
          <w:noProof/>
          <w:szCs w:val="24"/>
        </w:rPr>
        <w:t xml:space="preserve">a recent </w:t>
      </w:r>
      <w:r w:rsidRPr="005D1687">
        <w:rPr>
          <w:rFonts w:eastAsia="Times New Roman" w:cs="Times New Roman"/>
          <w:noProof/>
          <w:szCs w:val="24"/>
        </w:rPr>
        <w:t>research</w:t>
      </w:r>
      <w:r w:rsidR="00420E82">
        <w:rPr>
          <w:rFonts w:eastAsia="Times New Roman" w:cs="Times New Roman"/>
          <w:noProof/>
          <w:szCs w:val="24"/>
        </w:rPr>
        <w:t xml:space="preserve"> paper</w:t>
      </w:r>
      <w:r w:rsidR="00420E82" w:rsidRPr="005D1687">
        <w:rPr>
          <w:rFonts w:eastAsia="Times New Roman" w:cs="Times New Roman"/>
          <w:noProof/>
          <w:szCs w:val="24"/>
          <w:vertAlign w:val="superscript"/>
        </w:rPr>
        <w:footnoteReference w:id="49"/>
      </w:r>
      <w:r w:rsidRPr="005D1687">
        <w:rPr>
          <w:rFonts w:eastAsia="Times New Roman" w:cs="Times New Roman"/>
          <w:noProof/>
          <w:szCs w:val="24"/>
        </w:rPr>
        <w:t xml:space="preserve">, 106.5 million hectares of tropical moist forests are in a degraded state, representing 10% of the </w:t>
      </w:r>
      <w:r w:rsidR="00420E82">
        <w:rPr>
          <w:rFonts w:eastAsia="Times New Roman" w:cs="Times New Roman"/>
          <w:noProof/>
          <w:szCs w:val="24"/>
        </w:rPr>
        <w:t xml:space="preserve">around </w:t>
      </w:r>
      <w:r w:rsidRPr="005D1687">
        <w:rPr>
          <w:rFonts w:eastAsia="Times New Roman" w:cs="Times New Roman"/>
          <w:noProof/>
          <w:szCs w:val="24"/>
        </w:rPr>
        <w:t xml:space="preserve">1 </w:t>
      </w:r>
      <w:r w:rsidR="00420E82">
        <w:rPr>
          <w:rFonts w:eastAsia="Times New Roman" w:cs="Times New Roman"/>
          <w:noProof/>
          <w:szCs w:val="24"/>
        </w:rPr>
        <w:t>billion hectares</w:t>
      </w:r>
      <w:r w:rsidRPr="005D1687">
        <w:rPr>
          <w:rFonts w:eastAsia="Times New Roman" w:cs="Times New Roman"/>
          <w:noProof/>
          <w:szCs w:val="24"/>
        </w:rPr>
        <w:t xml:space="preserve"> of tropical moist forest area remaining in January 2020. There has been a marked increase in disturbance rates (deforestation and forest degradation) in recent years (+2.1 million ha/year for the past 5 years compared with the period 2005–2014). Forest degradation accounts for 33% of the observed changes in forest cover, with much of it attributable to short-term disturbances</w:t>
      </w:r>
      <w:r w:rsidRPr="005D1687">
        <w:rPr>
          <w:rFonts w:eastAsia="Times New Roman" w:cs="Times New Roman"/>
          <w:noProof/>
          <w:szCs w:val="24"/>
          <w:vertAlign w:val="superscript"/>
        </w:rPr>
        <w:t xml:space="preserve"> </w:t>
      </w:r>
      <w:r w:rsidRPr="005D1687">
        <w:rPr>
          <w:rFonts w:eastAsia="Times New Roman" w:cs="Times New Roman"/>
          <w:noProof/>
          <w:szCs w:val="24"/>
        </w:rPr>
        <w:t>such as selective logging, natural events and fire.</w:t>
      </w:r>
      <w:r w:rsidR="00E85270">
        <w:rPr>
          <w:rFonts w:eastAsia="Times New Roman" w:cs="Times New Roman"/>
          <w:noProof/>
          <w:szCs w:val="24"/>
        </w:rPr>
        <w:t xml:space="preserve"> </w:t>
      </w:r>
      <w:r w:rsidR="009262C8">
        <w:rPr>
          <w:rFonts w:eastAsia="Times New Roman" w:cs="Times New Roman"/>
          <w:noProof/>
          <w:szCs w:val="24"/>
        </w:rPr>
        <w:t>Note also that, a</w:t>
      </w:r>
      <w:r w:rsidR="00E85270">
        <w:rPr>
          <w:rFonts w:eastAsia="Times New Roman" w:cs="Times New Roman"/>
          <w:noProof/>
          <w:szCs w:val="24"/>
        </w:rPr>
        <w:t>s forest degradation often leads to deforestation, the paper concludes that w</w:t>
      </w:r>
      <w:r w:rsidR="00E85270" w:rsidRPr="007C1494">
        <w:rPr>
          <w:rFonts w:eastAsia="Times New Roman" w:cs="Times New Roman"/>
          <w:noProof/>
          <w:szCs w:val="24"/>
        </w:rPr>
        <w:t xml:space="preserve">ithout a reduction of the present disturbance rates, undisturbed forests </w:t>
      </w:r>
      <w:r w:rsidR="00E85270">
        <w:rPr>
          <w:rFonts w:eastAsia="Times New Roman" w:cs="Times New Roman"/>
          <w:noProof/>
          <w:szCs w:val="24"/>
        </w:rPr>
        <w:t xml:space="preserve">in </w:t>
      </w:r>
      <w:r w:rsidR="00E85270" w:rsidRPr="007C1494">
        <w:rPr>
          <w:rFonts w:eastAsia="Times New Roman" w:cs="Times New Roman"/>
          <w:noProof/>
          <w:szCs w:val="24"/>
        </w:rPr>
        <w:t>tropical humid regions will disappear entirely</w:t>
      </w:r>
      <w:r w:rsidR="00E85270">
        <w:rPr>
          <w:rFonts w:eastAsia="Times New Roman" w:cs="Times New Roman"/>
          <w:noProof/>
          <w:szCs w:val="24"/>
        </w:rPr>
        <w:t xml:space="preserve"> by 2050.</w:t>
      </w:r>
    </w:p>
    <w:p w14:paraId="7CCD0475" w14:textId="72FFFC72" w:rsidR="00F234AF" w:rsidRPr="007C1494" w:rsidRDefault="00F234AF" w:rsidP="00D00BCF">
      <w:pPr>
        <w:jc w:val="both"/>
        <w:rPr>
          <w:rFonts w:eastAsia="Times New Roman" w:cs="Times New Roman"/>
          <w:noProof/>
          <w:szCs w:val="24"/>
        </w:rPr>
      </w:pPr>
      <w:r w:rsidRPr="007C1494">
        <w:rPr>
          <w:rFonts w:eastAsia="Times New Roman" w:cs="Times New Roman"/>
          <w:noProof/>
          <w:szCs w:val="24"/>
        </w:rPr>
        <w:t xml:space="preserve">Also relevant is the fact that deforestation rates and drivers vary widely across different continents. </w:t>
      </w:r>
      <w:r w:rsidR="001213E0" w:rsidRPr="007C1494">
        <w:rPr>
          <w:rFonts w:eastAsia="Times New Roman" w:cs="Times New Roman"/>
          <w:noProof/>
          <w:szCs w:val="24"/>
        </w:rPr>
        <w:t xml:space="preserve">For the period 2015-2020, in terms of gross deforestation, FAO estimates put Africa on top, with 4,4 million hectares lost per year; followed by South America (2.9 million); Asia (2.2 million); North America (436,000); Europe (69,000); and Oceania (42,000.) The figures change </w:t>
      </w:r>
      <w:r w:rsidR="00D90BD8" w:rsidRPr="007C1494">
        <w:rPr>
          <w:rFonts w:eastAsia="Times New Roman" w:cs="Times New Roman"/>
          <w:noProof/>
          <w:szCs w:val="24"/>
        </w:rPr>
        <w:t>significantly</w:t>
      </w:r>
      <w:r w:rsidR="001213E0" w:rsidRPr="007C1494">
        <w:rPr>
          <w:rFonts w:eastAsia="Times New Roman" w:cs="Times New Roman"/>
          <w:noProof/>
          <w:szCs w:val="24"/>
        </w:rPr>
        <w:t xml:space="preserve"> in terms of net forest loss, as shown in the chart below, especially </w:t>
      </w:r>
      <w:r w:rsidR="005D1687">
        <w:rPr>
          <w:rFonts w:eastAsia="Times New Roman" w:cs="Times New Roman"/>
          <w:noProof/>
          <w:szCs w:val="24"/>
        </w:rPr>
        <w:t>for</w:t>
      </w:r>
      <w:r w:rsidR="001213E0" w:rsidRPr="007C1494">
        <w:rPr>
          <w:rFonts w:eastAsia="Times New Roman" w:cs="Times New Roman"/>
          <w:noProof/>
          <w:szCs w:val="24"/>
        </w:rPr>
        <w:t xml:space="preserve"> Asia, a continent where some countries are </w:t>
      </w:r>
      <w:r w:rsidR="00D84AF5" w:rsidRPr="007C1494">
        <w:rPr>
          <w:rFonts w:eastAsia="Times New Roman" w:cs="Times New Roman"/>
          <w:noProof/>
          <w:szCs w:val="24"/>
        </w:rPr>
        <w:t xml:space="preserve">undergoing </w:t>
      </w:r>
      <w:r w:rsidR="00D84AF5">
        <w:rPr>
          <w:rFonts w:eastAsia="Times New Roman" w:cs="Times New Roman"/>
          <w:noProof/>
          <w:szCs w:val="24"/>
        </w:rPr>
        <w:t>drastic</w:t>
      </w:r>
      <w:r w:rsidR="005D1687" w:rsidRPr="007C1494">
        <w:rPr>
          <w:rFonts w:eastAsia="Times New Roman" w:cs="Times New Roman"/>
          <w:noProof/>
          <w:szCs w:val="24"/>
        </w:rPr>
        <w:t xml:space="preserve"> </w:t>
      </w:r>
      <w:r w:rsidR="001213E0" w:rsidRPr="007C1494">
        <w:rPr>
          <w:rFonts w:eastAsia="Times New Roman" w:cs="Times New Roman"/>
          <w:noProof/>
          <w:szCs w:val="24"/>
        </w:rPr>
        <w:t>deforestation while others are investing in reforestation and afforestation program</w:t>
      </w:r>
      <w:r w:rsidR="006B739E">
        <w:rPr>
          <w:rFonts w:eastAsia="Times New Roman" w:cs="Times New Roman"/>
          <w:noProof/>
          <w:szCs w:val="24"/>
        </w:rPr>
        <w:t>me</w:t>
      </w:r>
      <w:r w:rsidR="001213E0" w:rsidRPr="007C1494">
        <w:rPr>
          <w:rFonts w:eastAsia="Times New Roman" w:cs="Times New Roman"/>
          <w:noProof/>
          <w:szCs w:val="24"/>
        </w:rPr>
        <w:t>s.</w:t>
      </w:r>
    </w:p>
    <w:p w14:paraId="2F867C0A" w14:textId="58303206" w:rsidR="001213E0" w:rsidRPr="000B201B" w:rsidRDefault="001213E0" w:rsidP="001213E0">
      <w:pPr>
        <w:pStyle w:val="WDFigureTitle"/>
        <w:jc w:val="both"/>
        <w:rPr>
          <w:rFonts w:ascii="Times New Roman" w:hAnsi="Times New Roman" w:cs="Times New Roman"/>
          <w:noProof/>
          <w:color w:val="auto"/>
        </w:rPr>
      </w:pPr>
      <w:bookmarkStart w:id="26" w:name="_Toc57912881"/>
      <w:bookmarkStart w:id="27" w:name="_Toc65534278"/>
      <w:r w:rsidRPr="000B201B">
        <w:rPr>
          <w:rFonts w:ascii="Times New Roman" w:hAnsi="Times New Roman" w:cs="Times New Roman"/>
          <w:noProof/>
          <w:color w:val="auto"/>
          <w:sz w:val="18"/>
        </w:rPr>
        <w:t xml:space="preserve">Figure </w:t>
      </w:r>
      <w:r w:rsidRPr="000B201B" w:rsidDel="00B07AE5">
        <w:rPr>
          <w:rFonts w:ascii="Times New Roman" w:hAnsi="Times New Roman" w:cs="Times New Roman"/>
          <w:noProof/>
          <w:color w:val="auto"/>
          <w:sz w:val="18"/>
        </w:rPr>
        <w:t>2</w:t>
      </w:r>
      <w:r w:rsidRPr="000B201B">
        <w:rPr>
          <w:rFonts w:ascii="Times New Roman" w:hAnsi="Times New Roman" w:cs="Times New Roman"/>
          <w:noProof/>
          <w:color w:val="auto"/>
          <w:sz w:val="18"/>
        </w:rPr>
        <w:tab/>
        <w:t>Global annual net forest area change between 1990-2020 by region</w:t>
      </w:r>
      <w:bookmarkEnd w:id="26"/>
      <w:bookmarkEnd w:id="27"/>
    </w:p>
    <w:p w14:paraId="55515536" w14:textId="77777777" w:rsidR="001213E0" w:rsidRPr="007C1494" w:rsidRDefault="001213E0" w:rsidP="001213E0">
      <w:pPr>
        <w:pStyle w:val="WDBody"/>
        <w:jc w:val="both"/>
        <w:rPr>
          <w:rFonts w:cs="Segoe UI"/>
          <w:noProof/>
        </w:rPr>
      </w:pPr>
      <w:r w:rsidRPr="007C1494">
        <w:rPr>
          <w:rFonts w:cs="Segoe UI"/>
          <w:noProof/>
          <w:lang w:eastAsia="en-GB"/>
        </w:rPr>
        <w:drawing>
          <wp:inline distT="0" distB="0" distL="0" distR="0" wp14:anchorId="033ECB9C" wp14:editId="1B15C2F7">
            <wp:extent cx="6120130" cy="25050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8941" b="3974"/>
                    <a:stretch/>
                  </pic:blipFill>
                  <pic:spPr bwMode="auto">
                    <a:xfrm>
                      <a:off x="0" y="0"/>
                      <a:ext cx="6120130" cy="2505075"/>
                    </a:xfrm>
                    <a:prstGeom prst="rect">
                      <a:avLst/>
                    </a:prstGeom>
                    <a:ln>
                      <a:noFill/>
                    </a:ln>
                    <a:extLst>
                      <a:ext uri="{53640926-AAD7-44D8-BBD7-CCE9431645EC}">
                        <a14:shadowObscured xmlns:a14="http://schemas.microsoft.com/office/drawing/2010/main"/>
                      </a:ext>
                    </a:extLst>
                  </pic:spPr>
                </pic:pic>
              </a:graphicData>
            </a:graphic>
          </wp:inline>
        </w:drawing>
      </w:r>
    </w:p>
    <w:p w14:paraId="2C3EE0B2" w14:textId="77E9B31C" w:rsidR="001213E0" w:rsidRPr="007C1494" w:rsidRDefault="001213E0" w:rsidP="001213E0">
      <w:pPr>
        <w:pStyle w:val="WDBodySmall"/>
        <w:jc w:val="both"/>
        <w:rPr>
          <w:rFonts w:cs="Segoe UI"/>
          <w:noProof/>
        </w:rPr>
      </w:pPr>
      <w:r w:rsidRPr="007C1494">
        <w:rPr>
          <w:rFonts w:cs="Segoe UI"/>
          <w:noProof/>
        </w:rPr>
        <w:t>Source: FAO, 2020</w:t>
      </w:r>
    </w:p>
    <w:p w14:paraId="426F4F82" w14:textId="5A459681" w:rsidR="001213E0" w:rsidRPr="007C1494" w:rsidRDefault="001213E0" w:rsidP="00D00BCF">
      <w:pPr>
        <w:jc w:val="both"/>
        <w:rPr>
          <w:rFonts w:eastAsia="Times New Roman" w:cs="Times New Roman"/>
          <w:noProof/>
          <w:szCs w:val="24"/>
        </w:rPr>
      </w:pPr>
    </w:p>
    <w:p w14:paraId="18E979FB" w14:textId="08C847E1" w:rsidR="008213C8" w:rsidRDefault="00401611" w:rsidP="00D00BCF">
      <w:pPr>
        <w:jc w:val="both"/>
        <w:rPr>
          <w:rFonts w:eastAsia="Times New Roman" w:cs="Times New Roman"/>
          <w:noProof/>
          <w:szCs w:val="24"/>
        </w:rPr>
      </w:pPr>
      <w:r w:rsidRPr="007C1494">
        <w:rPr>
          <w:rFonts w:eastAsia="Times New Roman" w:cs="Times New Roman"/>
          <w:noProof/>
          <w:szCs w:val="24"/>
        </w:rPr>
        <w:t xml:space="preserve">The </w:t>
      </w:r>
      <w:r w:rsidR="005D1687">
        <w:rPr>
          <w:rFonts w:eastAsia="Times New Roman" w:cs="Times New Roman"/>
          <w:noProof/>
          <w:szCs w:val="24"/>
        </w:rPr>
        <w:t xml:space="preserve">main </w:t>
      </w:r>
      <w:r w:rsidRPr="007C1494">
        <w:rPr>
          <w:rFonts w:eastAsia="Times New Roman" w:cs="Times New Roman"/>
          <w:noProof/>
          <w:szCs w:val="24"/>
        </w:rPr>
        <w:t>dr</w:t>
      </w:r>
      <w:r w:rsidR="00E72B9D" w:rsidRPr="007C1494">
        <w:rPr>
          <w:rFonts w:eastAsia="Times New Roman" w:cs="Times New Roman"/>
          <w:noProof/>
          <w:szCs w:val="24"/>
        </w:rPr>
        <w:t>ivers of deforestation</w:t>
      </w:r>
      <w:r w:rsidR="005D1687">
        <w:rPr>
          <w:rFonts w:eastAsia="Times New Roman" w:cs="Times New Roman"/>
          <w:noProof/>
          <w:szCs w:val="24"/>
        </w:rPr>
        <w:t xml:space="preserve"> </w:t>
      </w:r>
      <w:r w:rsidR="00F72157">
        <w:rPr>
          <w:rFonts w:eastAsia="Times New Roman" w:cs="Times New Roman"/>
          <w:noProof/>
          <w:szCs w:val="24"/>
        </w:rPr>
        <w:t xml:space="preserve">also </w:t>
      </w:r>
      <w:r w:rsidR="005D1687">
        <w:rPr>
          <w:rFonts w:eastAsia="Times New Roman" w:cs="Times New Roman"/>
          <w:noProof/>
          <w:szCs w:val="24"/>
        </w:rPr>
        <w:t>vary geographically</w:t>
      </w:r>
      <w:r w:rsidRPr="007C1494">
        <w:rPr>
          <w:rFonts w:eastAsia="Times New Roman" w:cs="Times New Roman"/>
          <w:noProof/>
          <w:szCs w:val="24"/>
        </w:rPr>
        <w:t xml:space="preserve">. Expansion of agricultural land dedicated to palm oil plantations is a major cause of deforestation in Southeast Asia, for example, while </w:t>
      </w:r>
      <w:r w:rsidR="00316685" w:rsidRPr="007C1494">
        <w:rPr>
          <w:rFonts w:eastAsia="Times New Roman" w:cs="Times New Roman"/>
          <w:noProof/>
          <w:szCs w:val="24"/>
        </w:rPr>
        <w:t>clearing of forests for</w:t>
      </w:r>
      <w:r w:rsidRPr="007C1494">
        <w:rPr>
          <w:rFonts w:eastAsia="Times New Roman" w:cs="Times New Roman"/>
          <w:noProof/>
          <w:szCs w:val="24"/>
        </w:rPr>
        <w:t xml:space="preserve"> pastures for cattle</w:t>
      </w:r>
      <w:r w:rsidR="00D56869">
        <w:rPr>
          <w:rFonts w:eastAsia="Times New Roman" w:cs="Times New Roman"/>
          <w:noProof/>
          <w:szCs w:val="24"/>
        </w:rPr>
        <w:t xml:space="preserve"> and for</w:t>
      </w:r>
      <w:r w:rsidR="00316685" w:rsidRPr="007C1494" w:rsidDel="00AF4FF2">
        <w:rPr>
          <w:rFonts w:eastAsia="Times New Roman" w:cs="Times New Roman"/>
          <w:noProof/>
          <w:szCs w:val="24"/>
        </w:rPr>
        <w:t xml:space="preserve"> </w:t>
      </w:r>
      <w:r w:rsidRPr="007C1494">
        <w:rPr>
          <w:rFonts w:eastAsia="Times New Roman" w:cs="Times New Roman"/>
          <w:noProof/>
          <w:szCs w:val="24"/>
        </w:rPr>
        <w:t xml:space="preserve">soy plantations </w:t>
      </w:r>
      <w:r w:rsidR="001A4082" w:rsidRPr="007C1494">
        <w:rPr>
          <w:rFonts w:eastAsia="Times New Roman" w:cs="Times New Roman"/>
          <w:noProof/>
          <w:szCs w:val="24"/>
        </w:rPr>
        <w:t>and land speculation (land grabbing</w:t>
      </w:r>
      <w:r w:rsidR="0000419B">
        <w:rPr>
          <w:rFonts w:eastAsia="Times New Roman" w:cs="Times New Roman"/>
          <w:noProof/>
          <w:szCs w:val="24"/>
        </w:rPr>
        <w:t xml:space="preserve">, often associated with forced </w:t>
      </w:r>
      <w:r w:rsidR="00EC51B7">
        <w:rPr>
          <w:rFonts w:eastAsia="Times New Roman" w:cs="Times New Roman"/>
          <w:noProof/>
          <w:szCs w:val="24"/>
        </w:rPr>
        <w:t>displacement</w:t>
      </w:r>
      <w:r w:rsidR="0000419B">
        <w:rPr>
          <w:rFonts w:eastAsia="Times New Roman" w:cs="Times New Roman"/>
          <w:noProof/>
          <w:szCs w:val="24"/>
        </w:rPr>
        <w:t xml:space="preserve"> of local communities</w:t>
      </w:r>
      <w:r w:rsidR="001A4082" w:rsidRPr="007C1494">
        <w:rPr>
          <w:rFonts w:eastAsia="Times New Roman" w:cs="Times New Roman"/>
          <w:noProof/>
          <w:szCs w:val="24"/>
        </w:rPr>
        <w:t xml:space="preserve">) </w:t>
      </w:r>
      <w:r w:rsidRPr="007C1494">
        <w:rPr>
          <w:rFonts w:eastAsia="Times New Roman" w:cs="Times New Roman"/>
          <w:noProof/>
          <w:szCs w:val="24"/>
        </w:rPr>
        <w:t xml:space="preserve">are the top drivers in South America. </w:t>
      </w:r>
      <w:r w:rsidR="00D56869">
        <w:rPr>
          <w:rFonts w:eastAsia="Times New Roman" w:cs="Times New Roman"/>
          <w:noProof/>
          <w:szCs w:val="24"/>
        </w:rPr>
        <w:t xml:space="preserve">The expansion of cocoa plantations has had a relevant impact on deforestation in Central and West Africa, while other areas of the continent </w:t>
      </w:r>
      <w:r w:rsidR="000D1E26">
        <w:rPr>
          <w:rFonts w:eastAsia="Times New Roman" w:cs="Times New Roman"/>
          <w:noProof/>
          <w:szCs w:val="24"/>
        </w:rPr>
        <w:t>have more mixed factors in play</w:t>
      </w:r>
      <w:r w:rsidR="000D1E26">
        <w:rPr>
          <w:rStyle w:val="FootnoteReference"/>
          <w:rFonts w:eastAsia="Times New Roman" w:cs="Times New Roman"/>
          <w:noProof/>
          <w:szCs w:val="24"/>
        </w:rPr>
        <w:footnoteReference w:id="50"/>
      </w:r>
      <w:r w:rsidR="000D1E26">
        <w:rPr>
          <w:rFonts w:eastAsia="Times New Roman" w:cs="Times New Roman"/>
          <w:noProof/>
          <w:szCs w:val="24"/>
        </w:rPr>
        <w:t>.</w:t>
      </w:r>
    </w:p>
    <w:p w14:paraId="23978EAE" w14:textId="52C0FEE3" w:rsidR="00FF2375" w:rsidRDefault="008F16F6" w:rsidP="00D00BCF">
      <w:pPr>
        <w:jc w:val="both"/>
        <w:rPr>
          <w:rFonts w:eastAsia="Times New Roman" w:cs="Times New Roman"/>
          <w:noProof/>
          <w:szCs w:val="24"/>
        </w:rPr>
      </w:pPr>
      <w:r>
        <w:rPr>
          <w:rFonts w:eastAsia="Times New Roman" w:cs="Times New Roman"/>
          <w:noProof/>
          <w:szCs w:val="24"/>
        </w:rPr>
        <w:t xml:space="preserve">With regard to European forests, </w:t>
      </w:r>
      <w:r w:rsidRPr="008F16F6">
        <w:rPr>
          <w:rFonts w:eastAsia="Times New Roman" w:cs="Times New Roman"/>
          <w:noProof/>
          <w:szCs w:val="24"/>
        </w:rPr>
        <w:t xml:space="preserve">FAO’s 2020 Global Forest Resources Assessment indicates that Europe has </w:t>
      </w:r>
      <w:r w:rsidR="00F206D7">
        <w:rPr>
          <w:rFonts w:eastAsia="Times New Roman" w:cs="Times New Roman"/>
          <w:noProof/>
          <w:szCs w:val="24"/>
        </w:rPr>
        <w:t>seen a</w:t>
      </w:r>
      <w:r w:rsidRPr="008F16F6">
        <w:rPr>
          <w:rFonts w:eastAsia="Times New Roman" w:cs="Times New Roman"/>
          <w:noProof/>
          <w:szCs w:val="24"/>
        </w:rPr>
        <w:t xml:space="preserve"> net forest expansion in each of the three decades </w:t>
      </w:r>
      <w:r w:rsidR="00F206D7">
        <w:rPr>
          <w:rFonts w:eastAsia="Times New Roman" w:cs="Times New Roman"/>
          <w:noProof/>
          <w:szCs w:val="24"/>
        </w:rPr>
        <w:t xml:space="preserve">between </w:t>
      </w:r>
      <w:r w:rsidRPr="008F16F6">
        <w:rPr>
          <w:rFonts w:eastAsia="Times New Roman" w:cs="Times New Roman"/>
          <w:noProof/>
          <w:szCs w:val="24"/>
        </w:rPr>
        <w:t>1990-2020. The State of Eur</w:t>
      </w:r>
      <w:r>
        <w:rPr>
          <w:rFonts w:eastAsia="Times New Roman" w:cs="Times New Roman"/>
          <w:noProof/>
          <w:szCs w:val="24"/>
        </w:rPr>
        <w:t>ope’s Forests 2020</w:t>
      </w:r>
      <w:r w:rsidRPr="008F16F6">
        <w:rPr>
          <w:rFonts w:eastAsia="Times New Roman" w:cs="Times New Roman"/>
          <w:noProof/>
          <w:szCs w:val="24"/>
        </w:rPr>
        <w:t xml:space="preserve"> </w:t>
      </w:r>
      <w:r>
        <w:rPr>
          <w:rFonts w:eastAsia="Times New Roman" w:cs="Times New Roman"/>
          <w:noProof/>
          <w:szCs w:val="24"/>
        </w:rPr>
        <w:t>reports</w:t>
      </w:r>
      <w:r w:rsidRPr="008F16F6">
        <w:rPr>
          <w:rFonts w:eastAsia="Times New Roman" w:cs="Times New Roman"/>
          <w:noProof/>
          <w:szCs w:val="24"/>
        </w:rPr>
        <w:t xml:space="preserve"> that forest</w:t>
      </w:r>
      <w:r w:rsidR="00F206D7">
        <w:rPr>
          <w:rFonts w:eastAsia="Times New Roman" w:cs="Times New Roman"/>
          <w:noProof/>
          <w:szCs w:val="24"/>
        </w:rPr>
        <w:t xml:space="preserve"> </w:t>
      </w:r>
      <w:r w:rsidR="00E34C28">
        <w:rPr>
          <w:rFonts w:eastAsia="Times New Roman" w:cs="Times New Roman"/>
          <w:noProof/>
          <w:szCs w:val="24"/>
        </w:rPr>
        <w:t>cover</w:t>
      </w:r>
      <w:r w:rsidRPr="008F16F6">
        <w:rPr>
          <w:rFonts w:eastAsia="Times New Roman" w:cs="Times New Roman"/>
          <w:noProof/>
          <w:szCs w:val="24"/>
        </w:rPr>
        <w:t xml:space="preserve"> across Europe </w:t>
      </w:r>
      <w:r w:rsidR="00F206D7" w:rsidRPr="008F16F6">
        <w:rPr>
          <w:rFonts w:eastAsia="Times New Roman" w:cs="Times New Roman"/>
          <w:noProof/>
          <w:szCs w:val="24"/>
        </w:rPr>
        <w:t>continuously</w:t>
      </w:r>
      <w:r w:rsidRPr="008F16F6">
        <w:rPr>
          <w:rFonts w:eastAsia="Times New Roman" w:cs="Times New Roman"/>
          <w:noProof/>
          <w:szCs w:val="24"/>
        </w:rPr>
        <w:t xml:space="preserve"> </w:t>
      </w:r>
      <w:r w:rsidR="00F206D7">
        <w:rPr>
          <w:rFonts w:eastAsia="Times New Roman" w:cs="Times New Roman"/>
          <w:noProof/>
          <w:szCs w:val="24"/>
        </w:rPr>
        <w:t>increased between</w:t>
      </w:r>
      <w:r w:rsidRPr="008F16F6">
        <w:rPr>
          <w:rFonts w:eastAsia="Times New Roman" w:cs="Times New Roman"/>
          <w:noProof/>
          <w:szCs w:val="24"/>
        </w:rPr>
        <w:t xml:space="preserve">1990-2020, although the rate of </w:t>
      </w:r>
      <w:r w:rsidR="00F206D7">
        <w:rPr>
          <w:rFonts w:eastAsia="Times New Roman" w:cs="Times New Roman"/>
          <w:noProof/>
          <w:szCs w:val="24"/>
        </w:rPr>
        <w:t>increase</w:t>
      </w:r>
      <w:r w:rsidRPr="008F16F6">
        <w:rPr>
          <w:rFonts w:eastAsia="Times New Roman" w:cs="Times New Roman"/>
          <w:noProof/>
          <w:szCs w:val="24"/>
        </w:rPr>
        <w:t xml:space="preserve"> is </w:t>
      </w:r>
      <w:r w:rsidR="00F206D7">
        <w:rPr>
          <w:rFonts w:eastAsia="Times New Roman" w:cs="Times New Roman"/>
          <w:noProof/>
          <w:szCs w:val="24"/>
        </w:rPr>
        <w:t>slowing down</w:t>
      </w:r>
      <w:r w:rsidRPr="008F16F6">
        <w:rPr>
          <w:rFonts w:eastAsia="Times New Roman" w:cs="Times New Roman"/>
          <w:noProof/>
          <w:szCs w:val="24"/>
        </w:rPr>
        <w:t>.</w:t>
      </w:r>
      <w:r>
        <w:rPr>
          <w:rStyle w:val="FootnoteReference"/>
          <w:rFonts w:eastAsia="Times New Roman" w:cs="Times New Roman"/>
          <w:noProof/>
          <w:szCs w:val="24"/>
        </w:rPr>
        <w:footnoteReference w:id="51"/>
      </w:r>
      <w:r>
        <w:rPr>
          <w:rFonts w:eastAsia="Times New Roman" w:cs="Times New Roman"/>
          <w:noProof/>
          <w:szCs w:val="24"/>
        </w:rPr>
        <w:t xml:space="preserve"> </w:t>
      </w:r>
    </w:p>
    <w:p w14:paraId="30F8AD9D" w14:textId="41AF5CD4" w:rsidR="00E34C28" w:rsidRDefault="00E34C28" w:rsidP="00D00BCF">
      <w:pPr>
        <w:jc w:val="both"/>
        <w:rPr>
          <w:rFonts w:eastAsia="Times New Roman" w:cs="Times New Roman"/>
          <w:noProof/>
          <w:szCs w:val="24"/>
        </w:rPr>
      </w:pPr>
      <w:r>
        <w:rPr>
          <w:rFonts w:eastAsia="Times New Roman" w:cs="Times New Roman"/>
          <w:noProof/>
          <w:szCs w:val="24"/>
        </w:rPr>
        <w:t xml:space="preserve">The picture is, however, a bit different in terms of </w:t>
      </w:r>
      <w:r w:rsidR="00F206D7">
        <w:rPr>
          <w:rFonts w:eastAsia="Times New Roman" w:cs="Times New Roman"/>
          <w:noProof/>
          <w:szCs w:val="24"/>
        </w:rPr>
        <w:t>a</w:t>
      </w:r>
      <w:r w:rsidR="008F16F6" w:rsidRPr="008F16F6">
        <w:rPr>
          <w:rFonts w:eastAsia="Times New Roman" w:cs="Times New Roman"/>
          <w:noProof/>
          <w:szCs w:val="24"/>
        </w:rPr>
        <w:t xml:space="preserve">nnual </w:t>
      </w:r>
      <w:r>
        <w:rPr>
          <w:rFonts w:eastAsia="Times New Roman" w:cs="Times New Roman"/>
          <w:noProof/>
          <w:szCs w:val="24"/>
        </w:rPr>
        <w:t>gross</w:t>
      </w:r>
      <w:r w:rsidR="00F206D7" w:rsidDel="00E34C28">
        <w:rPr>
          <w:rFonts w:eastAsia="Times New Roman" w:cs="Times New Roman"/>
          <w:noProof/>
          <w:szCs w:val="24"/>
        </w:rPr>
        <w:t xml:space="preserve"> </w:t>
      </w:r>
      <w:r w:rsidR="008F16F6" w:rsidRPr="008F16F6">
        <w:rPr>
          <w:rFonts w:eastAsia="Times New Roman" w:cs="Times New Roman"/>
          <w:noProof/>
          <w:szCs w:val="24"/>
        </w:rPr>
        <w:t>deforestation</w:t>
      </w:r>
      <w:r>
        <w:rPr>
          <w:rFonts w:eastAsia="Times New Roman" w:cs="Times New Roman"/>
          <w:noProof/>
          <w:szCs w:val="24"/>
        </w:rPr>
        <w:t xml:space="preserve">, which does not take into account afforestation and reforestation efforts. Gross deforestation </w:t>
      </w:r>
      <w:r w:rsidR="008F16F6" w:rsidRPr="008F16F6">
        <w:rPr>
          <w:rFonts w:eastAsia="Times New Roman" w:cs="Times New Roman"/>
          <w:noProof/>
          <w:szCs w:val="24"/>
        </w:rPr>
        <w:t>across the whole of Europe (including the Russian Federation)</w:t>
      </w:r>
      <w:r>
        <w:rPr>
          <w:rFonts w:eastAsia="Times New Roman" w:cs="Times New Roman"/>
          <w:noProof/>
          <w:szCs w:val="24"/>
        </w:rPr>
        <w:t>,</w:t>
      </w:r>
      <w:r w:rsidR="008F16F6" w:rsidRPr="008F16F6">
        <w:rPr>
          <w:rFonts w:eastAsia="Times New Roman" w:cs="Times New Roman"/>
          <w:noProof/>
          <w:szCs w:val="24"/>
        </w:rPr>
        <w:t xml:space="preserve"> increased from 88</w:t>
      </w:r>
      <w:r>
        <w:rPr>
          <w:rFonts w:eastAsia="Times New Roman" w:cs="Times New Roman"/>
          <w:noProof/>
          <w:szCs w:val="24"/>
        </w:rPr>
        <w:t>,000</w:t>
      </w:r>
      <w:r w:rsidR="008F16F6" w:rsidRPr="008F16F6">
        <w:rPr>
          <w:rFonts w:eastAsia="Times New Roman" w:cs="Times New Roman"/>
          <w:noProof/>
          <w:szCs w:val="24"/>
        </w:rPr>
        <w:t xml:space="preserve"> h</w:t>
      </w:r>
      <w:r>
        <w:rPr>
          <w:rFonts w:eastAsia="Times New Roman" w:cs="Times New Roman"/>
          <w:noProof/>
          <w:szCs w:val="24"/>
        </w:rPr>
        <w:t>ectares in</w:t>
      </w:r>
      <w:r w:rsidR="008F16F6" w:rsidRPr="008F16F6">
        <w:rPr>
          <w:rFonts w:eastAsia="Times New Roman" w:cs="Times New Roman"/>
          <w:noProof/>
          <w:szCs w:val="24"/>
        </w:rPr>
        <w:t xml:space="preserve"> 1990-2000, to 201</w:t>
      </w:r>
      <w:r>
        <w:rPr>
          <w:rFonts w:eastAsia="Times New Roman" w:cs="Times New Roman"/>
          <w:noProof/>
          <w:szCs w:val="24"/>
        </w:rPr>
        <w:t>,000</w:t>
      </w:r>
      <w:r w:rsidR="008F16F6" w:rsidRPr="008F16F6">
        <w:rPr>
          <w:rFonts w:eastAsia="Times New Roman" w:cs="Times New Roman"/>
          <w:noProof/>
          <w:szCs w:val="24"/>
        </w:rPr>
        <w:t xml:space="preserve"> h</w:t>
      </w:r>
      <w:r>
        <w:rPr>
          <w:rFonts w:eastAsia="Times New Roman" w:cs="Times New Roman"/>
          <w:noProof/>
          <w:szCs w:val="24"/>
        </w:rPr>
        <w:t>ectares in</w:t>
      </w:r>
      <w:r w:rsidR="008F16F6" w:rsidRPr="008F16F6">
        <w:rPr>
          <w:rFonts w:eastAsia="Times New Roman" w:cs="Times New Roman"/>
          <w:noProof/>
          <w:szCs w:val="24"/>
        </w:rPr>
        <w:t xml:space="preserve"> 2010-2015, </w:t>
      </w:r>
      <w:r>
        <w:rPr>
          <w:rFonts w:eastAsia="Times New Roman" w:cs="Times New Roman"/>
          <w:noProof/>
          <w:szCs w:val="24"/>
        </w:rPr>
        <w:t xml:space="preserve">and </w:t>
      </w:r>
      <w:r w:rsidR="008F16F6" w:rsidRPr="008F16F6">
        <w:rPr>
          <w:rFonts w:eastAsia="Times New Roman" w:cs="Times New Roman"/>
          <w:noProof/>
          <w:szCs w:val="24"/>
        </w:rPr>
        <w:t xml:space="preserve">then </w:t>
      </w:r>
      <w:r w:rsidR="00F206D7">
        <w:rPr>
          <w:rFonts w:eastAsia="Times New Roman" w:cs="Times New Roman"/>
          <w:noProof/>
          <w:szCs w:val="24"/>
        </w:rPr>
        <w:t xml:space="preserve">fell </w:t>
      </w:r>
      <w:r w:rsidR="008F16F6" w:rsidRPr="008F16F6">
        <w:rPr>
          <w:rFonts w:eastAsia="Times New Roman" w:cs="Times New Roman"/>
          <w:noProof/>
          <w:szCs w:val="24"/>
        </w:rPr>
        <w:t>to 69</w:t>
      </w:r>
      <w:r>
        <w:rPr>
          <w:rFonts w:eastAsia="Times New Roman" w:cs="Times New Roman"/>
          <w:noProof/>
          <w:szCs w:val="24"/>
        </w:rPr>
        <w:t>,000</w:t>
      </w:r>
      <w:r w:rsidR="008F16F6" w:rsidRPr="008F16F6">
        <w:rPr>
          <w:rFonts w:eastAsia="Times New Roman" w:cs="Times New Roman"/>
          <w:noProof/>
          <w:szCs w:val="24"/>
        </w:rPr>
        <w:t xml:space="preserve"> h</w:t>
      </w:r>
      <w:r>
        <w:rPr>
          <w:rFonts w:eastAsia="Times New Roman" w:cs="Times New Roman"/>
          <w:noProof/>
          <w:szCs w:val="24"/>
        </w:rPr>
        <w:t>ectares in</w:t>
      </w:r>
      <w:r w:rsidR="008F16F6" w:rsidRPr="008F16F6">
        <w:rPr>
          <w:rFonts w:eastAsia="Times New Roman" w:cs="Times New Roman"/>
          <w:noProof/>
          <w:szCs w:val="24"/>
        </w:rPr>
        <w:t xml:space="preserve"> 2015-2020 (FAO, 2020).</w:t>
      </w:r>
    </w:p>
    <w:p w14:paraId="750CD9CF" w14:textId="097112BB" w:rsidR="00843043" w:rsidRDefault="00843043" w:rsidP="00843043">
      <w:pPr>
        <w:jc w:val="both"/>
        <w:rPr>
          <w:noProof/>
        </w:rPr>
      </w:pPr>
      <w:r>
        <w:rPr>
          <w:noProof/>
        </w:rPr>
        <w:t>As regards the situation of forests within the EU, the State of Europe’s Forests 2020 report</w:t>
      </w:r>
      <w:r>
        <w:rPr>
          <w:rStyle w:val="FootnoteReference"/>
          <w:noProof/>
        </w:rPr>
        <w:footnoteReference w:id="52"/>
      </w:r>
      <w:r>
        <w:rPr>
          <w:noProof/>
        </w:rPr>
        <w:t xml:space="preserve"> states that, b</w:t>
      </w:r>
      <w:r w:rsidRPr="00396DE9">
        <w:rPr>
          <w:noProof/>
        </w:rPr>
        <w:t>etween 1990 and 2020, the area of forests in Europe has increased by 9%, carbon stored in the biomass has grown by 50% and wood supply has risen by 40%</w:t>
      </w:r>
      <w:r>
        <w:rPr>
          <w:noProof/>
        </w:rPr>
        <w:t xml:space="preserve">. </w:t>
      </w:r>
      <w:r w:rsidRPr="00A406A2">
        <w:rPr>
          <w:noProof/>
        </w:rPr>
        <w:t>However, less than 5% of European forests areas in the EU are considered undisturbed, or natural, according to the European Environment Agency’s State of the Environment 2020 report</w:t>
      </w:r>
      <w:r>
        <w:rPr>
          <w:rStyle w:val="FootnoteReference"/>
          <w:noProof/>
        </w:rPr>
        <w:footnoteReference w:id="53"/>
      </w:r>
      <w:r>
        <w:rPr>
          <w:noProof/>
        </w:rPr>
        <w:t>.</w:t>
      </w:r>
    </w:p>
    <w:p w14:paraId="3B7546B0" w14:textId="353D3635" w:rsidR="008F16F6" w:rsidRPr="007C1494" w:rsidRDefault="008F16F6" w:rsidP="00D00BCF">
      <w:pPr>
        <w:jc w:val="both"/>
        <w:rPr>
          <w:rFonts w:eastAsia="Times New Roman" w:cs="Times New Roman"/>
          <w:noProof/>
          <w:szCs w:val="24"/>
        </w:rPr>
      </w:pPr>
      <w:r>
        <w:rPr>
          <w:rFonts w:eastAsia="Times New Roman" w:cs="Times New Roman"/>
          <w:noProof/>
          <w:szCs w:val="24"/>
        </w:rPr>
        <w:t>As</w:t>
      </w:r>
      <w:r w:rsidRPr="008F16F6">
        <w:rPr>
          <w:rFonts w:eastAsia="Times New Roman" w:cs="Times New Roman"/>
          <w:noProof/>
          <w:szCs w:val="24"/>
        </w:rPr>
        <w:t xml:space="preserve"> the EU forests are considerably less under threat of deforestation and degr</w:t>
      </w:r>
      <w:r>
        <w:rPr>
          <w:rFonts w:eastAsia="Times New Roman" w:cs="Times New Roman"/>
          <w:noProof/>
          <w:szCs w:val="24"/>
        </w:rPr>
        <w:t>adation than forests elsewhere, it is expected that the proposed initiative will have less impact in the EU</w:t>
      </w:r>
      <w:r w:rsidRPr="008F16F6">
        <w:rPr>
          <w:rFonts w:eastAsia="Times New Roman" w:cs="Times New Roman"/>
          <w:noProof/>
          <w:szCs w:val="24"/>
        </w:rPr>
        <w:t xml:space="preserve"> in terms of costs for </w:t>
      </w:r>
      <w:r w:rsidR="006B739E" w:rsidRPr="00D6567C">
        <w:rPr>
          <w:rFonts w:eastAsia="Times New Roman" w:cs="Times New Roman"/>
          <w:noProof/>
          <w:szCs w:val="24"/>
        </w:rPr>
        <w:t>operators sourcing relevant commodities domestically</w:t>
      </w:r>
      <w:r w:rsidRPr="00D6567C">
        <w:rPr>
          <w:rFonts w:eastAsia="Times New Roman" w:cs="Times New Roman"/>
          <w:noProof/>
          <w:szCs w:val="24"/>
        </w:rPr>
        <w:t>.</w:t>
      </w:r>
      <w:r w:rsidRPr="008F16F6">
        <w:rPr>
          <w:rFonts w:eastAsia="Times New Roman" w:cs="Times New Roman"/>
          <w:noProof/>
          <w:szCs w:val="24"/>
        </w:rPr>
        <w:t xml:space="preserve"> However, where there are serious problems with deforestation and degradation, the legislation will provide a basis to tackle them.</w:t>
      </w:r>
    </w:p>
    <w:p w14:paraId="069727AB" w14:textId="53B5C38A" w:rsidR="00913374" w:rsidRPr="007C1494" w:rsidRDefault="00913374" w:rsidP="00913374">
      <w:pPr>
        <w:jc w:val="both"/>
        <w:rPr>
          <w:rFonts w:eastAsia="Times New Roman" w:cs="Times New Roman"/>
          <w:noProof/>
          <w:szCs w:val="24"/>
        </w:rPr>
      </w:pPr>
      <w:r w:rsidRPr="007C1494">
        <w:rPr>
          <w:rFonts w:eastAsia="Times New Roman" w:cs="Times New Roman"/>
          <w:noProof/>
          <w:szCs w:val="24"/>
        </w:rPr>
        <w:t>The impact of deforestation and forest degradation on greenhouse gas emissions is also a source of concern. The Intergovernmental Panel on Climate Change (IPCC)</w:t>
      </w:r>
      <w:r w:rsidRPr="007C1494">
        <w:rPr>
          <w:rStyle w:val="FootnoteReference"/>
          <w:rFonts w:eastAsia="Times New Roman" w:cs="Times New Roman"/>
          <w:noProof/>
          <w:szCs w:val="24"/>
        </w:rPr>
        <w:footnoteReference w:id="54"/>
      </w:r>
      <w:r w:rsidRPr="007C1494">
        <w:rPr>
          <w:rFonts w:eastAsia="Times New Roman" w:cs="Times New Roman"/>
          <w:noProof/>
          <w:szCs w:val="24"/>
        </w:rPr>
        <w:t xml:space="preserve"> estimates that 23% of total anthropogenic greenhouse gas emissions (2007-2016) come from agriculture, forestry and other land uses. About 11% of emissions are from deforestation and conversion of natural ecosystems, while the remaining 12% are direct emissions from agricultural production such as livestock and fertilizers.</w:t>
      </w:r>
      <w:r w:rsidRPr="007C1494">
        <w:rPr>
          <w:noProof/>
        </w:rPr>
        <w:t xml:space="preserve"> </w:t>
      </w:r>
      <w:r w:rsidRPr="007C1494">
        <w:rPr>
          <w:rFonts w:eastAsia="Times New Roman" w:cs="Times New Roman"/>
          <w:noProof/>
          <w:szCs w:val="24"/>
        </w:rPr>
        <w:t>It is crucial to consider forest degradation as a risk factor of deforestation and as an indicator of climate change and climate oscillations</w:t>
      </w:r>
      <w:r w:rsidRPr="007C1494">
        <w:rPr>
          <w:rStyle w:val="FootnoteReference"/>
          <w:rFonts w:eastAsia="Times New Roman" w:cs="Times New Roman"/>
          <w:noProof/>
          <w:szCs w:val="24"/>
        </w:rPr>
        <w:footnoteReference w:id="55"/>
      </w:r>
      <w:r w:rsidRPr="007C1494">
        <w:rPr>
          <w:rFonts w:eastAsia="Times New Roman" w:cs="Times New Roman"/>
          <w:noProof/>
          <w:szCs w:val="24"/>
        </w:rPr>
        <w:t>.</w:t>
      </w:r>
    </w:p>
    <w:p w14:paraId="6FD9893C" w14:textId="50A00A1A" w:rsidR="00913374" w:rsidRPr="007C1494" w:rsidRDefault="00913374" w:rsidP="00913374">
      <w:pPr>
        <w:jc w:val="both"/>
        <w:rPr>
          <w:rFonts w:eastAsia="Times New Roman" w:cs="Times New Roman"/>
          <w:noProof/>
          <w:szCs w:val="24"/>
        </w:rPr>
      </w:pPr>
      <w:r w:rsidRPr="007C1494">
        <w:rPr>
          <w:rFonts w:eastAsia="Times New Roman" w:cs="Times New Roman"/>
          <w:noProof/>
          <w:szCs w:val="24"/>
        </w:rPr>
        <w:t>The IPCC has also argued that most paths to keeping global warming within the limits agreed in the Paris Agreement involve reducing deforestation. “</w:t>
      </w:r>
      <w:r w:rsidRPr="00DB7FB7">
        <w:rPr>
          <w:rFonts w:eastAsia="Times New Roman" w:cs="Times New Roman"/>
          <w:i/>
          <w:noProof/>
          <w:szCs w:val="24"/>
        </w:rPr>
        <w:t>All assessed modelled pathways that limit warming to 1.5ºC or well below 2°C require land-based mitigation and land-use change, with most including different combinations of reforestation, afforestation, reduced deforestation, and bioenergy.</w:t>
      </w:r>
      <w:r w:rsidR="00012C96" w:rsidRPr="007C1494">
        <w:rPr>
          <w:rFonts w:eastAsia="Times New Roman" w:cs="Times New Roman"/>
          <w:noProof/>
          <w:szCs w:val="24"/>
        </w:rPr>
        <w:t>”</w:t>
      </w:r>
      <w:r w:rsidRPr="007C1494">
        <w:rPr>
          <w:rStyle w:val="FootnoteReference"/>
          <w:rFonts w:eastAsia="Times New Roman" w:cs="Times New Roman"/>
          <w:noProof/>
          <w:szCs w:val="24"/>
        </w:rPr>
        <w:footnoteReference w:id="56"/>
      </w:r>
    </w:p>
    <w:p w14:paraId="58504366" w14:textId="0683CA63" w:rsidR="00F72157" w:rsidRPr="007C1494" w:rsidRDefault="00F72157" w:rsidP="00F72157">
      <w:pPr>
        <w:jc w:val="both"/>
        <w:rPr>
          <w:rFonts w:eastAsia="Times New Roman" w:cs="Times New Roman"/>
          <w:noProof/>
          <w:szCs w:val="24"/>
        </w:rPr>
      </w:pPr>
      <w:r w:rsidRPr="007C1494">
        <w:rPr>
          <w:rFonts w:eastAsia="Times New Roman" w:cs="Times New Roman"/>
          <w:noProof/>
          <w:szCs w:val="24"/>
        </w:rPr>
        <w:t>Deforestation and forest degradation are among the top drivers of biodiversity loss.</w:t>
      </w:r>
      <w:r w:rsidR="00247BE5">
        <w:rPr>
          <w:rStyle w:val="FootnoteReference"/>
          <w:rFonts w:eastAsia="Times New Roman" w:cs="Times New Roman"/>
          <w:noProof/>
          <w:szCs w:val="24"/>
        </w:rPr>
        <w:footnoteReference w:id="57"/>
      </w:r>
      <w:r w:rsidRPr="007C1494">
        <w:rPr>
          <w:rFonts w:eastAsia="Times New Roman" w:cs="Times New Roman"/>
          <w:noProof/>
          <w:szCs w:val="24"/>
        </w:rPr>
        <w:t xml:space="preserve"> For terrestrial and freshwater ecosystems, land-use change has had the largest relative negative impact on nature since 1970. Agricultural expansion is the most widespread form of land-use change. This expansion has come largely at the expense of forests.</w:t>
      </w:r>
    </w:p>
    <w:p w14:paraId="0772B2E5" w14:textId="17E23BF4" w:rsidR="00913374" w:rsidRPr="007C1494" w:rsidRDefault="00913374" w:rsidP="00913374">
      <w:pPr>
        <w:jc w:val="both"/>
        <w:rPr>
          <w:rFonts w:eastAsia="Times New Roman" w:cs="Times New Roman"/>
          <w:noProof/>
          <w:szCs w:val="24"/>
        </w:rPr>
      </w:pPr>
      <w:r w:rsidRPr="007C1494">
        <w:rPr>
          <w:rFonts w:eastAsia="Times New Roman" w:cs="Times New Roman"/>
          <w:noProof/>
          <w:szCs w:val="24"/>
        </w:rPr>
        <w:t xml:space="preserve">The contribution </w:t>
      </w:r>
      <w:r w:rsidR="00F72157">
        <w:rPr>
          <w:rFonts w:eastAsia="Times New Roman" w:cs="Times New Roman"/>
          <w:noProof/>
          <w:szCs w:val="24"/>
        </w:rPr>
        <w:t xml:space="preserve">of deforestation and forest degradation </w:t>
      </w:r>
      <w:r w:rsidRPr="007C1494">
        <w:rPr>
          <w:rFonts w:eastAsia="Times New Roman" w:cs="Times New Roman"/>
          <w:noProof/>
          <w:szCs w:val="24"/>
        </w:rPr>
        <w:t xml:space="preserve">to biodiversity loss is </w:t>
      </w:r>
      <w:r w:rsidR="00F72157">
        <w:rPr>
          <w:rFonts w:eastAsia="Times New Roman" w:cs="Times New Roman"/>
          <w:noProof/>
          <w:szCs w:val="24"/>
        </w:rPr>
        <w:t xml:space="preserve">therefore very </w:t>
      </w:r>
      <w:r w:rsidRPr="007C1494">
        <w:rPr>
          <w:rFonts w:eastAsia="Times New Roman" w:cs="Times New Roman"/>
          <w:noProof/>
          <w:szCs w:val="24"/>
        </w:rPr>
        <w:t>worrying</w:t>
      </w:r>
      <w:r w:rsidR="00F72157">
        <w:rPr>
          <w:rFonts w:eastAsia="Times New Roman" w:cs="Times New Roman"/>
          <w:noProof/>
          <w:szCs w:val="24"/>
        </w:rPr>
        <w:t>.</w:t>
      </w:r>
      <w:r w:rsidRPr="007C1494">
        <w:rPr>
          <w:rFonts w:eastAsia="Times New Roman" w:cs="Times New Roman"/>
          <w:noProof/>
          <w:szCs w:val="24"/>
        </w:rPr>
        <w:t xml:space="preserve"> More species are now threatened with extinction than ever before, according to the Intergovernmental Science-Policy Platform on Biodiversity and Ecosystem Services (IPBES)</w:t>
      </w:r>
      <w:r w:rsidRPr="007C1494">
        <w:rPr>
          <w:rStyle w:val="FootnoteReference"/>
          <w:rFonts w:eastAsia="Times New Roman" w:cs="Times New Roman"/>
          <w:noProof/>
          <w:szCs w:val="24"/>
        </w:rPr>
        <w:footnoteReference w:id="58"/>
      </w:r>
      <w:r w:rsidRPr="007C1494">
        <w:rPr>
          <w:rFonts w:eastAsia="Times New Roman" w:cs="Times New Roman"/>
          <w:noProof/>
          <w:szCs w:val="24"/>
        </w:rPr>
        <w:t xml:space="preserve">. </w:t>
      </w:r>
      <w:r w:rsidR="00065FB5">
        <w:rPr>
          <w:rFonts w:eastAsia="Times New Roman" w:cs="Times New Roman"/>
          <w:noProof/>
          <w:szCs w:val="24"/>
        </w:rPr>
        <w:t>A</w:t>
      </w:r>
      <w:r w:rsidRPr="007C1494">
        <w:rPr>
          <w:rFonts w:eastAsia="Times New Roman" w:cs="Times New Roman"/>
          <w:noProof/>
          <w:szCs w:val="24"/>
        </w:rPr>
        <w:t>round 1 million species already face extinction</w:t>
      </w:r>
      <w:r w:rsidR="00065FB5">
        <w:rPr>
          <w:rFonts w:eastAsia="Times New Roman" w:cs="Times New Roman"/>
          <w:noProof/>
          <w:szCs w:val="24"/>
        </w:rPr>
        <w:t xml:space="preserve"> </w:t>
      </w:r>
      <w:r w:rsidRPr="007C1494">
        <w:rPr>
          <w:rFonts w:eastAsia="Times New Roman" w:cs="Times New Roman"/>
          <w:noProof/>
          <w:szCs w:val="24"/>
        </w:rPr>
        <w:t>unless action is taken to reduce the intensity of drivers of biodiversity loss</w:t>
      </w:r>
      <w:r w:rsidR="00065FB5">
        <w:rPr>
          <w:rFonts w:eastAsia="Times New Roman" w:cs="Times New Roman"/>
          <w:noProof/>
          <w:szCs w:val="24"/>
        </w:rPr>
        <w:t>;</w:t>
      </w:r>
      <w:r w:rsidRPr="007C1494">
        <w:rPr>
          <w:rFonts w:eastAsia="Times New Roman" w:cs="Times New Roman"/>
          <w:noProof/>
          <w:szCs w:val="24"/>
        </w:rPr>
        <w:t xml:space="preserve"> </w:t>
      </w:r>
      <w:r w:rsidR="00065FB5">
        <w:rPr>
          <w:rFonts w:eastAsia="Times New Roman" w:cs="Times New Roman"/>
          <w:noProof/>
          <w:szCs w:val="24"/>
        </w:rPr>
        <w:t>w</w:t>
      </w:r>
      <w:r w:rsidRPr="007C1494">
        <w:rPr>
          <w:rFonts w:eastAsia="Times New Roman" w:cs="Times New Roman"/>
          <w:noProof/>
          <w:szCs w:val="24"/>
        </w:rPr>
        <w:t>ithout, there will be a further acceleration in the global rate of species extinction</w:t>
      </w:r>
      <w:r w:rsidR="00065FB5">
        <w:rPr>
          <w:rFonts w:eastAsia="Times New Roman" w:cs="Times New Roman"/>
          <w:noProof/>
          <w:szCs w:val="24"/>
        </w:rPr>
        <w:t>.</w:t>
      </w:r>
    </w:p>
    <w:p w14:paraId="6D072C0D" w14:textId="22BEC50E" w:rsidR="00244E6A" w:rsidRPr="007C1494" w:rsidRDefault="1FA6A76D" w:rsidP="00D00BCF">
      <w:pPr>
        <w:jc w:val="both"/>
        <w:rPr>
          <w:rFonts w:eastAsia="Times New Roman" w:cs="Times New Roman"/>
          <w:noProof/>
          <w:szCs w:val="24"/>
        </w:rPr>
      </w:pPr>
      <w:r w:rsidRPr="007C1494">
        <w:rPr>
          <w:rFonts w:eastAsia="Times New Roman" w:cs="Times New Roman"/>
          <w:noProof/>
          <w:szCs w:val="24"/>
        </w:rPr>
        <w:t>In addition</w:t>
      </w:r>
      <w:r w:rsidR="660CD3BA" w:rsidRPr="007C1494">
        <w:rPr>
          <w:rFonts w:eastAsia="Times New Roman" w:cs="Times New Roman"/>
          <w:noProof/>
          <w:szCs w:val="24"/>
        </w:rPr>
        <w:t xml:space="preserve"> to </w:t>
      </w:r>
      <w:r w:rsidR="004A3679" w:rsidRPr="007C1494">
        <w:rPr>
          <w:rFonts w:eastAsia="Times New Roman" w:cs="Times New Roman"/>
          <w:noProof/>
          <w:szCs w:val="24"/>
        </w:rPr>
        <w:t xml:space="preserve">contributing to </w:t>
      </w:r>
      <w:r w:rsidR="660CD3BA" w:rsidRPr="007C1494">
        <w:rPr>
          <w:rFonts w:eastAsia="Times New Roman" w:cs="Times New Roman"/>
          <w:noProof/>
          <w:szCs w:val="24"/>
        </w:rPr>
        <w:t>climate change and biodiversity loss</w:t>
      </w:r>
      <w:r w:rsidRPr="007C1494">
        <w:rPr>
          <w:rFonts w:eastAsia="Times New Roman" w:cs="Times New Roman"/>
          <w:noProof/>
          <w:szCs w:val="24"/>
        </w:rPr>
        <w:t>, deforestation and forest degradation</w:t>
      </w:r>
      <w:r w:rsidR="7996788D" w:rsidRPr="007C1494">
        <w:rPr>
          <w:rFonts w:eastAsia="Times New Roman" w:cs="Times New Roman"/>
          <w:noProof/>
          <w:szCs w:val="24"/>
        </w:rPr>
        <w:t xml:space="preserve"> threaten human health in an even more direct way.</w:t>
      </w:r>
      <w:r w:rsidR="5253E2FA" w:rsidRPr="007C1494">
        <w:rPr>
          <w:rFonts w:eastAsia="Times New Roman" w:cs="Times New Roman"/>
          <w:noProof/>
          <w:szCs w:val="24"/>
        </w:rPr>
        <w:t xml:space="preserve"> </w:t>
      </w:r>
      <w:r w:rsidR="00F72157">
        <w:rPr>
          <w:rFonts w:eastAsia="Times New Roman" w:cs="Times New Roman"/>
          <w:noProof/>
          <w:szCs w:val="24"/>
        </w:rPr>
        <w:t xml:space="preserve">Deforestation and degradation can often lead to increased interaction between humans and animals, </w:t>
      </w:r>
      <w:r w:rsidR="00F72157" w:rsidRPr="007C1494">
        <w:rPr>
          <w:rFonts w:eastAsia="Times New Roman" w:cs="Times New Roman"/>
          <w:noProof/>
          <w:szCs w:val="24"/>
        </w:rPr>
        <w:t>increas</w:t>
      </w:r>
      <w:r w:rsidR="00F72157">
        <w:rPr>
          <w:rFonts w:eastAsia="Times New Roman" w:cs="Times New Roman"/>
          <w:noProof/>
          <w:szCs w:val="24"/>
        </w:rPr>
        <w:t>ing</w:t>
      </w:r>
      <w:r w:rsidR="00F72157" w:rsidRPr="007C1494">
        <w:rPr>
          <w:rFonts w:eastAsia="Times New Roman" w:cs="Times New Roman"/>
          <w:noProof/>
          <w:szCs w:val="24"/>
        </w:rPr>
        <w:t xml:space="preserve"> the likelihood of </w:t>
      </w:r>
      <w:r w:rsidR="00F72157">
        <w:rPr>
          <w:rFonts w:eastAsia="Times New Roman" w:cs="Times New Roman"/>
          <w:noProof/>
          <w:szCs w:val="24"/>
        </w:rPr>
        <w:t>zoonotic</w:t>
      </w:r>
      <w:r w:rsidR="00F72157" w:rsidRPr="007C1494">
        <w:rPr>
          <w:rFonts w:eastAsia="Times New Roman" w:cs="Times New Roman"/>
          <w:noProof/>
          <w:szCs w:val="24"/>
        </w:rPr>
        <w:t xml:space="preserve"> diseases spreading from animals to humans</w:t>
      </w:r>
      <w:r w:rsidR="00F72157">
        <w:rPr>
          <w:rFonts w:eastAsia="Times New Roman" w:cs="Times New Roman"/>
          <w:noProof/>
          <w:szCs w:val="24"/>
        </w:rPr>
        <w:t>.</w:t>
      </w:r>
      <w:r w:rsidR="00F72157">
        <w:rPr>
          <w:rStyle w:val="FootnoteReference"/>
          <w:rFonts w:eastAsia="Times New Roman" w:cs="Times New Roman"/>
          <w:noProof/>
          <w:szCs w:val="24"/>
        </w:rPr>
        <w:footnoteReference w:id="59"/>
      </w:r>
      <w:r w:rsidR="00F72157">
        <w:rPr>
          <w:rFonts w:eastAsia="Times New Roman" w:cs="Times New Roman"/>
          <w:noProof/>
          <w:szCs w:val="24"/>
        </w:rPr>
        <w:t xml:space="preserve"> </w:t>
      </w:r>
      <w:r w:rsidR="7996788D" w:rsidRPr="007C1494">
        <w:rPr>
          <w:rFonts w:eastAsia="Times New Roman" w:cs="Times New Roman"/>
          <w:noProof/>
          <w:szCs w:val="24"/>
        </w:rPr>
        <w:t>T</w:t>
      </w:r>
      <w:r w:rsidR="46CB634C" w:rsidRPr="007C1494">
        <w:rPr>
          <w:rFonts w:eastAsia="Times New Roman" w:cs="Times New Roman"/>
          <w:noProof/>
          <w:szCs w:val="24"/>
        </w:rPr>
        <w:t>he</w:t>
      </w:r>
      <w:r w:rsidR="6AF65187" w:rsidRPr="007C1494">
        <w:rPr>
          <w:rFonts w:eastAsia="Times New Roman" w:cs="Times New Roman"/>
          <w:noProof/>
          <w:szCs w:val="24"/>
        </w:rPr>
        <w:t xml:space="preserve"> majority of new infectious diseases affecting humans, including the SARS-CoV2 virus that caused the current COVID-19 pandemic, are zoonotic and their emergence may be linked to </w:t>
      </w:r>
      <w:r w:rsidR="00F72157">
        <w:rPr>
          <w:rFonts w:eastAsia="Times New Roman" w:cs="Times New Roman"/>
          <w:noProof/>
          <w:szCs w:val="24"/>
        </w:rPr>
        <w:t>such interaction</w:t>
      </w:r>
      <w:r w:rsidR="00033FD4" w:rsidRPr="007C1494">
        <w:rPr>
          <w:rFonts w:eastAsia="Times New Roman" w:cs="Times New Roman"/>
          <w:noProof/>
          <w:szCs w:val="24"/>
        </w:rPr>
        <w:t>.</w:t>
      </w:r>
      <w:r w:rsidR="6AF65187" w:rsidRPr="007C1494">
        <w:rPr>
          <w:rFonts w:eastAsia="Times New Roman" w:cs="Times New Roman"/>
          <w:noProof/>
          <w:szCs w:val="24"/>
        </w:rPr>
        <w:t xml:space="preserve"> </w:t>
      </w:r>
      <w:r w:rsidR="00033FD4" w:rsidRPr="007C1494">
        <w:rPr>
          <w:rFonts w:eastAsia="Times New Roman" w:cs="Times New Roman"/>
          <w:noProof/>
          <w:szCs w:val="24"/>
        </w:rPr>
        <w:t xml:space="preserve">Deforestation and </w:t>
      </w:r>
      <w:r w:rsidR="00F72157">
        <w:rPr>
          <w:rFonts w:eastAsia="Times New Roman" w:cs="Times New Roman"/>
          <w:noProof/>
          <w:szCs w:val="24"/>
        </w:rPr>
        <w:t>forest</w:t>
      </w:r>
      <w:r w:rsidR="00033FD4" w:rsidRPr="007C1494">
        <w:rPr>
          <w:rFonts w:eastAsia="Times New Roman" w:cs="Times New Roman"/>
          <w:noProof/>
          <w:szCs w:val="24"/>
        </w:rPr>
        <w:t xml:space="preserve"> fragmentation are increasing the risk of viral disease outbreaks</w:t>
      </w:r>
      <w:r w:rsidR="00033FD4" w:rsidRPr="007C1494">
        <w:rPr>
          <w:rStyle w:val="FootnoteReference"/>
          <w:rFonts w:eastAsia="Times New Roman" w:cs="Times New Roman"/>
          <w:noProof/>
          <w:szCs w:val="24"/>
        </w:rPr>
        <w:footnoteReference w:id="60"/>
      </w:r>
      <w:r w:rsidR="6AF65187" w:rsidRPr="007C1494">
        <w:rPr>
          <w:rFonts w:eastAsia="Times New Roman" w:cs="Times New Roman"/>
          <w:noProof/>
          <w:szCs w:val="24"/>
        </w:rPr>
        <w:t>.</w:t>
      </w:r>
      <w:r w:rsidR="00C159D8" w:rsidRPr="00C159D8">
        <w:rPr>
          <w:rFonts w:eastAsia="Times New Roman" w:cs="Times New Roman"/>
          <w:noProof/>
          <w:szCs w:val="24"/>
        </w:rPr>
        <w:t xml:space="preserve"> </w:t>
      </w:r>
    </w:p>
    <w:p w14:paraId="52FD66B0" w14:textId="0B519041" w:rsidR="007222CA" w:rsidRPr="007C1494" w:rsidRDefault="00335526" w:rsidP="00335526">
      <w:pPr>
        <w:pStyle w:val="Heading2"/>
        <w:rPr>
          <w:noProof/>
        </w:rPr>
      </w:pPr>
      <w:bookmarkStart w:id="28" w:name="_Toc67074975"/>
      <w:bookmarkStart w:id="29" w:name="_Toc75542169"/>
      <w:bookmarkStart w:id="30" w:name="_Toc75543202"/>
      <w:bookmarkStart w:id="31" w:name="_Toc84591890"/>
      <w:r w:rsidRPr="00335526">
        <w:t>2.2</w:t>
      </w:r>
      <w:r w:rsidRPr="00335526">
        <w:tab/>
      </w:r>
      <w:r w:rsidR="007222CA" w:rsidRPr="007C1494">
        <w:rPr>
          <w:noProof/>
        </w:rPr>
        <w:t>Who is affected by the problem?</w:t>
      </w:r>
      <w:bookmarkEnd w:id="28"/>
      <w:bookmarkEnd w:id="29"/>
      <w:bookmarkEnd w:id="30"/>
      <w:bookmarkEnd w:id="31"/>
    </w:p>
    <w:p w14:paraId="5E593D49" w14:textId="23E7291F" w:rsidR="007222CA" w:rsidRPr="007C1494" w:rsidRDefault="00F206D7" w:rsidP="00D00BCF">
      <w:pPr>
        <w:jc w:val="both"/>
        <w:rPr>
          <w:rFonts w:eastAsia="Times New Roman" w:cs="Times New Roman"/>
          <w:noProof/>
          <w:szCs w:val="24"/>
        </w:rPr>
      </w:pPr>
      <w:r>
        <w:rPr>
          <w:rFonts w:eastAsia="Times New Roman" w:cs="Times New Roman"/>
          <w:noProof/>
          <w:szCs w:val="24"/>
        </w:rPr>
        <w:t xml:space="preserve">People </w:t>
      </w:r>
      <w:r w:rsidR="00E72B9D" w:rsidRPr="007C1494">
        <w:rPr>
          <w:rFonts w:eastAsia="Times New Roman" w:cs="Times New Roman"/>
          <w:noProof/>
          <w:szCs w:val="24"/>
        </w:rPr>
        <w:t xml:space="preserve">around the </w:t>
      </w:r>
      <w:r w:rsidR="007222CA" w:rsidRPr="007C1494">
        <w:rPr>
          <w:rFonts w:eastAsia="Times New Roman" w:cs="Times New Roman"/>
          <w:noProof/>
          <w:szCs w:val="24"/>
        </w:rPr>
        <w:t>world are affected by the loss of biodiversity</w:t>
      </w:r>
      <w:r w:rsidR="004A3679" w:rsidRPr="007C1494">
        <w:rPr>
          <w:rFonts w:eastAsia="Times New Roman" w:cs="Times New Roman"/>
          <w:noProof/>
          <w:szCs w:val="24"/>
        </w:rPr>
        <w:t>,</w:t>
      </w:r>
      <w:r w:rsidR="007222CA" w:rsidRPr="007C1494">
        <w:rPr>
          <w:rFonts w:eastAsia="Times New Roman" w:cs="Times New Roman"/>
          <w:noProof/>
          <w:szCs w:val="24"/>
        </w:rPr>
        <w:t xml:space="preserve"> the effects of climate change</w:t>
      </w:r>
      <w:r w:rsidR="004A3679" w:rsidRPr="007C1494">
        <w:rPr>
          <w:rFonts w:eastAsia="Times New Roman" w:cs="Times New Roman"/>
          <w:noProof/>
          <w:szCs w:val="24"/>
        </w:rPr>
        <w:t xml:space="preserve"> and the emergence of new zoonotic diseases</w:t>
      </w:r>
      <w:r w:rsidR="007222CA" w:rsidRPr="007C1494">
        <w:rPr>
          <w:rFonts w:eastAsia="Times New Roman" w:cs="Times New Roman"/>
          <w:noProof/>
          <w:szCs w:val="24"/>
        </w:rPr>
        <w:t xml:space="preserve">. </w:t>
      </w:r>
      <w:r w:rsidR="00DE636B">
        <w:rPr>
          <w:rFonts w:eastAsia="Times New Roman" w:cs="Times New Roman"/>
          <w:noProof/>
          <w:szCs w:val="24"/>
        </w:rPr>
        <w:t xml:space="preserve">Many of </w:t>
      </w:r>
      <w:r w:rsidR="00C6338F" w:rsidRPr="007C1494">
        <w:rPr>
          <w:rFonts w:eastAsia="Times New Roman" w:cs="Times New Roman"/>
          <w:noProof/>
          <w:szCs w:val="24"/>
        </w:rPr>
        <w:t xml:space="preserve">the countries experiencing </w:t>
      </w:r>
      <w:r w:rsidR="00DE636B">
        <w:rPr>
          <w:rFonts w:eastAsia="Times New Roman" w:cs="Times New Roman"/>
          <w:noProof/>
          <w:szCs w:val="24"/>
        </w:rPr>
        <w:t xml:space="preserve">serious levels of </w:t>
      </w:r>
      <w:r w:rsidR="00C6338F" w:rsidRPr="007C1494">
        <w:rPr>
          <w:rFonts w:eastAsia="Times New Roman" w:cs="Times New Roman"/>
          <w:noProof/>
          <w:szCs w:val="24"/>
        </w:rPr>
        <w:t>deforestation</w:t>
      </w:r>
      <w:r w:rsidR="00DE636B">
        <w:rPr>
          <w:rFonts w:eastAsia="Times New Roman" w:cs="Times New Roman"/>
          <w:noProof/>
          <w:szCs w:val="24"/>
        </w:rPr>
        <w:t xml:space="preserve"> and forest degradation are among</w:t>
      </w:r>
      <w:r w:rsidR="00C6338F" w:rsidRPr="007C1494">
        <w:rPr>
          <w:rFonts w:eastAsia="Times New Roman" w:cs="Times New Roman"/>
          <w:noProof/>
          <w:szCs w:val="24"/>
        </w:rPr>
        <w:t xml:space="preserve"> the poorest </w:t>
      </w:r>
      <w:r w:rsidR="00DE636B">
        <w:rPr>
          <w:rFonts w:eastAsia="Times New Roman" w:cs="Times New Roman"/>
          <w:noProof/>
          <w:szCs w:val="24"/>
        </w:rPr>
        <w:t xml:space="preserve">in the world. </w:t>
      </w:r>
      <w:r w:rsidR="00065FB5">
        <w:rPr>
          <w:rFonts w:eastAsia="Times New Roman" w:cs="Times New Roman"/>
          <w:noProof/>
          <w:szCs w:val="24"/>
        </w:rPr>
        <w:t>T</w:t>
      </w:r>
      <w:r w:rsidR="00C6338F" w:rsidRPr="007C1494">
        <w:rPr>
          <w:rFonts w:eastAsia="Times New Roman" w:cs="Times New Roman"/>
          <w:noProof/>
          <w:szCs w:val="24"/>
        </w:rPr>
        <w:t>he poorest</w:t>
      </w:r>
      <w:r w:rsidR="00DE636B">
        <w:rPr>
          <w:rFonts w:eastAsia="Times New Roman" w:cs="Times New Roman"/>
          <w:noProof/>
          <w:szCs w:val="24"/>
        </w:rPr>
        <w:t xml:space="preserve"> and most marginal segments of society, such as smallholder farmers, indigenous and local communities</w:t>
      </w:r>
      <w:r w:rsidR="00C6338F" w:rsidRPr="007C1494">
        <w:rPr>
          <w:rFonts w:eastAsia="Times New Roman" w:cs="Times New Roman"/>
          <w:noProof/>
          <w:szCs w:val="24"/>
        </w:rPr>
        <w:t xml:space="preserve"> are disproportionately impacted</w:t>
      </w:r>
      <w:r w:rsidR="00DE636B">
        <w:rPr>
          <w:rFonts w:eastAsia="Times New Roman" w:cs="Times New Roman"/>
          <w:noProof/>
          <w:szCs w:val="24"/>
        </w:rPr>
        <w:t xml:space="preserve"> by the effects </w:t>
      </w:r>
      <w:r>
        <w:rPr>
          <w:rFonts w:eastAsia="Times New Roman" w:cs="Times New Roman"/>
          <w:noProof/>
          <w:szCs w:val="24"/>
        </w:rPr>
        <w:t xml:space="preserve">of </w:t>
      </w:r>
      <w:r w:rsidR="00065FB5" w:rsidRPr="007C1494">
        <w:rPr>
          <w:rFonts w:eastAsia="Times New Roman" w:cs="Times New Roman"/>
          <w:noProof/>
          <w:szCs w:val="24"/>
        </w:rPr>
        <w:t>deforestation</w:t>
      </w:r>
      <w:r w:rsidR="00065FB5">
        <w:rPr>
          <w:rFonts w:eastAsia="Times New Roman" w:cs="Times New Roman"/>
          <w:noProof/>
          <w:szCs w:val="24"/>
        </w:rPr>
        <w:t xml:space="preserve"> and forest degradation</w:t>
      </w:r>
      <w:r w:rsidR="00C6338F" w:rsidRPr="007C1494">
        <w:rPr>
          <w:rFonts w:eastAsia="Times New Roman" w:cs="Times New Roman"/>
          <w:noProof/>
          <w:szCs w:val="24"/>
        </w:rPr>
        <w:t xml:space="preserve">. </w:t>
      </w:r>
      <w:r w:rsidR="007222CA" w:rsidRPr="007C1494">
        <w:rPr>
          <w:rFonts w:eastAsia="Times New Roman" w:cs="Times New Roman"/>
          <w:noProof/>
          <w:szCs w:val="24"/>
        </w:rPr>
        <w:t>The IPCC assessment indicates that the world needs to remain under 1.5-2 degree increase in order to avoid the wors</w:t>
      </w:r>
      <w:r w:rsidR="005318C7">
        <w:rPr>
          <w:rFonts w:eastAsia="Times New Roman" w:cs="Times New Roman"/>
          <w:noProof/>
          <w:szCs w:val="24"/>
        </w:rPr>
        <w:t>t</w:t>
      </w:r>
      <w:r w:rsidR="007222CA" w:rsidRPr="007C1494">
        <w:rPr>
          <w:rFonts w:eastAsia="Times New Roman" w:cs="Times New Roman"/>
          <w:noProof/>
          <w:szCs w:val="24"/>
        </w:rPr>
        <w:t xml:space="preserve"> effects of climate change, including the increased likelihood of severe, pervasive and irreversible impacts for people and ecosystems (e.g. heatwaves, extreme precipitation, acidification of the ocean and global sea level rise are some of the most likely effects)</w:t>
      </w:r>
      <w:r w:rsidR="007C0013" w:rsidRPr="007C1494">
        <w:rPr>
          <w:rFonts w:eastAsia="Times New Roman" w:cs="Times New Roman"/>
          <w:noProof/>
          <w:szCs w:val="24"/>
        </w:rPr>
        <w:t>.</w:t>
      </w:r>
      <w:r w:rsidR="007222CA" w:rsidRPr="007C1494">
        <w:rPr>
          <w:rFonts w:eastAsia="Times New Roman" w:cs="Times New Roman"/>
          <w:noProof/>
          <w:szCs w:val="24"/>
        </w:rPr>
        <w:t xml:space="preserve"> This is also the goal of the Paris Agreement, which is jeopardised by ongoing deforestation. As described above, most scenarios to meet the Paris Agreement objectives involve reduced global deforestation. </w:t>
      </w:r>
    </w:p>
    <w:p w14:paraId="2FEB22A5" w14:textId="2DCE65E5" w:rsidR="00CD310E" w:rsidRPr="007C1494" w:rsidRDefault="00E72B9D" w:rsidP="003C7DFA">
      <w:pPr>
        <w:jc w:val="both"/>
        <w:rPr>
          <w:rFonts w:eastAsia="Times New Roman" w:cs="Times New Roman"/>
          <w:noProof/>
          <w:szCs w:val="24"/>
        </w:rPr>
      </w:pPr>
      <w:r w:rsidRPr="007C1494">
        <w:rPr>
          <w:rFonts w:eastAsia="Times New Roman" w:cs="Times New Roman"/>
          <w:noProof/>
          <w:szCs w:val="24"/>
        </w:rPr>
        <w:t>In addition</w:t>
      </w:r>
      <w:r w:rsidR="007222CA" w:rsidRPr="007C1494">
        <w:rPr>
          <w:rFonts w:eastAsia="Times New Roman" w:cs="Times New Roman"/>
          <w:noProof/>
          <w:szCs w:val="24"/>
        </w:rPr>
        <w:t xml:space="preserve"> around 1.6 billion people depend on forests for their livelihoods, including 70 million indigenous people, according to FAO. The formal forestry sector </w:t>
      </w:r>
      <w:r w:rsidR="00D1233F" w:rsidRPr="007C1494">
        <w:rPr>
          <w:rFonts w:eastAsia="Times New Roman" w:cs="Times New Roman"/>
          <w:noProof/>
          <w:szCs w:val="24"/>
        </w:rPr>
        <w:t xml:space="preserve">globally </w:t>
      </w:r>
      <w:r w:rsidR="007222CA" w:rsidRPr="007C1494">
        <w:rPr>
          <w:rFonts w:eastAsia="Times New Roman" w:cs="Times New Roman"/>
          <w:noProof/>
          <w:szCs w:val="24"/>
        </w:rPr>
        <w:t>provides more than 45 million jobs, with additional 41 million jobs in the informal sector, also according to FAO. Furthermore, ‘wood and non-wood forest products’ provide up to 20% of the income of rural households in developing countries.</w:t>
      </w:r>
    </w:p>
    <w:p w14:paraId="0C284ADD" w14:textId="0153EA56" w:rsidR="00244E6A" w:rsidRPr="007C1494" w:rsidRDefault="00335526" w:rsidP="00335526">
      <w:pPr>
        <w:pStyle w:val="Heading2"/>
        <w:rPr>
          <w:noProof/>
        </w:rPr>
      </w:pPr>
      <w:bookmarkStart w:id="32" w:name="_Toc481484462"/>
      <w:bookmarkStart w:id="33" w:name="_Toc67074976"/>
      <w:bookmarkStart w:id="34" w:name="_Toc75542170"/>
      <w:bookmarkStart w:id="35" w:name="_Toc75543203"/>
      <w:bookmarkStart w:id="36" w:name="_Toc84591891"/>
      <w:r w:rsidRPr="00335526">
        <w:t>2.3</w:t>
      </w:r>
      <w:r w:rsidRPr="00335526">
        <w:tab/>
      </w:r>
      <w:r w:rsidR="00244E6A" w:rsidRPr="007C1494">
        <w:rPr>
          <w:noProof/>
        </w:rPr>
        <w:t>What are the problem drivers?</w:t>
      </w:r>
      <w:bookmarkEnd w:id="32"/>
      <w:bookmarkEnd w:id="33"/>
      <w:bookmarkEnd w:id="34"/>
      <w:bookmarkEnd w:id="35"/>
      <w:bookmarkEnd w:id="36"/>
    </w:p>
    <w:p w14:paraId="693C7D61" w14:textId="7DC057C7" w:rsidR="6987D3F9" w:rsidRPr="007C1494" w:rsidRDefault="009C1518" w:rsidP="00D00BCF">
      <w:pPr>
        <w:jc w:val="both"/>
        <w:rPr>
          <w:rFonts w:eastAsia="Times New Roman" w:cs="Times New Roman"/>
          <w:noProof/>
          <w:szCs w:val="24"/>
        </w:rPr>
      </w:pPr>
      <w:r>
        <w:rPr>
          <w:rFonts w:eastAsia="Times New Roman" w:cs="Times New Roman"/>
          <w:noProof/>
          <w:szCs w:val="24"/>
        </w:rPr>
        <w:t xml:space="preserve">While there are a number of </w:t>
      </w:r>
      <w:r w:rsidR="6987D3F9" w:rsidRPr="007C1494">
        <w:rPr>
          <w:rFonts w:eastAsia="Times New Roman" w:cs="Times New Roman"/>
          <w:noProof/>
          <w:szCs w:val="24"/>
        </w:rPr>
        <w:t>drivers of deforestation and forest degradation</w:t>
      </w:r>
      <w:r w:rsidR="00274B9A">
        <w:rPr>
          <w:rFonts w:eastAsia="Times New Roman" w:cs="Times New Roman"/>
          <w:noProof/>
          <w:szCs w:val="24"/>
        </w:rPr>
        <w:t>,</w:t>
      </w:r>
      <w:r w:rsidR="6987D3F9" w:rsidRPr="007C1494">
        <w:rPr>
          <w:rFonts w:eastAsia="Times New Roman" w:cs="Times New Roman"/>
          <w:noProof/>
          <w:szCs w:val="24"/>
        </w:rPr>
        <w:t xml:space="preserve"> a</w:t>
      </w:r>
      <w:r w:rsidR="2002FC6F" w:rsidRPr="007C1494">
        <w:rPr>
          <w:rFonts w:eastAsia="Times New Roman" w:cs="Times New Roman"/>
          <w:noProof/>
          <w:szCs w:val="24"/>
        </w:rPr>
        <w:t xml:space="preserve">gricultural expansion </w:t>
      </w:r>
      <w:r w:rsidR="00065FB5">
        <w:rPr>
          <w:rFonts w:eastAsia="Times New Roman" w:cs="Times New Roman"/>
          <w:noProof/>
          <w:szCs w:val="24"/>
        </w:rPr>
        <w:t>continues to be</w:t>
      </w:r>
      <w:r w:rsidR="76E2E8F5" w:rsidRPr="007C1494">
        <w:rPr>
          <w:rFonts w:eastAsia="Times New Roman" w:cs="Times New Roman"/>
          <w:noProof/>
          <w:szCs w:val="24"/>
        </w:rPr>
        <w:t xml:space="preserve"> the main one</w:t>
      </w:r>
      <w:r w:rsidR="004D5132" w:rsidRPr="007C1494">
        <w:rPr>
          <w:rFonts w:eastAsia="Times New Roman" w:cs="Times New Roman"/>
          <w:noProof/>
          <w:szCs w:val="24"/>
        </w:rPr>
        <w:t xml:space="preserve">, together </w:t>
      </w:r>
      <w:r w:rsidR="004D5132" w:rsidRPr="00D6567C">
        <w:rPr>
          <w:rFonts w:eastAsia="Times New Roman" w:cs="Times New Roman"/>
          <w:noProof/>
          <w:szCs w:val="24"/>
        </w:rPr>
        <w:t xml:space="preserve">with </w:t>
      </w:r>
      <w:r w:rsidR="005318C7" w:rsidRPr="00D6567C">
        <w:rPr>
          <w:rFonts w:eastAsia="Times New Roman" w:cs="Times New Roman"/>
          <w:noProof/>
          <w:szCs w:val="24"/>
        </w:rPr>
        <w:t>illegal</w:t>
      </w:r>
      <w:r w:rsidR="004D5132" w:rsidRPr="00D6567C">
        <w:rPr>
          <w:rFonts w:eastAsia="Times New Roman" w:cs="Times New Roman"/>
          <w:noProof/>
          <w:szCs w:val="24"/>
        </w:rPr>
        <w:t xml:space="preserve"> logging</w:t>
      </w:r>
      <w:r w:rsidR="76E2E8F5" w:rsidRPr="007C1494">
        <w:rPr>
          <w:rFonts w:eastAsia="Times New Roman" w:cs="Times New Roman"/>
          <w:noProof/>
          <w:szCs w:val="24"/>
        </w:rPr>
        <w:t>.</w:t>
      </w:r>
      <w:r w:rsidR="00065FB5" w:rsidRPr="00065FB5">
        <w:rPr>
          <w:rStyle w:val="FootnoteReference"/>
          <w:rFonts w:eastAsia="Times New Roman" w:cs="Times New Roman"/>
          <w:noProof/>
          <w:szCs w:val="24"/>
        </w:rPr>
        <w:t xml:space="preserve"> </w:t>
      </w:r>
      <w:r w:rsidR="00065FB5">
        <w:rPr>
          <w:rStyle w:val="FootnoteReference"/>
          <w:rFonts w:eastAsia="Times New Roman" w:cs="Times New Roman"/>
          <w:noProof/>
          <w:szCs w:val="24"/>
        </w:rPr>
        <w:footnoteReference w:id="61"/>
      </w:r>
    </w:p>
    <w:p w14:paraId="0FFA6B44" w14:textId="0C3F9130" w:rsidR="6BE4D206" w:rsidRPr="007C1494" w:rsidRDefault="00584A10" w:rsidP="00D00BCF">
      <w:pPr>
        <w:jc w:val="both"/>
        <w:rPr>
          <w:rFonts w:eastAsia="Times New Roman" w:cs="Times New Roman"/>
          <w:noProof/>
          <w:szCs w:val="24"/>
        </w:rPr>
      </w:pPr>
      <w:r w:rsidRPr="007C1494">
        <w:rPr>
          <w:rFonts w:eastAsia="Times New Roman" w:cs="Times New Roman"/>
          <w:noProof/>
          <w:szCs w:val="24"/>
        </w:rPr>
        <w:t>An analysis</w:t>
      </w:r>
      <w:r w:rsidRPr="007C1494">
        <w:rPr>
          <w:rStyle w:val="FootnoteReference"/>
          <w:rFonts w:eastAsia="Times New Roman" w:cs="Times New Roman"/>
          <w:noProof/>
          <w:szCs w:val="24"/>
        </w:rPr>
        <w:footnoteReference w:id="62"/>
      </w:r>
      <w:r w:rsidRPr="007C1494">
        <w:rPr>
          <w:rFonts w:eastAsia="Times New Roman" w:cs="Times New Roman"/>
          <w:noProof/>
          <w:szCs w:val="24"/>
        </w:rPr>
        <w:t xml:space="preserve"> of data for 46 tropical</w:t>
      </w:r>
      <w:r w:rsidR="6FEE6A5D" w:rsidRPr="007C1494">
        <w:rPr>
          <w:rFonts w:eastAsia="Times New Roman" w:cs="Times New Roman"/>
          <w:noProof/>
          <w:szCs w:val="24"/>
        </w:rPr>
        <w:t xml:space="preserve"> </w:t>
      </w:r>
      <w:r w:rsidRPr="007C1494">
        <w:rPr>
          <w:rFonts w:eastAsia="Times New Roman" w:cs="Times New Roman"/>
          <w:noProof/>
          <w:szCs w:val="24"/>
        </w:rPr>
        <w:t xml:space="preserve">and subtropical countries </w:t>
      </w:r>
      <w:r w:rsidR="21DEC5F8" w:rsidRPr="007C1494">
        <w:rPr>
          <w:rFonts w:eastAsia="Times New Roman" w:cs="Times New Roman"/>
          <w:noProof/>
          <w:szCs w:val="24"/>
        </w:rPr>
        <w:t>found that agriculture alone causes 73% of all deforestation, wi</w:t>
      </w:r>
      <w:r w:rsidR="019CC782" w:rsidRPr="007C1494">
        <w:rPr>
          <w:rFonts w:eastAsia="Times New Roman" w:cs="Times New Roman"/>
          <w:noProof/>
          <w:szCs w:val="24"/>
        </w:rPr>
        <w:t xml:space="preserve">th commercial agriculture </w:t>
      </w:r>
      <w:r w:rsidR="21DEC5F8" w:rsidRPr="007C1494">
        <w:rPr>
          <w:rFonts w:eastAsia="Times New Roman" w:cs="Times New Roman"/>
          <w:noProof/>
          <w:szCs w:val="24"/>
        </w:rPr>
        <w:t>accounting for 40% of deforestation, followed by local</w:t>
      </w:r>
      <w:r w:rsidR="73DD032C" w:rsidRPr="007C1494">
        <w:rPr>
          <w:rFonts w:eastAsia="Times New Roman" w:cs="Times New Roman"/>
          <w:noProof/>
          <w:szCs w:val="24"/>
        </w:rPr>
        <w:t xml:space="preserve"> or </w:t>
      </w:r>
      <w:r w:rsidR="21DEC5F8" w:rsidRPr="007C1494">
        <w:rPr>
          <w:rFonts w:eastAsia="Times New Roman" w:cs="Times New Roman"/>
          <w:noProof/>
          <w:szCs w:val="24"/>
        </w:rPr>
        <w:t>subsistence agriculture, which is related to 33% of deforestation</w:t>
      </w:r>
      <w:r w:rsidR="00274B9A">
        <w:rPr>
          <w:rFonts w:eastAsia="Times New Roman" w:cs="Times New Roman"/>
          <w:noProof/>
          <w:szCs w:val="24"/>
        </w:rPr>
        <w:t>.</w:t>
      </w:r>
      <w:r w:rsidR="21DEC5F8" w:rsidRPr="007C1494">
        <w:rPr>
          <w:rFonts w:eastAsia="Times New Roman" w:cs="Times New Roman"/>
          <w:noProof/>
          <w:szCs w:val="24"/>
        </w:rPr>
        <w:t xml:space="preserve"> </w:t>
      </w:r>
      <w:r w:rsidR="00274B9A">
        <w:rPr>
          <w:rFonts w:eastAsia="Times New Roman" w:cs="Times New Roman"/>
          <w:noProof/>
          <w:szCs w:val="24"/>
        </w:rPr>
        <w:t>I</w:t>
      </w:r>
      <w:r w:rsidR="21DEC5F8" w:rsidRPr="007C1494">
        <w:rPr>
          <w:rFonts w:eastAsia="Times New Roman" w:cs="Times New Roman"/>
          <w:noProof/>
          <w:szCs w:val="24"/>
        </w:rPr>
        <w:t xml:space="preserve">nfrastructure </w:t>
      </w:r>
      <w:r w:rsidR="7C45F06A" w:rsidRPr="007C1494">
        <w:rPr>
          <w:rFonts w:eastAsia="Times New Roman" w:cs="Times New Roman"/>
          <w:noProof/>
          <w:szCs w:val="24"/>
        </w:rPr>
        <w:t xml:space="preserve">accounts </w:t>
      </w:r>
      <w:r w:rsidR="21DEC5F8" w:rsidRPr="007C1494">
        <w:rPr>
          <w:rFonts w:eastAsia="Times New Roman" w:cs="Times New Roman"/>
          <w:noProof/>
          <w:szCs w:val="24"/>
        </w:rPr>
        <w:t>for 10%, urban expansion for 10%</w:t>
      </w:r>
      <w:r w:rsidR="3C8470D5" w:rsidRPr="007C1494">
        <w:rPr>
          <w:rFonts w:eastAsia="Times New Roman" w:cs="Times New Roman"/>
          <w:noProof/>
          <w:szCs w:val="24"/>
        </w:rPr>
        <w:t>,</w:t>
      </w:r>
      <w:r w:rsidR="21DEC5F8" w:rsidRPr="007C1494">
        <w:rPr>
          <w:rFonts w:eastAsia="Times New Roman" w:cs="Times New Roman"/>
          <w:noProof/>
          <w:szCs w:val="24"/>
        </w:rPr>
        <w:t xml:space="preserve"> and mining for 7%.</w:t>
      </w:r>
      <w:r w:rsidR="00D1233F" w:rsidRPr="007C1494">
        <w:rPr>
          <w:rFonts w:eastAsia="Times New Roman" w:cs="Times New Roman"/>
          <w:noProof/>
          <w:szCs w:val="24"/>
        </w:rPr>
        <w:t xml:space="preserve"> The same analysis lists logging as a main driver of forest degradation</w:t>
      </w:r>
      <w:r w:rsidR="675D8568" w:rsidRPr="007C1494">
        <w:rPr>
          <w:rFonts w:eastAsia="Times New Roman" w:cs="Times New Roman"/>
          <w:noProof/>
          <w:szCs w:val="24"/>
        </w:rPr>
        <w:t xml:space="preserve">. Forest </w:t>
      </w:r>
      <w:r w:rsidR="00617C7C" w:rsidRPr="007C1494">
        <w:rPr>
          <w:rFonts w:eastAsia="Times New Roman" w:cs="Times New Roman"/>
          <w:noProof/>
          <w:szCs w:val="24"/>
        </w:rPr>
        <w:t xml:space="preserve">degradation </w:t>
      </w:r>
      <w:r w:rsidR="009C1518">
        <w:rPr>
          <w:rFonts w:eastAsia="Times New Roman" w:cs="Times New Roman"/>
          <w:noProof/>
          <w:szCs w:val="24"/>
        </w:rPr>
        <w:t xml:space="preserve">is </w:t>
      </w:r>
      <w:r w:rsidR="00274B9A">
        <w:rPr>
          <w:rFonts w:eastAsia="Times New Roman" w:cs="Times New Roman"/>
          <w:noProof/>
          <w:szCs w:val="24"/>
        </w:rPr>
        <w:t xml:space="preserve">also </w:t>
      </w:r>
      <w:r w:rsidR="675D8568" w:rsidRPr="007C1494">
        <w:rPr>
          <w:rFonts w:eastAsia="Times New Roman" w:cs="Times New Roman"/>
          <w:noProof/>
          <w:szCs w:val="24"/>
        </w:rPr>
        <w:t xml:space="preserve">often </w:t>
      </w:r>
      <w:r w:rsidR="00E72B9D" w:rsidRPr="007C1494">
        <w:rPr>
          <w:rFonts w:eastAsia="Times New Roman" w:cs="Times New Roman"/>
          <w:noProof/>
          <w:szCs w:val="24"/>
        </w:rPr>
        <w:t>the first step</w:t>
      </w:r>
      <w:r w:rsidR="675D8568" w:rsidRPr="007C1494">
        <w:rPr>
          <w:rFonts w:eastAsia="Times New Roman" w:cs="Times New Roman"/>
          <w:noProof/>
          <w:szCs w:val="24"/>
        </w:rPr>
        <w:t xml:space="preserve"> of conversion from forest to other land uses.</w:t>
      </w:r>
    </w:p>
    <w:p w14:paraId="46E318F6" w14:textId="070481C4" w:rsidR="41277DD2" w:rsidRPr="007C1494" w:rsidRDefault="41277DD2" w:rsidP="00D00BCF">
      <w:pPr>
        <w:jc w:val="both"/>
        <w:rPr>
          <w:rFonts w:eastAsia="Times New Roman" w:cs="Times New Roman"/>
          <w:noProof/>
          <w:szCs w:val="24"/>
        </w:rPr>
      </w:pPr>
      <w:r w:rsidRPr="007C1494">
        <w:rPr>
          <w:rFonts w:eastAsia="Times New Roman" w:cs="Times New Roman"/>
          <w:noProof/>
          <w:szCs w:val="24"/>
        </w:rPr>
        <w:t>Agricultural expansion is</w:t>
      </w:r>
      <w:r w:rsidR="00065FB5">
        <w:rPr>
          <w:rFonts w:eastAsia="Times New Roman" w:cs="Times New Roman"/>
          <w:noProof/>
          <w:szCs w:val="24"/>
        </w:rPr>
        <w:t xml:space="preserve"> </w:t>
      </w:r>
      <w:r w:rsidRPr="007C1494">
        <w:rPr>
          <w:rFonts w:eastAsia="Times New Roman" w:cs="Times New Roman"/>
          <w:noProof/>
          <w:szCs w:val="24"/>
        </w:rPr>
        <w:t>driven by global demand for specific products and commodities, market pressures, dietary preferences, and lack of efficiency in agricultural practices and waste</w:t>
      </w:r>
      <w:r w:rsidRPr="007C1494">
        <w:rPr>
          <w:rStyle w:val="FootnoteReference"/>
          <w:rFonts w:eastAsia="Times New Roman" w:cs="Times New Roman"/>
          <w:noProof/>
          <w:szCs w:val="24"/>
        </w:rPr>
        <w:footnoteReference w:id="63"/>
      </w:r>
      <w:r w:rsidRPr="007C1494">
        <w:rPr>
          <w:rFonts w:eastAsia="Times New Roman" w:cs="Times New Roman"/>
          <w:noProof/>
          <w:szCs w:val="24"/>
        </w:rPr>
        <w:t>. As such there is a very strong link between deforestation and forest degradation and international trade.</w:t>
      </w:r>
    </w:p>
    <w:p w14:paraId="43E9C4A0" w14:textId="755F3782" w:rsidR="0DB3ECD1" w:rsidRPr="007C1494" w:rsidRDefault="00C53E2C" w:rsidP="00D00BCF">
      <w:pPr>
        <w:jc w:val="both"/>
        <w:rPr>
          <w:rFonts w:eastAsia="Times New Roman" w:cs="Times New Roman"/>
          <w:noProof/>
          <w:szCs w:val="24"/>
        </w:rPr>
      </w:pPr>
      <w:r w:rsidRPr="007C1494">
        <w:rPr>
          <w:rFonts w:eastAsia="Times New Roman" w:cs="Times New Roman"/>
          <w:noProof/>
          <w:szCs w:val="24"/>
        </w:rPr>
        <w:t xml:space="preserve">Different studies have attempted to measure the impact of </w:t>
      </w:r>
      <w:r w:rsidR="00065FB5">
        <w:rPr>
          <w:rFonts w:eastAsia="Times New Roman" w:cs="Times New Roman"/>
          <w:noProof/>
          <w:szCs w:val="24"/>
        </w:rPr>
        <w:t xml:space="preserve">the production/harvest of </w:t>
      </w:r>
      <w:r w:rsidRPr="007C1494">
        <w:rPr>
          <w:rFonts w:eastAsia="Times New Roman" w:cs="Times New Roman"/>
          <w:noProof/>
          <w:szCs w:val="24"/>
        </w:rPr>
        <w:t>particular commodities and/or the EU’s consumption on global deforestation and forest degradation</w:t>
      </w:r>
      <w:r w:rsidR="00863909" w:rsidRPr="007C1494">
        <w:rPr>
          <w:rStyle w:val="FootnoteReference"/>
          <w:rFonts w:eastAsia="Times New Roman" w:cs="Times New Roman"/>
          <w:noProof/>
          <w:szCs w:val="24"/>
        </w:rPr>
        <w:footnoteReference w:id="64"/>
      </w:r>
      <w:r w:rsidRPr="007C1494">
        <w:rPr>
          <w:rFonts w:eastAsia="Times New Roman" w:cs="Times New Roman"/>
          <w:noProof/>
          <w:szCs w:val="24"/>
        </w:rPr>
        <w:t>. They show that a</w:t>
      </w:r>
      <w:r w:rsidR="001615B9" w:rsidRPr="007C1494">
        <w:rPr>
          <w:rFonts w:eastAsia="Times New Roman" w:cs="Times New Roman"/>
          <w:noProof/>
          <w:szCs w:val="24"/>
        </w:rPr>
        <w:t xml:space="preserve"> </w:t>
      </w:r>
      <w:r w:rsidR="004A3679" w:rsidRPr="007C1494">
        <w:rPr>
          <w:rFonts w:eastAsia="Times New Roman" w:cs="Times New Roman"/>
          <w:noProof/>
          <w:szCs w:val="24"/>
        </w:rPr>
        <w:t>limited</w:t>
      </w:r>
      <w:r w:rsidR="001615B9" w:rsidRPr="007C1494">
        <w:rPr>
          <w:rFonts w:eastAsia="Times New Roman" w:cs="Times New Roman"/>
          <w:noProof/>
          <w:szCs w:val="24"/>
        </w:rPr>
        <w:t xml:space="preserve"> number of agricultural commodities </w:t>
      </w:r>
      <w:r w:rsidR="00617C7C" w:rsidRPr="007C1494">
        <w:rPr>
          <w:rFonts w:eastAsia="Times New Roman" w:cs="Times New Roman"/>
          <w:noProof/>
          <w:szCs w:val="24"/>
        </w:rPr>
        <w:t xml:space="preserve">are </w:t>
      </w:r>
      <w:r w:rsidR="001615B9" w:rsidRPr="007C1494">
        <w:rPr>
          <w:rFonts w:eastAsia="Times New Roman" w:cs="Times New Roman"/>
          <w:noProof/>
          <w:szCs w:val="24"/>
        </w:rPr>
        <w:t>responsible for most deforestation and forest degradation globally</w:t>
      </w:r>
      <w:r w:rsidR="00065FB5">
        <w:rPr>
          <w:rFonts w:eastAsia="Times New Roman" w:cs="Times New Roman"/>
          <w:noProof/>
          <w:szCs w:val="24"/>
        </w:rPr>
        <w:t xml:space="preserve">, and </w:t>
      </w:r>
      <w:r w:rsidR="0094508C">
        <w:rPr>
          <w:rFonts w:eastAsia="Times New Roman" w:cs="Times New Roman"/>
          <w:noProof/>
          <w:szCs w:val="24"/>
        </w:rPr>
        <w:t xml:space="preserve">that </w:t>
      </w:r>
      <w:r w:rsidR="00065FB5">
        <w:rPr>
          <w:rFonts w:eastAsia="Times New Roman" w:cs="Times New Roman"/>
          <w:noProof/>
          <w:szCs w:val="24"/>
        </w:rPr>
        <w:t>the EU</w:t>
      </w:r>
      <w:r w:rsidR="001615B9" w:rsidRPr="007C1494">
        <w:rPr>
          <w:rFonts w:eastAsia="Times New Roman" w:cs="Times New Roman"/>
          <w:noProof/>
          <w:szCs w:val="24"/>
        </w:rPr>
        <w:t xml:space="preserve"> </w:t>
      </w:r>
      <w:r w:rsidR="286F4FB6" w:rsidRPr="007C1494">
        <w:rPr>
          <w:rFonts w:eastAsia="Times New Roman" w:cs="Times New Roman"/>
          <w:noProof/>
          <w:szCs w:val="24"/>
        </w:rPr>
        <w:t>is among the major global consumers of some of the</w:t>
      </w:r>
      <w:r w:rsidR="00860D69">
        <w:rPr>
          <w:rFonts w:eastAsia="Times New Roman" w:cs="Times New Roman"/>
          <w:noProof/>
          <w:szCs w:val="24"/>
        </w:rPr>
        <w:t>se.</w:t>
      </w:r>
      <w:r w:rsidR="286F4FB6" w:rsidRPr="007C1494">
        <w:rPr>
          <w:rFonts w:eastAsia="Times New Roman" w:cs="Times New Roman"/>
          <w:noProof/>
          <w:szCs w:val="24"/>
        </w:rPr>
        <w:t xml:space="preserve"> </w:t>
      </w:r>
      <w:r w:rsidRPr="007C1494">
        <w:rPr>
          <w:rFonts w:eastAsia="Times New Roman" w:cs="Times New Roman"/>
          <w:noProof/>
          <w:szCs w:val="24"/>
        </w:rPr>
        <w:t xml:space="preserve">The product scope section </w:t>
      </w:r>
      <w:r w:rsidR="00860D69">
        <w:rPr>
          <w:rFonts w:eastAsia="Times New Roman" w:cs="Times New Roman"/>
          <w:noProof/>
          <w:szCs w:val="24"/>
        </w:rPr>
        <w:t>(</w:t>
      </w:r>
      <w:r w:rsidRPr="007C1494">
        <w:rPr>
          <w:rFonts w:eastAsia="Times New Roman" w:cs="Times New Roman"/>
          <w:noProof/>
          <w:szCs w:val="24"/>
        </w:rPr>
        <w:t>chapter 5</w:t>
      </w:r>
      <w:r w:rsidR="00860D69">
        <w:rPr>
          <w:rFonts w:eastAsia="Times New Roman" w:cs="Times New Roman"/>
          <w:noProof/>
          <w:szCs w:val="24"/>
        </w:rPr>
        <w:t>)</w:t>
      </w:r>
      <w:r w:rsidRPr="007C1494">
        <w:rPr>
          <w:rFonts w:eastAsia="Times New Roman" w:cs="Times New Roman"/>
          <w:noProof/>
          <w:szCs w:val="24"/>
        </w:rPr>
        <w:t xml:space="preserve"> of this </w:t>
      </w:r>
      <w:r w:rsidR="00860D69">
        <w:rPr>
          <w:rFonts w:eastAsia="Times New Roman" w:cs="Times New Roman"/>
          <w:noProof/>
          <w:szCs w:val="24"/>
        </w:rPr>
        <w:t>I</w:t>
      </w:r>
      <w:r w:rsidRPr="007C1494">
        <w:rPr>
          <w:rFonts w:eastAsia="Times New Roman" w:cs="Times New Roman"/>
          <w:noProof/>
          <w:szCs w:val="24"/>
        </w:rPr>
        <w:t xml:space="preserve">mpact </w:t>
      </w:r>
      <w:r w:rsidR="00860D69">
        <w:rPr>
          <w:rFonts w:eastAsia="Times New Roman" w:cs="Times New Roman"/>
          <w:noProof/>
          <w:szCs w:val="24"/>
        </w:rPr>
        <w:t>A</w:t>
      </w:r>
      <w:r w:rsidRPr="007C1494">
        <w:rPr>
          <w:rFonts w:eastAsia="Times New Roman" w:cs="Times New Roman"/>
          <w:noProof/>
          <w:szCs w:val="24"/>
        </w:rPr>
        <w:t>ssessment</w:t>
      </w:r>
      <w:r w:rsidR="0003310A" w:rsidRPr="007C1494" w:rsidDel="00860D69">
        <w:rPr>
          <w:rFonts w:eastAsia="Times New Roman" w:cs="Times New Roman"/>
          <w:noProof/>
          <w:szCs w:val="24"/>
        </w:rPr>
        <w:t xml:space="preserve"> </w:t>
      </w:r>
      <w:r w:rsidR="0003310A" w:rsidRPr="007C1494">
        <w:rPr>
          <w:rFonts w:eastAsia="Times New Roman" w:cs="Times New Roman"/>
          <w:noProof/>
          <w:szCs w:val="24"/>
        </w:rPr>
        <w:t>identif</w:t>
      </w:r>
      <w:r w:rsidR="00860D69">
        <w:rPr>
          <w:rFonts w:eastAsia="Times New Roman" w:cs="Times New Roman"/>
          <w:noProof/>
          <w:szCs w:val="24"/>
        </w:rPr>
        <w:t>ies cattle</w:t>
      </w:r>
      <w:r w:rsidR="0003310A" w:rsidRPr="007C1494">
        <w:rPr>
          <w:rFonts w:eastAsia="Times New Roman" w:cs="Times New Roman"/>
          <w:noProof/>
          <w:szCs w:val="24"/>
        </w:rPr>
        <w:t>, wood, palm oil, soy, cocoa and coffee as the most relevant commodities to be considered</w:t>
      </w:r>
      <w:r w:rsidRPr="007C1494">
        <w:rPr>
          <w:rFonts w:eastAsia="Times New Roman" w:cs="Times New Roman"/>
          <w:noProof/>
          <w:szCs w:val="24"/>
        </w:rPr>
        <w:t>.</w:t>
      </w:r>
    </w:p>
    <w:p w14:paraId="69BAD8D4" w14:textId="67362E4E" w:rsidR="0DB3ECD1" w:rsidRPr="007C1494" w:rsidRDefault="004C7A23" w:rsidP="00D00BCF">
      <w:pPr>
        <w:jc w:val="both"/>
        <w:rPr>
          <w:rFonts w:eastAsia="Times New Roman" w:cs="Times New Roman"/>
          <w:noProof/>
          <w:szCs w:val="24"/>
        </w:rPr>
      </w:pPr>
      <w:r w:rsidRPr="007C1494">
        <w:rPr>
          <w:rFonts w:eastAsia="Times New Roman" w:cs="Times New Roman"/>
          <w:noProof/>
          <w:szCs w:val="24"/>
        </w:rPr>
        <w:t xml:space="preserve">A </w:t>
      </w:r>
      <w:r w:rsidR="3857ADD4" w:rsidRPr="007C1494">
        <w:rPr>
          <w:rFonts w:eastAsia="Times New Roman" w:cs="Times New Roman"/>
          <w:noProof/>
          <w:szCs w:val="24"/>
        </w:rPr>
        <w:t>2013</w:t>
      </w:r>
      <w:r w:rsidR="008932F4" w:rsidRPr="007C1494">
        <w:rPr>
          <w:rFonts w:eastAsia="Times New Roman" w:cs="Times New Roman"/>
          <w:noProof/>
          <w:szCs w:val="24"/>
        </w:rPr>
        <w:t xml:space="preserve"> </w:t>
      </w:r>
      <w:r w:rsidR="3F674F2E" w:rsidRPr="007C1494">
        <w:rPr>
          <w:rFonts w:eastAsia="Times New Roman" w:cs="Times New Roman"/>
          <w:noProof/>
          <w:szCs w:val="24"/>
        </w:rPr>
        <w:t>study</w:t>
      </w:r>
      <w:r w:rsidR="007F3A5A" w:rsidRPr="007C1494">
        <w:rPr>
          <w:rStyle w:val="FootnoteReference"/>
          <w:rFonts w:eastAsia="Times New Roman" w:cs="Times New Roman"/>
          <w:noProof/>
          <w:szCs w:val="24"/>
        </w:rPr>
        <w:footnoteReference w:id="65"/>
      </w:r>
      <w:r w:rsidR="00057B11" w:rsidRPr="007C1494">
        <w:rPr>
          <w:rFonts w:eastAsia="Times New Roman" w:cs="Times New Roman"/>
          <w:noProof/>
          <w:szCs w:val="24"/>
        </w:rPr>
        <w:t xml:space="preserve"> </w:t>
      </w:r>
      <w:r w:rsidRPr="007C1494">
        <w:rPr>
          <w:rFonts w:eastAsia="Times New Roman" w:cs="Times New Roman"/>
          <w:noProof/>
          <w:szCs w:val="24"/>
        </w:rPr>
        <w:t xml:space="preserve">used two different models to estimate </w:t>
      </w:r>
      <w:r w:rsidR="00057B11" w:rsidRPr="007C1494">
        <w:rPr>
          <w:rFonts w:eastAsia="Times New Roman" w:cs="Times New Roman"/>
          <w:noProof/>
          <w:szCs w:val="24"/>
        </w:rPr>
        <w:t>the impact of EU consumption on deforestation</w:t>
      </w:r>
      <w:r w:rsidRPr="007C1494">
        <w:rPr>
          <w:rFonts w:eastAsia="Times New Roman" w:cs="Times New Roman"/>
          <w:noProof/>
          <w:szCs w:val="24"/>
        </w:rPr>
        <w:t>. The first model estimated that</w:t>
      </w:r>
      <w:r w:rsidR="3F674F2E" w:rsidRPr="007C1494">
        <w:rPr>
          <w:rFonts w:eastAsia="Times New Roman" w:cs="Times New Roman"/>
          <w:noProof/>
          <w:szCs w:val="24"/>
        </w:rPr>
        <w:t xml:space="preserve"> EU </w:t>
      </w:r>
      <w:r w:rsidR="00057B11" w:rsidRPr="007C1494">
        <w:rPr>
          <w:rFonts w:eastAsia="Times New Roman" w:cs="Times New Roman"/>
          <w:noProof/>
          <w:szCs w:val="24"/>
        </w:rPr>
        <w:t>imports of crops and livestock were responsible for about 9 million hectares of deforestation globally</w:t>
      </w:r>
      <w:r w:rsidRPr="007C1494">
        <w:rPr>
          <w:rFonts w:eastAsia="Times New Roman" w:cs="Times New Roman"/>
          <w:noProof/>
          <w:szCs w:val="24"/>
        </w:rPr>
        <w:t xml:space="preserve"> over the period 1990-2008 (i.e. 500 000 Ha</w:t>
      </w:r>
      <w:r w:rsidR="00860D69">
        <w:rPr>
          <w:rFonts w:eastAsia="Times New Roman" w:cs="Times New Roman"/>
          <w:noProof/>
          <w:szCs w:val="24"/>
        </w:rPr>
        <w:t>/</w:t>
      </w:r>
      <w:r w:rsidRPr="007C1494">
        <w:rPr>
          <w:rFonts w:eastAsia="Times New Roman" w:cs="Times New Roman"/>
          <w:noProof/>
          <w:szCs w:val="24"/>
        </w:rPr>
        <w:t>year on average)</w:t>
      </w:r>
      <w:r w:rsidR="001D652D" w:rsidRPr="007C1494">
        <w:rPr>
          <w:rFonts w:eastAsia="Times New Roman" w:cs="Times New Roman"/>
          <w:noProof/>
          <w:szCs w:val="24"/>
        </w:rPr>
        <w:t xml:space="preserve">. </w:t>
      </w:r>
      <w:r w:rsidR="000777FB" w:rsidRPr="007C1494">
        <w:rPr>
          <w:rFonts w:eastAsia="Times New Roman" w:cs="Times New Roman"/>
          <w:noProof/>
          <w:szCs w:val="24"/>
        </w:rPr>
        <w:t>This meant almost 36% of all embodied deforestation in crop and livestock products traded internationally during that period</w:t>
      </w:r>
      <w:r w:rsidRPr="007C1494">
        <w:rPr>
          <w:rFonts w:eastAsia="Times New Roman" w:cs="Times New Roman"/>
          <w:noProof/>
          <w:szCs w:val="24"/>
        </w:rPr>
        <w:t xml:space="preserve"> or </w:t>
      </w:r>
      <w:r w:rsidR="000777FB" w:rsidRPr="007C1494">
        <w:rPr>
          <w:rFonts w:eastAsia="Times New Roman" w:cs="Times New Roman"/>
          <w:noProof/>
          <w:szCs w:val="24"/>
        </w:rPr>
        <w:t xml:space="preserve">7% </w:t>
      </w:r>
      <w:r w:rsidR="00860D69" w:rsidRPr="00860D69">
        <w:rPr>
          <w:rFonts w:eastAsia="Times New Roman" w:cs="Times New Roman"/>
          <w:noProof/>
          <w:szCs w:val="24"/>
        </w:rPr>
        <w:t xml:space="preserve">of global embodied deforestation </w:t>
      </w:r>
      <w:r w:rsidRPr="007C1494">
        <w:rPr>
          <w:rFonts w:eastAsia="Times New Roman" w:cs="Times New Roman"/>
          <w:noProof/>
          <w:szCs w:val="24"/>
        </w:rPr>
        <w:t xml:space="preserve">if </w:t>
      </w:r>
      <w:r w:rsidR="000777FB" w:rsidRPr="007C1494">
        <w:rPr>
          <w:rFonts w:eastAsia="Times New Roman" w:cs="Times New Roman"/>
          <w:noProof/>
          <w:szCs w:val="24"/>
        </w:rPr>
        <w:t xml:space="preserve">non-traded </w:t>
      </w:r>
      <w:r w:rsidR="00997FE1" w:rsidRPr="007C1494">
        <w:rPr>
          <w:rFonts w:eastAsia="Times New Roman" w:cs="Times New Roman"/>
          <w:noProof/>
          <w:szCs w:val="24"/>
        </w:rPr>
        <w:t>products</w:t>
      </w:r>
      <w:r w:rsidR="000777FB" w:rsidRPr="007C1494">
        <w:rPr>
          <w:rFonts w:eastAsia="Times New Roman" w:cs="Times New Roman"/>
          <w:noProof/>
          <w:szCs w:val="24"/>
        </w:rPr>
        <w:t xml:space="preserve"> consumed domestically</w:t>
      </w:r>
      <w:r w:rsidRPr="007C1494">
        <w:rPr>
          <w:rFonts w:eastAsia="Times New Roman" w:cs="Times New Roman"/>
          <w:noProof/>
          <w:szCs w:val="24"/>
        </w:rPr>
        <w:t xml:space="preserve"> were included</w:t>
      </w:r>
      <w:r w:rsidR="000777FB" w:rsidRPr="007C1494">
        <w:rPr>
          <w:rFonts w:eastAsia="Times New Roman" w:cs="Times New Roman"/>
          <w:noProof/>
          <w:szCs w:val="24"/>
        </w:rPr>
        <w:t xml:space="preserve">. </w:t>
      </w:r>
      <w:r w:rsidRPr="007C1494">
        <w:rPr>
          <w:rFonts w:eastAsia="Times New Roman" w:cs="Times New Roman"/>
          <w:noProof/>
          <w:szCs w:val="24"/>
        </w:rPr>
        <w:t xml:space="preserve">The second model </w:t>
      </w:r>
      <w:r w:rsidR="000777FB" w:rsidRPr="007C1494">
        <w:rPr>
          <w:rFonts w:eastAsia="Times New Roman" w:cs="Times New Roman"/>
          <w:noProof/>
          <w:szCs w:val="24"/>
        </w:rPr>
        <w:t>based on consumption of final products</w:t>
      </w:r>
      <w:r w:rsidRPr="007C1494">
        <w:rPr>
          <w:rFonts w:eastAsia="Times New Roman" w:cs="Times New Roman"/>
          <w:noProof/>
          <w:szCs w:val="24"/>
        </w:rPr>
        <w:t xml:space="preserve"> estimated EU contribution </w:t>
      </w:r>
      <w:r w:rsidR="000777FB" w:rsidRPr="007C1494">
        <w:rPr>
          <w:rFonts w:eastAsia="Times New Roman" w:cs="Times New Roman"/>
          <w:noProof/>
          <w:szCs w:val="24"/>
        </w:rPr>
        <w:t xml:space="preserve">to global embodied deforestation </w:t>
      </w:r>
      <w:r w:rsidRPr="007C1494">
        <w:rPr>
          <w:rFonts w:eastAsia="Times New Roman" w:cs="Times New Roman"/>
          <w:noProof/>
          <w:szCs w:val="24"/>
        </w:rPr>
        <w:t xml:space="preserve">to be </w:t>
      </w:r>
      <w:r w:rsidR="000777FB" w:rsidRPr="007C1494">
        <w:rPr>
          <w:rFonts w:eastAsia="Times New Roman" w:cs="Times New Roman"/>
          <w:noProof/>
          <w:szCs w:val="24"/>
        </w:rPr>
        <w:t>732 000 Ha</w:t>
      </w:r>
      <w:r w:rsidR="00860D69">
        <w:rPr>
          <w:rFonts w:eastAsia="Times New Roman" w:cs="Times New Roman"/>
          <w:noProof/>
          <w:szCs w:val="24"/>
        </w:rPr>
        <w:t>/</w:t>
      </w:r>
      <w:r w:rsidR="000777FB" w:rsidRPr="007C1494">
        <w:rPr>
          <w:rFonts w:eastAsia="Times New Roman" w:cs="Times New Roman"/>
          <w:noProof/>
          <w:szCs w:val="24"/>
        </w:rPr>
        <w:t>year</w:t>
      </w:r>
      <w:r w:rsidRPr="007C1494">
        <w:rPr>
          <w:rFonts w:eastAsia="Times New Roman" w:cs="Times New Roman"/>
          <w:noProof/>
          <w:szCs w:val="24"/>
        </w:rPr>
        <w:t xml:space="preserve">, or 10% of the </w:t>
      </w:r>
      <w:r w:rsidR="00517950" w:rsidRPr="007C1494">
        <w:rPr>
          <w:rFonts w:eastAsia="Times New Roman" w:cs="Times New Roman"/>
          <w:noProof/>
          <w:szCs w:val="24"/>
        </w:rPr>
        <w:t>total global embodied deforestation (including domestic consumption)</w:t>
      </w:r>
      <w:r w:rsidR="000777FB" w:rsidRPr="007C1494">
        <w:rPr>
          <w:rFonts w:eastAsia="Times New Roman" w:cs="Times New Roman"/>
          <w:noProof/>
          <w:szCs w:val="24"/>
        </w:rPr>
        <w:t>.</w:t>
      </w:r>
      <w:r w:rsidR="00517950" w:rsidRPr="007C1494">
        <w:rPr>
          <w:rFonts w:eastAsia="Times New Roman" w:cs="Times New Roman"/>
          <w:noProof/>
          <w:szCs w:val="24"/>
        </w:rPr>
        <w:t xml:space="preserve"> The different estimates resulted from methodological differences of the two models.</w:t>
      </w:r>
      <w:r w:rsidR="000777FB" w:rsidRPr="007C1494">
        <w:rPr>
          <w:rFonts w:eastAsia="Times New Roman" w:cs="Times New Roman"/>
          <w:noProof/>
          <w:szCs w:val="24"/>
        </w:rPr>
        <w:t xml:space="preserve">  </w:t>
      </w:r>
    </w:p>
    <w:p w14:paraId="1F02599A" w14:textId="24E86498" w:rsidR="00C82CC5" w:rsidRDefault="008A4D18" w:rsidP="00D6567C">
      <w:pPr>
        <w:jc w:val="both"/>
        <w:rPr>
          <w:rFonts w:eastAsia="Times New Roman" w:cs="Times New Roman"/>
          <w:noProof/>
          <w:szCs w:val="24"/>
        </w:rPr>
      </w:pPr>
      <w:r w:rsidRPr="007C1494">
        <w:rPr>
          <w:rFonts w:eastAsia="Times New Roman" w:cs="Times New Roman"/>
          <w:noProof/>
          <w:szCs w:val="24"/>
        </w:rPr>
        <w:t xml:space="preserve">Based on the </w:t>
      </w:r>
      <w:r w:rsidR="008932F4" w:rsidRPr="007C1494">
        <w:rPr>
          <w:rFonts w:eastAsia="Times New Roman" w:cs="Times New Roman"/>
          <w:noProof/>
          <w:szCs w:val="24"/>
        </w:rPr>
        <w:t xml:space="preserve">model and </w:t>
      </w:r>
      <w:r w:rsidRPr="007C1494">
        <w:rPr>
          <w:rFonts w:eastAsia="Times New Roman" w:cs="Times New Roman"/>
          <w:noProof/>
          <w:szCs w:val="24"/>
        </w:rPr>
        <w:t>data included in a recent research paper</w:t>
      </w:r>
      <w:r w:rsidRPr="007C1494">
        <w:rPr>
          <w:rStyle w:val="FootnoteReference"/>
          <w:rFonts w:eastAsia="Times New Roman" w:cs="Times New Roman"/>
          <w:noProof/>
          <w:szCs w:val="24"/>
        </w:rPr>
        <w:footnoteReference w:id="66"/>
      </w:r>
      <w:r w:rsidRPr="007C1494">
        <w:rPr>
          <w:rFonts w:eastAsia="Times New Roman" w:cs="Times New Roman"/>
          <w:noProof/>
          <w:szCs w:val="24"/>
        </w:rPr>
        <w:t>, EU consumption</w:t>
      </w:r>
      <w:r w:rsidR="008932F4" w:rsidRPr="007C1494">
        <w:rPr>
          <w:rStyle w:val="FootnoteReference"/>
          <w:rFonts w:eastAsia="Times New Roman" w:cs="Times New Roman"/>
          <w:noProof/>
          <w:szCs w:val="24"/>
        </w:rPr>
        <w:footnoteReference w:id="67"/>
      </w:r>
      <w:r w:rsidRPr="007C1494">
        <w:rPr>
          <w:rFonts w:eastAsia="Times New Roman" w:cs="Times New Roman"/>
          <w:noProof/>
          <w:szCs w:val="24"/>
        </w:rPr>
        <w:t xml:space="preserve"> during the period 2008-2017 was responsible for </w:t>
      </w:r>
      <w:r w:rsidR="008932F4" w:rsidRPr="007C1494">
        <w:rPr>
          <w:rFonts w:eastAsia="Times New Roman" w:cs="Times New Roman"/>
          <w:noProof/>
          <w:szCs w:val="24"/>
        </w:rPr>
        <w:t>19</w:t>
      </w:r>
      <w:r w:rsidRPr="007C1494">
        <w:rPr>
          <w:rFonts w:eastAsia="Times New Roman" w:cs="Times New Roman"/>
          <w:noProof/>
          <w:szCs w:val="24"/>
        </w:rPr>
        <w:t xml:space="preserve">% of the </w:t>
      </w:r>
      <w:r w:rsidR="005F57BC">
        <w:rPr>
          <w:rFonts w:eastAsia="Times New Roman" w:cs="Times New Roman"/>
          <w:noProof/>
          <w:szCs w:val="24"/>
        </w:rPr>
        <w:t>tropical</w:t>
      </w:r>
      <w:r w:rsidRPr="007C1494" w:rsidDel="005F57BC">
        <w:rPr>
          <w:rFonts w:eastAsia="Times New Roman" w:cs="Times New Roman"/>
          <w:noProof/>
          <w:szCs w:val="24"/>
        </w:rPr>
        <w:t xml:space="preserve"> </w:t>
      </w:r>
      <w:r w:rsidRPr="007C1494">
        <w:rPr>
          <w:rFonts w:eastAsia="Times New Roman" w:cs="Times New Roman"/>
          <w:noProof/>
          <w:szCs w:val="24"/>
        </w:rPr>
        <w:t xml:space="preserve">deforestation </w:t>
      </w:r>
      <w:r w:rsidR="005F57BC">
        <w:rPr>
          <w:rFonts w:eastAsia="Times New Roman" w:cs="Times New Roman"/>
          <w:noProof/>
          <w:szCs w:val="24"/>
        </w:rPr>
        <w:t xml:space="preserve">embedded in the international imports of the six commodities selected in the product scope </w:t>
      </w:r>
      <w:r w:rsidRPr="007C1494">
        <w:rPr>
          <w:rFonts w:eastAsia="Times New Roman" w:cs="Times New Roman"/>
          <w:noProof/>
          <w:szCs w:val="24"/>
        </w:rPr>
        <w:t>(</w:t>
      </w:r>
      <w:r w:rsidR="008932F4" w:rsidRPr="007C1494">
        <w:rPr>
          <w:rFonts w:eastAsia="Times New Roman" w:cs="Times New Roman"/>
          <w:noProof/>
          <w:szCs w:val="24"/>
        </w:rPr>
        <w:t>6</w:t>
      </w:r>
      <w:r w:rsidRPr="007C1494">
        <w:rPr>
          <w:rFonts w:eastAsia="Times New Roman" w:cs="Times New Roman"/>
          <w:noProof/>
          <w:szCs w:val="24"/>
        </w:rPr>
        <w:t xml:space="preserve">% if domestic consumption of producing countries is considered). </w:t>
      </w:r>
      <w:r w:rsidR="00C82CC5" w:rsidRPr="007C1494">
        <w:rPr>
          <w:rFonts w:eastAsia="Times New Roman" w:cs="Times New Roman"/>
          <w:noProof/>
          <w:szCs w:val="24"/>
        </w:rPr>
        <w:t xml:space="preserve">The following </w:t>
      </w:r>
      <w:r w:rsidR="007A09AC" w:rsidRPr="007C1494">
        <w:rPr>
          <w:rFonts w:eastAsia="Times New Roman" w:cs="Times New Roman"/>
          <w:noProof/>
          <w:szCs w:val="24"/>
        </w:rPr>
        <w:t>figure</w:t>
      </w:r>
      <w:r w:rsidR="00C82CC5" w:rsidRPr="007C1494">
        <w:rPr>
          <w:rFonts w:eastAsia="Times New Roman" w:cs="Times New Roman"/>
          <w:noProof/>
          <w:szCs w:val="24"/>
        </w:rPr>
        <w:t xml:space="preserve"> presents the contribution of EU consumption to deforestation risk for each of the main commodities</w:t>
      </w:r>
      <w:r w:rsidR="00A41CA5" w:rsidRPr="007C1494">
        <w:rPr>
          <w:rFonts w:eastAsia="Times New Roman" w:cs="Times New Roman"/>
          <w:noProof/>
          <w:szCs w:val="24"/>
        </w:rPr>
        <w:t xml:space="preserve"> (palm oil, soy, </w:t>
      </w:r>
      <w:r w:rsidR="0094508C">
        <w:rPr>
          <w:rFonts w:eastAsia="Times New Roman" w:cs="Times New Roman"/>
          <w:noProof/>
          <w:szCs w:val="24"/>
        </w:rPr>
        <w:t>cattle</w:t>
      </w:r>
      <w:r w:rsidR="00A41CA5" w:rsidRPr="007C1494">
        <w:rPr>
          <w:rFonts w:eastAsia="Times New Roman" w:cs="Times New Roman"/>
          <w:noProof/>
          <w:szCs w:val="24"/>
        </w:rPr>
        <w:t>, cocoa, coffee and wood</w:t>
      </w:r>
      <w:r w:rsidR="007A2509">
        <w:rPr>
          <w:rFonts w:eastAsia="Times New Roman" w:cs="Times New Roman"/>
          <w:noProof/>
          <w:szCs w:val="24"/>
        </w:rPr>
        <w:t xml:space="preserve"> – see also chapter 5</w:t>
      </w:r>
      <w:r w:rsidR="00A41CA5" w:rsidRPr="007C1494">
        <w:rPr>
          <w:rFonts w:eastAsia="Times New Roman" w:cs="Times New Roman"/>
          <w:noProof/>
          <w:szCs w:val="24"/>
        </w:rPr>
        <w:t>)</w:t>
      </w:r>
      <w:r w:rsidR="00C82CC5" w:rsidRPr="007C1494">
        <w:rPr>
          <w:rFonts w:eastAsia="Times New Roman" w:cs="Times New Roman"/>
          <w:noProof/>
          <w:szCs w:val="24"/>
        </w:rPr>
        <w:t>.</w:t>
      </w:r>
    </w:p>
    <w:p w14:paraId="3F9B7E2D" w14:textId="6A349124" w:rsidR="00C82CC5" w:rsidRPr="007C1494" w:rsidRDefault="00C82CC5">
      <w:pPr>
        <w:pStyle w:val="WDFigureTitle"/>
        <w:jc w:val="both"/>
        <w:rPr>
          <w:rFonts w:eastAsia="Calibri" w:cs="Times New Roman"/>
          <w:noProof/>
        </w:rPr>
      </w:pPr>
      <w:r w:rsidRPr="00892EB7">
        <w:rPr>
          <w:rFonts w:ascii="Times New Roman" w:hAnsi="Times New Roman" w:cs="Times New Roman"/>
          <w:noProof/>
          <w:color w:val="auto"/>
          <w:sz w:val="18"/>
          <w:szCs w:val="18"/>
        </w:rPr>
        <w:t>Figure</w:t>
      </w:r>
      <w:r w:rsidR="001B198B" w:rsidRPr="00892EB7">
        <w:rPr>
          <w:rFonts w:ascii="Times New Roman" w:hAnsi="Times New Roman" w:cs="Times New Roman"/>
          <w:noProof/>
          <w:color w:val="auto"/>
          <w:sz w:val="18"/>
          <w:szCs w:val="18"/>
        </w:rPr>
        <w:t xml:space="preserve"> 3</w:t>
      </w:r>
      <w:r w:rsidR="001B198B" w:rsidRPr="00892EB7">
        <w:rPr>
          <w:rFonts w:ascii="Times New Roman" w:hAnsi="Times New Roman" w:cs="Times New Roman"/>
          <w:noProof/>
          <w:color w:val="auto"/>
          <w:sz w:val="18"/>
          <w:szCs w:val="18"/>
        </w:rPr>
        <w:tab/>
        <w:t>C</w:t>
      </w:r>
      <w:r w:rsidRPr="00892EB7">
        <w:rPr>
          <w:rFonts w:ascii="Times New Roman" w:hAnsi="Times New Roman" w:cs="Times New Roman"/>
          <w:noProof/>
          <w:color w:val="auto"/>
          <w:sz w:val="18"/>
          <w:szCs w:val="18"/>
        </w:rPr>
        <w:t xml:space="preserve">ontribution of imported consumption to risk of deforestation for selected commodities (average of period 2008-2017 in thousands of hectares per year; only countries larger than 10% are shown </w:t>
      </w:r>
      <w:r w:rsidR="00997FE1" w:rsidRPr="00892EB7">
        <w:rPr>
          <w:rFonts w:ascii="Times New Roman" w:hAnsi="Times New Roman" w:cs="Times New Roman"/>
          <w:noProof/>
          <w:color w:val="auto"/>
          <w:sz w:val="18"/>
          <w:szCs w:val="18"/>
        </w:rPr>
        <w:t>in the charts for individual commodities</w:t>
      </w:r>
      <w:r w:rsidRPr="00892EB7">
        <w:rPr>
          <w:rFonts w:ascii="Times New Roman" w:hAnsi="Times New Roman" w:cs="Times New Roman"/>
          <w:noProof/>
          <w:color w:val="auto"/>
          <w:sz w:val="18"/>
          <w:szCs w:val="18"/>
        </w:rPr>
        <w:t>). Source: own elaboration based on data from Pendrill et al (2020). (RoW: rest of the world).</w:t>
      </w:r>
    </w:p>
    <w:tbl>
      <w:tblPr>
        <w:tblStyle w:val="TableGrid3"/>
        <w:tblW w:w="0" w:type="auto"/>
        <w:tblCellMar>
          <w:left w:w="0" w:type="dxa"/>
          <w:right w:w="0" w:type="dxa"/>
        </w:tblCellMar>
        <w:tblLook w:val="04A0" w:firstRow="1" w:lastRow="0" w:firstColumn="1" w:lastColumn="0" w:noHBand="0" w:noVBand="1"/>
      </w:tblPr>
      <w:tblGrid>
        <w:gridCol w:w="4240"/>
        <w:gridCol w:w="4388"/>
      </w:tblGrid>
      <w:tr w:rsidR="00C82CC5" w:rsidRPr="007C1494" w14:paraId="1B033069" w14:textId="77777777" w:rsidTr="00C77175">
        <w:trPr>
          <w:trHeight w:val="3017"/>
        </w:trPr>
        <w:tc>
          <w:tcPr>
            <w:tcW w:w="8999" w:type="dxa"/>
            <w:gridSpan w:val="2"/>
          </w:tcPr>
          <w:p w14:paraId="4B446C7F" w14:textId="77777777" w:rsidR="00C82CC5" w:rsidRPr="007C1494" w:rsidRDefault="00C82CC5" w:rsidP="00C82CC5">
            <w:pPr>
              <w:jc w:val="both"/>
              <w:rPr>
                <w:rFonts w:eastAsia="Calibri" w:cs="Times New Roman"/>
                <w:noProof/>
                <w:lang w:val="en-GB"/>
              </w:rPr>
            </w:pPr>
            <w:r w:rsidRPr="007C1494">
              <w:rPr>
                <w:rFonts w:eastAsia="Calibri" w:cs="Times New Roman"/>
                <w:noProof/>
                <w:lang w:eastAsia="en-GB"/>
              </w:rPr>
              <w:drawing>
                <wp:inline distT="0" distB="0" distL="0" distR="0" wp14:anchorId="2105BA89" wp14:editId="43082147">
                  <wp:extent cx="5457464" cy="1922145"/>
                  <wp:effectExtent l="0" t="0" r="10160" b="190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C82CC5" w:rsidRPr="007C1494" w14:paraId="650B335D" w14:textId="77777777" w:rsidTr="00C77175">
        <w:trPr>
          <w:trHeight w:val="2863"/>
        </w:trPr>
        <w:tc>
          <w:tcPr>
            <w:tcW w:w="4365" w:type="dxa"/>
          </w:tcPr>
          <w:p w14:paraId="6464F1AD" w14:textId="77777777" w:rsidR="00C82CC5" w:rsidRPr="007C1494" w:rsidRDefault="00C82CC5" w:rsidP="00C82CC5">
            <w:pPr>
              <w:jc w:val="both"/>
              <w:rPr>
                <w:rFonts w:eastAsia="Calibri" w:cs="Times New Roman"/>
                <w:noProof/>
                <w:lang w:val="en-GB"/>
              </w:rPr>
            </w:pPr>
            <w:r w:rsidRPr="007C1494">
              <w:rPr>
                <w:rFonts w:eastAsia="Calibri" w:cs="Times New Roman"/>
                <w:noProof/>
                <w:lang w:eastAsia="en-GB"/>
              </w:rPr>
              <w:drawing>
                <wp:inline distT="0" distB="0" distL="0" distR="0" wp14:anchorId="531D7729" wp14:editId="56AEE65E">
                  <wp:extent cx="2621666" cy="1816735"/>
                  <wp:effectExtent l="0" t="0" r="7620" b="1206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633" w:type="dxa"/>
          </w:tcPr>
          <w:p w14:paraId="0F986945" w14:textId="77777777" w:rsidR="00C82CC5" w:rsidRPr="007C1494" w:rsidRDefault="00C82CC5" w:rsidP="00C82CC5">
            <w:pPr>
              <w:jc w:val="both"/>
              <w:rPr>
                <w:rFonts w:eastAsia="Calibri" w:cs="Times New Roman"/>
                <w:noProof/>
                <w:lang w:val="en-GB"/>
              </w:rPr>
            </w:pPr>
            <w:r w:rsidRPr="007C1494">
              <w:rPr>
                <w:rFonts w:eastAsia="Calibri" w:cs="Times New Roman"/>
                <w:noProof/>
                <w:lang w:eastAsia="en-GB"/>
              </w:rPr>
              <w:drawing>
                <wp:inline distT="0" distB="0" distL="0" distR="0" wp14:anchorId="10AF1CBA" wp14:editId="1575D804">
                  <wp:extent cx="2795286" cy="1822450"/>
                  <wp:effectExtent l="0" t="0" r="5080" b="63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C82CC5" w:rsidRPr="007C1494" w14:paraId="684EBBA7" w14:textId="77777777" w:rsidTr="00C77175">
        <w:trPr>
          <w:trHeight w:val="2500"/>
        </w:trPr>
        <w:tc>
          <w:tcPr>
            <w:tcW w:w="4365" w:type="dxa"/>
          </w:tcPr>
          <w:p w14:paraId="79BE5292" w14:textId="77777777" w:rsidR="00C82CC5" w:rsidRPr="007C1494" w:rsidRDefault="00C82CC5" w:rsidP="00C82CC5">
            <w:pPr>
              <w:jc w:val="both"/>
              <w:rPr>
                <w:rFonts w:eastAsia="Calibri" w:cs="Times New Roman"/>
                <w:noProof/>
                <w:lang w:val="en-GB"/>
              </w:rPr>
            </w:pPr>
            <w:r w:rsidRPr="007C1494">
              <w:rPr>
                <w:rFonts w:eastAsia="Calibri" w:cs="Times New Roman"/>
                <w:noProof/>
                <w:lang w:eastAsia="en-GB"/>
              </w:rPr>
              <w:drawing>
                <wp:inline distT="0" distB="0" distL="0" distR="0" wp14:anchorId="46B81F26" wp14:editId="39AB4F80">
                  <wp:extent cx="2621666" cy="1579880"/>
                  <wp:effectExtent l="0" t="0" r="7620" b="127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633" w:type="dxa"/>
          </w:tcPr>
          <w:p w14:paraId="15729870" w14:textId="77777777" w:rsidR="00C82CC5" w:rsidRPr="007C1494" w:rsidRDefault="00C82CC5" w:rsidP="00C82CC5">
            <w:pPr>
              <w:jc w:val="both"/>
              <w:rPr>
                <w:rFonts w:eastAsia="Calibri" w:cs="Times New Roman"/>
                <w:noProof/>
                <w:lang w:val="en-GB"/>
              </w:rPr>
            </w:pPr>
            <w:r w:rsidRPr="007C1494">
              <w:rPr>
                <w:rFonts w:eastAsia="Calibri" w:cs="Times New Roman"/>
                <w:noProof/>
                <w:lang w:eastAsia="en-GB"/>
              </w:rPr>
              <w:drawing>
                <wp:inline distT="0" distB="0" distL="0" distR="0" wp14:anchorId="47116BF6" wp14:editId="7EAE5611">
                  <wp:extent cx="2812648" cy="1585595"/>
                  <wp:effectExtent l="0" t="0" r="6985" b="146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C82CC5" w:rsidRPr="007C1494" w14:paraId="1CE4E4B3" w14:textId="77777777" w:rsidTr="00C77175">
        <w:trPr>
          <w:trHeight w:val="2573"/>
        </w:trPr>
        <w:tc>
          <w:tcPr>
            <w:tcW w:w="4365" w:type="dxa"/>
          </w:tcPr>
          <w:p w14:paraId="2F81F400" w14:textId="77777777" w:rsidR="00C82CC5" w:rsidRPr="007C1494" w:rsidRDefault="00C82CC5" w:rsidP="00C82CC5">
            <w:pPr>
              <w:jc w:val="both"/>
              <w:rPr>
                <w:rFonts w:eastAsia="Calibri" w:cs="Times New Roman"/>
                <w:noProof/>
                <w:lang w:val="en-GB"/>
              </w:rPr>
            </w:pPr>
            <w:r w:rsidRPr="007C1494">
              <w:rPr>
                <w:rFonts w:eastAsia="Calibri" w:cs="Times New Roman"/>
                <w:noProof/>
                <w:lang w:eastAsia="en-GB"/>
              </w:rPr>
              <w:drawing>
                <wp:inline distT="0" distB="0" distL="0" distR="0" wp14:anchorId="58931C9A" wp14:editId="591B7AED">
                  <wp:extent cx="2714264" cy="1619885"/>
                  <wp:effectExtent l="0" t="0" r="10160" b="184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633" w:type="dxa"/>
          </w:tcPr>
          <w:p w14:paraId="277A60EB" w14:textId="77777777" w:rsidR="00C82CC5" w:rsidRPr="007C1494" w:rsidRDefault="00C82CC5" w:rsidP="00C82CC5">
            <w:pPr>
              <w:jc w:val="both"/>
              <w:rPr>
                <w:rFonts w:eastAsia="Calibri" w:cs="Times New Roman"/>
                <w:noProof/>
                <w:lang w:val="en-GB"/>
              </w:rPr>
            </w:pPr>
            <w:r w:rsidRPr="007C1494">
              <w:rPr>
                <w:rFonts w:eastAsia="Calibri" w:cs="Times New Roman"/>
                <w:noProof/>
                <w:lang w:eastAsia="en-GB"/>
              </w:rPr>
              <w:drawing>
                <wp:inline distT="0" distB="0" distL="0" distR="0" wp14:anchorId="57709E3F" wp14:editId="7F9EA0FC">
                  <wp:extent cx="2731063" cy="1631950"/>
                  <wp:effectExtent l="0" t="0" r="12700" b="63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14266BE4" w14:textId="77777777" w:rsidR="00C82CC5" w:rsidRPr="007C1494" w:rsidRDefault="00C82CC5" w:rsidP="00C82CC5">
      <w:pPr>
        <w:spacing w:after="0" w:line="259" w:lineRule="auto"/>
        <w:jc w:val="both"/>
        <w:rPr>
          <w:rFonts w:eastAsia="Calibri" w:cs="Times New Roman"/>
          <w:noProof/>
        </w:rPr>
      </w:pPr>
    </w:p>
    <w:p w14:paraId="1219E676" w14:textId="2EC5387D" w:rsidR="008A4D18" w:rsidRPr="007C1494" w:rsidRDefault="008A4D18" w:rsidP="00892EB7">
      <w:pPr>
        <w:spacing w:after="120"/>
        <w:jc w:val="both"/>
        <w:rPr>
          <w:rFonts w:eastAsia="Times New Roman" w:cs="Times New Roman"/>
          <w:noProof/>
          <w:szCs w:val="24"/>
        </w:rPr>
      </w:pPr>
      <w:r w:rsidRPr="007C1494">
        <w:rPr>
          <w:rFonts w:eastAsia="Times New Roman" w:cs="Times New Roman"/>
          <w:noProof/>
          <w:szCs w:val="24"/>
        </w:rPr>
        <w:t>The</w:t>
      </w:r>
      <w:r w:rsidR="00C82CC5" w:rsidRPr="007C1494">
        <w:rPr>
          <w:rFonts w:eastAsia="Times New Roman" w:cs="Times New Roman"/>
          <w:noProof/>
          <w:szCs w:val="24"/>
        </w:rPr>
        <w:t xml:space="preserve"> overall</w:t>
      </w:r>
      <w:r w:rsidRPr="007C1494">
        <w:rPr>
          <w:rFonts w:eastAsia="Times New Roman" w:cs="Times New Roman"/>
          <w:noProof/>
          <w:szCs w:val="24"/>
        </w:rPr>
        <w:t xml:space="preserve"> lower figures in relation to those found in previous studies are consistent with the </w:t>
      </w:r>
      <w:r w:rsidR="00C82CC5" w:rsidRPr="007C1494">
        <w:rPr>
          <w:rFonts w:eastAsia="Times New Roman" w:cs="Times New Roman"/>
          <w:noProof/>
          <w:szCs w:val="24"/>
        </w:rPr>
        <w:t xml:space="preserve">significant </w:t>
      </w:r>
      <w:r w:rsidRPr="007C1494">
        <w:rPr>
          <w:rFonts w:eastAsia="Times New Roman" w:cs="Times New Roman"/>
          <w:noProof/>
          <w:szCs w:val="24"/>
        </w:rPr>
        <w:t xml:space="preserve">growth in commodity consumption by </w:t>
      </w:r>
      <w:r w:rsidR="00C82CC5" w:rsidRPr="007C1494">
        <w:rPr>
          <w:rFonts w:eastAsia="Times New Roman" w:cs="Times New Roman"/>
          <w:noProof/>
          <w:szCs w:val="24"/>
        </w:rPr>
        <w:t xml:space="preserve">the rest of the </w:t>
      </w:r>
      <w:r w:rsidRPr="007C1494">
        <w:rPr>
          <w:rFonts w:eastAsia="Times New Roman" w:cs="Times New Roman"/>
          <w:noProof/>
          <w:szCs w:val="24"/>
        </w:rPr>
        <w:t xml:space="preserve">world economies </w:t>
      </w:r>
      <w:r w:rsidR="00C82CC5" w:rsidRPr="007C1494">
        <w:rPr>
          <w:rFonts w:eastAsia="Times New Roman" w:cs="Times New Roman"/>
          <w:noProof/>
          <w:szCs w:val="24"/>
        </w:rPr>
        <w:t>compared to the</w:t>
      </w:r>
      <w:r w:rsidR="00860D69">
        <w:rPr>
          <w:rFonts w:eastAsia="Times New Roman" w:cs="Times New Roman"/>
          <w:noProof/>
          <w:szCs w:val="24"/>
        </w:rPr>
        <w:t xml:space="preserve"> more stable consumption of the</w:t>
      </w:r>
      <w:r w:rsidR="00C82CC5" w:rsidRPr="007C1494">
        <w:rPr>
          <w:rFonts w:eastAsia="Times New Roman" w:cs="Times New Roman"/>
          <w:noProof/>
          <w:szCs w:val="24"/>
        </w:rPr>
        <w:t xml:space="preserve"> EU </w:t>
      </w:r>
      <w:r w:rsidRPr="007C1494">
        <w:rPr>
          <w:rFonts w:eastAsia="Times New Roman" w:cs="Times New Roman"/>
          <w:noProof/>
          <w:szCs w:val="24"/>
        </w:rPr>
        <w:t>during the past decade</w:t>
      </w:r>
      <w:r w:rsidR="00C82CC5" w:rsidRPr="007C1494">
        <w:rPr>
          <w:rFonts w:eastAsia="Times New Roman" w:cs="Times New Roman"/>
          <w:noProof/>
          <w:szCs w:val="24"/>
        </w:rPr>
        <w:t>, as shown in the following figure</w:t>
      </w:r>
      <w:r w:rsidRPr="007C1494">
        <w:rPr>
          <w:rFonts w:eastAsia="Times New Roman" w:cs="Times New Roman"/>
          <w:noProof/>
          <w:szCs w:val="24"/>
        </w:rPr>
        <w:t>.</w:t>
      </w:r>
    </w:p>
    <w:p w14:paraId="2F9F26B7" w14:textId="63D133B6" w:rsidR="00C82CC5" w:rsidRPr="00892EB7" w:rsidRDefault="00C82CC5" w:rsidP="000B201B">
      <w:pPr>
        <w:pStyle w:val="WDFigureTitle"/>
        <w:spacing w:before="0" w:after="120"/>
        <w:ind w:left="360"/>
        <w:jc w:val="both"/>
        <w:rPr>
          <w:rFonts w:ascii="Times New Roman" w:hAnsi="Times New Roman" w:cs="Times New Roman"/>
          <w:noProof/>
          <w:sz w:val="18"/>
          <w:szCs w:val="18"/>
        </w:rPr>
      </w:pPr>
      <w:r w:rsidRPr="00892EB7">
        <w:rPr>
          <w:rFonts w:ascii="Times New Roman" w:hAnsi="Times New Roman" w:cs="Times New Roman"/>
          <w:noProof/>
          <w:color w:val="auto"/>
          <w:sz w:val="18"/>
          <w:szCs w:val="18"/>
        </w:rPr>
        <w:t>Figure</w:t>
      </w:r>
      <w:r w:rsidR="001B198B" w:rsidRPr="00892EB7">
        <w:rPr>
          <w:rFonts w:ascii="Times New Roman" w:hAnsi="Times New Roman" w:cs="Times New Roman"/>
          <w:noProof/>
          <w:color w:val="auto"/>
          <w:sz w:val="18"/>
          <w:szCs w:val="18"/>
        </w:rPr>
        <w:t xml:space="preserve"> 4</w:t>
      </w:r>
      <w:r w:rsidR="001B198B" w:rsidRPr="00892EB7">
        <w:rPr>
          <w:rFonts w:ascii="Times New Roman" w:hAnsi="Times New Roman" w:cs="Times New Roman"/>
          <w:noProof/>
          <w:color w:val="auto"/>
          <w:sz w:val="18"/>
          <w:szCs w:val="18"/>
        </w:rPr>
        <w:tab/>
        <w:t>R</w:t>
      </w:r>
      <w:r w:rsidRPr="00892EB7">
        <w:rPr>
          <w:rFonts w:ascii="Times New Roman" w:hAnsi="Times New Roman" w:cs="Times New Roman"/>
          <w:noProof/>
          <w:color w:val="auto"/>
          <w:sz w:val="18"/>
          <w:szCs w:val="18"/>
        </w:rPr>
        <w:t xml:space="preserve">elative growth of import of selected commodities (in tonnes) by the EU and the rest of the world in the period 2008-2017. Source FAOSTAT. Based on palm oil, soy, beef, cocoa and coffee. Imports in 2008 = 100. </w:t>
      </w:r>
    </w:p>
    <w:p w14:paraId="7744C1E2" w14:textId="7E8C033A" w:rsidR="00C82CC5" w:rsidRPr="007C1494" w:rsidRDefault="00C82CC5" w:rsidP="00892EB7">
      <w:pPr>
        <w:spacing w:after="0" w:line="259" w:lineRule="auto"/>
        <w:jc w:val="both"/>
        <w:rPr>
          <w:rFonts w:eastAsia="Times New Roman" w:cs="Times New Roman"/>
          <w:noProof/>
          <w:szCs w:val="24"/>
        </w:rPr>
      </w:pPr>
      <w:r w:rsidRPr="007C1494">
        <w:rPr>
          <w:rFonts w:eastAsia="Calibri" w:cs="Times New Roman"/>
          <w:noProof/>
          <w:lang w:eastAsia="en-GB"/>
        </w:rPr>
        <w:drawing>
          <wp:inline distT="0" distB="0" distL="0" distR="0" wp14:anchorId="2CE86494" wp14:editId="5EFE49C8">
            <wp:extent cx="3735837" cy="2288445"/>
            <wp:effectExtent l="0" t="0" r="17145" b="1714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C4EA168" w14:textId="0755CADB" w:rsidR="007222CA" w:rsidRPr="007C1494" w:rsidRDefault="00335526" w:rsidP="00335526">
      <w:pPr>
        <w:pStyle w:val="Heading3"/>
        <w:rPr>
          <w:b/>
          <w:bCs/>
          <w:noProof/>
        </w:rPr>
      </w:pPr>
      <w:bookmarkStart w:id="37" w:name="_Toc67074977"/>
      <w:bookmarkStart w:id="38" w:name="_Toc75542171"/>
      <w:bookmarkStart w:id="39" w:name="_Toc75543204"/>
      <w:bookmarkStart w:id="40" w:name="_Toc84591892"/>
      <w:r w:rsidRPr="00335526">
        <w:t>2.3.1</w:t>
      </w:r>
      <w:r w:rsidRPr="00335526">
        <w:tab/>
      </w:r>
      <w:r w:rsidR="007222CA" w:rsidRPr="007C1494">
        <w:rPr>
          <w:noProof/>
        </w:rPr>
        <w:t>Market and regulatory failures</w:t>
      </w:r>
      <w:bookmarkEnd w:id="37"/>
      <w:bookmarkEnd w:id="38"/>
      <w:bookmarkEnd w:id="39"/>
      <w:bookmarkEnd w:id="40"/>
    </w:p>
    <w:p w14:paraId="1F4FBD56" w14:textId="07A9F4E6" w:rsidR="007222CA" w:rsidRPr="007C1494" w:rsidRDefault="00860D69" w:rsidP="004A5E45">
      <w:pPr>
        <w:jc w:val="both"/>
        <w:rPr>
          <w:noProof/>
        </w:rPr>
      </w:pPr>
      <w:r w:rsidRPr="00860D69">
        <w:rPr>
          <w:noProof/>
        </w:rPr>
        <w:t>At the global and regional level there are a number of general, political commitments regarding the protection and conservation of forests. However, while consumption of the abovementioned commodities drives the problem of deforestation and degradation, the markets currently fail to account for these environmental costs. They therefore do not provide sufficient incentive to change EU consumption away from these products with harmful supply-chains and equally do not encourage the consumption of deforestation-free commodities and products in the EU.</w:t>
      </w:r>
      <w:r w:rsidR="007A2509">
        <w:rPr>
          <w:noProof/>
        </w:rPr>
        <w:t xml:space="preserve"> </w:t>
      </w:r>
      <w:r w:rsidR="007222CA" w:rsidRPr="007C1494">
        <w:rPr>
          <w:noProof/>
        </w:rPr>
        <w:t>Th</w:t>
      </w:r>
      <w:r>
        <w:rPr>
          <w:noProof/>
        </w:rPr>
        <w:t>is</w:t>
      </w:r>
      <w:r w:rsidR="007222CA" w:rsidRPr="007C1494">
        <w:rPr>
          <w:noProof/>
        </w:rPr>
        <w:t xml:space="preserve"> first </w:t>
      </w:r>
      <w:r w:rsidR="00E47743" w:rsidRPr="007C1494">
        <w:rPr>
          <w:noProof/>
        </w:rPr>
        <w:t xml:space="preserve">failure is that </w:t>
      </w:r>
      <w:r w:rsidR="007222CA" w:rsidRPr="007C1494">
        <w:rPr>
          <w:noProof/>
        </w:rPr>
        <w:t>market prices do not reflect how one activity produces costs or benefits for other activities</w:t>
      </w:r>
      <w:r w:rsidR="00E47743" w:rsidRPr="007C1494">
        <w:rPr>
          <w:noProof/>
        </w:rPr>
        <w:t xml:space="preserve"> or impacts</w:t>
      </w:r>
      <w:r w:rsidR="0092308D" w:rsidRPr="007C1494">
        <w:rPr>
          <w:noProof/>
        </w:rPr>
        <w:t xml:space="preserve"> on environmental and social issues</w:t>
      </w:r>
      <w:r w:rsidR="007222CA" w:rsidRPr="007C1494">
        <w:rPr>
          <w:noProof/>
        </w:rPr>
        <w:t>. Specifically, deforestation results in negative externalities, including increased release of carbon into the atmosphere associated with global climate change, biodiversity loss</w:t>
      </w:r>
      <w:r>
        <w:rPr>
          <w:noProof/>
        </w:rPr>
        <w:t xml:space="preserve"> through loss of habitat</w:t>
      </w:r>
      <w:r w:rsidR="007222CA" w:rsidRPr="007C1494">
        <w:rPr>
          <w:noProof/>
        </w:rPr>
        <w:t xml:space="preserve">, </w:t>
      </w:r>
      <w:r w:rsidR="00A44A23">
        <w:rPr>
          <w:noProof/>
        </w:rPr>
        <w:t>loss of associated ecosystem services with subsequent impacts on agricultural yields</w:t>
      </w:r>
      <w:r w:rsidR="00A44A23">
        <w:rPr>
          <w:rStyle w:val="FootnoteReference"/>
          <w:noProof/>
        </w:rPr>
        <w:footnoteReference w:id="68"/>
      </w:r>
      <w:r w:rsidR="00A44A23">
        <w:rPr>
          <w:noProof/>
        </w:rPr>
        <w:t xml:space="preserve">, </w:t>
      </w:r>
      <w:r w:rsidR="007222CA" w:rsidRPr="007C1494">
        <w:rPr>
          <w:noProof/>
        </w:rPr>
        <w:t xml:space="preserve">and increased risks of </w:t>
      </w:r>
      <w:r w:rsidRPr="007C1494">
        <w:rPr>
          <w:noProof/>
        </w:rPr>
        <w:t>pandemic</w:t>
      </w:r>
      <w:r>
        <w:rPr>
          <w:noProof/>
        </w:rPr>
        <w:t>s by bringing nature and people more in contact through land clearing</w:t>
      </w:r>
      <w:r w:rsidR="007222CA" w:rsidRPr="007C1494">
        <w:rPr>
          <w:noProof/>
        </w:rPr>
        <w:t>. These externalities are not reflected in the price of the products provoking deforestation.</w:t>
      </w:r>
    </w:p>
    <w:p w14:paraId="5ABA3EE6" w14:textId="42B5CBB2" w:rsidR="007222CA" w:rsidRDefault="007222CA" w:rsidP="003069EA">
      <w:pPr>
        <w:jc w:val="both"/>
        <w:rPr>
          <w:rFonts w:eastAsia="Times New Roman" w:cs="Times New Roman"/>
          <w:noProof/>
          <w:szCs w:val="24"/>
        </w:rPr>
      </w:pPr>
      <w:r w:rsidRPr="007C1494">
        <w:rPr>
          <w:rFonts w:eastAsia="Times New Roman" w:cs="Times New Roman"/>
          <w:noProof/>
          <w:szCs w:val="24"/>
        </w:rPr>
        <w:t>Solutions to externalities include ensuring that prices reflect the externality more accurately (i.e. internalise) or by correcting the market through regulation of the particular activity.</w:t>
      </w:r>
    </w:p>
    <w:p w14:paraId="41B32C81" w14:textId="048D9555" w:rsidR="00A653CB" w:rsidRDefault="00A653CB">
      <w:pPr>
        <w:jc w:val="both"/>
        <w:rPr>
          <w:rFonts w:eastAsia="Times New Roman" w:cs="Times New Roman"/>
          <w:noProof/>
          <w:szCs w:val="24"/>
        </w:rPr>
      </w:pPr>
      <w:r>
        <w:rPr>
          <w:rFonts w:eastAsia="Times New Roman" w:cs="Times New Roman"/>
          <w:noProof/>
          <w:szCs w:val="24"/>
        </w:rPr>
        <w:t xml:space="preserve">The second failure is the lack of a </w:t>
      </w:r>
      <w:r w:rsidR="0094508C">
        <w:rPr>
          <w:rFonts w:eastAsia="Times New Roman" w:cs="Times New Roman"/>
          <w:noProof/>
          <w:szCs w:val="24"/>
        </w:rPr>
        <w:t xml:space="preserve">level </w:t>
      </w:r>
      <w:r>
        <w:rPr>
          <w:rFonts w:eastAsia="Times New Roman" w:cs="Times New Roman"/>
          <w:noProof/>
          <w:szCs w:val="24"/>
        </w:rPr>
        <w:t xml:space="preserve">playing field for </w:t>
      </w:r>
      <w:r w:rsidRPr="00A653CB">
        <w:rPr>
          <w:rFonts w:eastAsia="Times New Roman" w:cs="Times New Roman"/>
          <w:noProof/>
          <w:szCs w:val="24"/>
        </w:rPr>
        <w:t>EU operators that want to source sustainable products.</w:t>
      </w:r>
      <w:r>
        <w:rPr>
          <w:rFonts w:eastAsia="Times New Roman" w:cs="Times New Roman"/>
          <w:noProof/>
          <w:szCs w:val="24"/>
        </w:rPr>
        <w:t xml:space="preserve"> A recent report</w:t>
      </w:r>
      <w:r>
        <w:rPr>
          <w:rStyle w:val="FootnoteReference"/>
          <w:rFonts w:eastAsia="Times New Roman" w:cs="Times New Roman"/>
          <w:noProof/>
          <w:szCs w:val="24"/>
        </w:rPr>
        <w:footnoteReference w:id="69"/>
      </w:r>
      <w:r>
        <w:rPr>
          <w:rFonts w:eastAsia="Times New Roman" w:cs="Times New Roman"/>
          <w:noProof/>
          <w:szCs w:val="24"/>
        </w:rPr>
        <w:t xml:space="preserve"> focusing on </w:t>
      </w:r>
      <w:r w:rsidRPr="00A653CB">
        <w:rPr>
          <w:rFonts w:eastAsia="Times New Roman" w:cs="Times New Roman"/>
          <w:noProof/>
          <w:szCs w:val="24"/>
        </w:rPr>
        <w:t xml:space="preserve">500 </w:t>
      </w:r>
      <w:r>
        <w:rPr>
          <w:rFonts w:eastAsia="Times New Roman" w:cs="Times New Roman"/>
          <w:noProof/>
          <w:szCs w:val="24"/>
        </w:rPr>
        <w:t xml:space="preserve">relevant corporations and </w:t>
      </w:r>
      <w:r w:rsidRPr="00A653CB">
        <w:rPr>
          <w:rFonts w:eastAsia="Times New Roman" w:cs="Times New Roman"/>
          <w:noProof/>
          <w:szCs w:val="24"/>
        </w:rPr>
        <w:t xml:space="preserve">financial institutions </w:t>
      </w:r>
      <w:r>
        <w:rPr>
          <w:rFonts w:eastAsia="Times New Roman" w:cs="Times New Roman"/>
          <w:noProof/>
          <w:szCs w:val="24"/>
        </w:rPr>
        <w:t>concluded that 43</w:t>
      </w:r>
      <w:r w:rsidR="00E369DB">
        <w:rPr>
          <w:rFonts w:eastAsia="Times New Roman" w:cs="Times New Roman"/>
          <w:noProof/>
          <w:szCs w:val="24"/>
        </w:rPr>
        <w:t>%</w:t>
      </w:r>
      <w:r>
        <w:rPr>
          <w:rFonts w:eastAsia="Times New Roman" w:cs="Times New Roman"/>
          <w:noProof/>
          <w:szCs w:val="24"/>
        </w:rPr>
        <w:t xml:space="preserve"> of them did not have in place any deforestation commitments. This means companies aiming to clean their supply chains and prevent deforestation and forest degradation are forced to compete on the EU market with companies that do not implement sustainability considerations in their supply chains and face at the same time the increased costs of sourcing sustainably.</w:t>
      </w:r>
    </w:p>
    <w:p w14:paraId="190DECEE" w14:textId="46A6866A" w:rsidR="00BC4D1A" w:rsidRDefault="00A653CB">
      <w:pPr>
        <w:jc w:val="both"/>
        <w:rPr>
          <w:rFonts w:eastAsia="Times New Roman" w:cs="Times New Roman"/>
          <w:noProof/>
          <w:szCs w:val="24"/>
        </w:rPr>
      </w:pPr>
      <w:r>
        <w:rPr>
          <w:rFonts w:eastAsia="Times New Roman" w:cs="Times New Roman"/>
          <w:noProof/>
          <w:szCs w:val="24"/>
        </w:rPr>
        <w:t xml:space="preserve">It is then no surprise that a majority of industry associations and businesses advocate for binding EU rules that level the playing field, establishing the same requirements for all competitors. </w:t>
      </w:r>
      <w:r w:rsidR="00BC4D1A">
        <w:rPr>
          <w:rFonts w:eastAsia="Times New Roman" w:cs="Times New Roman"/>
          <w:noProof/>
          <w:szCs w:val="24"/>
        </w:rPr>
        <w:t>The o</w:t>
      </w:r>
      <w:r w:rsidR="00422979">
        <w:rPr>
          <w:rFonts w:eastAsia="Times New Roman" w:cs="Times New Roman"/>
          <w:noProof/>
          <w:szCs w:val="24"/>
        </w:rPr>
        <w:t>nline</w:t>
      </w:r>
      <w:r w:rsidR="00BC4D1A">
        <w:rPr>
          <w:rFonts w:eastAsia="Times New Roman" w:cs="Times New Roman"/>
          <w:noProof/>
          <w:szCs w:val="24"/>
        </w:rPr>
        <w:t xml:space="preserve"> public consultation of this impact assessment </w:t>
      </w:r>
      <w:r w:rsidR="008506DB">
        <w:rPr>
          <w:rFonts w:eastAsia="Times New Roman" w:cs="Times New Roman"/>
          <w:noProof/>
          <w:szCs w:val="24"/>
        </w:rPr>
        <w:t xml:space="preserve">specifically </w:t>
      </w:r>
      <w:r w:rsidR="00BC4D1A">
        <w:rPr>
          <w:rFonts w:eastAsia="Times New Roman" w:cs="Times New Roman"/>
          <w:noProof/>
          <w:szCs w:val="24"/>
        </w:rPr>
        <w:t>asked respondents whether “</w:t>
      </w:r>
      <w:r w:rsidR="00BC4D1A" w:rsidRPr="00BC4D1A">
        <w:rPr>
          <w:rFonts w:eastAsia="Times New Roman" w:cs="Times New Roman"/>
          <w:noProof/>
          <w:szCs w:val="24"/>
        </w:rPr>
        <w:t>EU-level demand-side measures would reduce unfair competition from other businesses that have not made voluntary pledges/commitments</w:t>
      </w:r>
      <w:r w:rsidR="00BC4D1A">
        <w:rPr>
          <w:rFonts w:eastAsia="Times New Roman" w:cs="Times New Roman"/>
          <w:noProof/>
          <w:szCs w:val="24"/>
        </w:rPr>
        <w:t xml:space="preserve">.” About 51% of businesses and industry associations answered ‘yes,’ 34% said ‘may be’, and only 9% answered ‘no.’ </w:t>
      </w:r>
    </w:p>
    <w:p w14:paraId="2555105B" w14:textId="7F438E88" w:rsidR="00A670F4" w:rsidRDefault="00BC4D1A" w:rsidP="001C4D32">
      <w:pPr>
        <w:jc w:val="both"/>
        <w:rPr>
          <w:rFonts w:eastAsia="Times New Roman" w:cs="Times New Roman"/>
          <w:noProof/>
          <w:szCs w:val="24"/>
        </w:rPr>
      </w:pPr>
      <w:r>
        <w:rPr>
          <w:rFonts w:eastAsia="Times New Roman" w:cs="Times New Roman"/>
          <w:noProof/>
          <w:szCs w:val="24"/>
        </w:rPr>
        <w:t xml:space="preserve">A recent position paper issued by COCERAL, FEDIOL and FEFAC </w:t>
      </w:r>
      <w:r w:rsidR="005318C7" w:rsidRPr="00A422BB">
        <w:rPr>
          <w:rFonts w:eastAsia="Times New Roman" w:cs="Times New Roman"/>
          <w:noProof/>
          <w:szCs w:val="24"/>
        </w:rPr>
        <w:t>argued</w:t>
      </w:r>
      <w:r>
        <w:rPr>
          <w:rFonts w:eastAsia="Times New Roman" w:cs="Times New Roman"/>
          <w:noProof/>
          <w:szCs w:val="24"/>
        </w:rPr>
        <w:t>: “</w:t>
      </w:r>
      <w:r w:rsidRPr="00903FCB">
        <w:rPr>
          <w:rFonts w:eastAsia="Times New Roman" w:cs="Times New Roman"/>
          <w:i/>
          <w:noProof/>
          <w:szCs w:val="24"/>
        </w:rPr>
        <w:t xml:space="preserve">Many of our companies involved in the soy and palm oil supply chain are already voluntarily implementing a (horizontal) </w:t>
      </w:r>
      <w:r w:rsidRPr="00903FCB" w:rsidDel="00E73B3F">
        <w:rPr>
          <w:rFonts w:eastAsia="Times New Roman" w:cs="Times New Roman"/>
          <w:i/>
          <w:noProof/>
          <w:szCs w:val="24"/>
        </w:rPr>
        <w:t>due diligence</w:t>
      </w:r>
      <w:r w:rsidRPr="00903FCB">
        <w:rPr>
          <w:rFonts w:eastAsia="Times New Roman" w:cs="Times New Roman"/>
          <w:i/>
          <w:noProof/>
          <w:szCs w:val="24"/>
        </w:rPr>
        <w:t>. Making the implementation of such tool mandatory would not only enhance the level playing field across European companies, but also increase awareness among all supply chain actors</w:t>
      </w:r>
      <w:r>
        <w:rPr>
          <w:rFonts w:eastAsia="Times New Roman" w:cs="Times New Roman"/>
          <w:noProof/>
          <w:szCs w:val="24"/>
        </w:rPr>
        <w:t>.”</w:t>
      </w:r>
      <w:r w:rsidR="0094508C">
        <w:rPr>
          <w:rFonts w:eastAsia="Times New Roman" w:cs="Times New Roman"/>
          <w:noProof/>
          <w:szCs w:val="24"/>
        </w:rPr>
        <w:t xml:space="preserve"> </w:t>
      </w:r>
    </w:p>
    <w:p w14:paraId="32192F55" w14:textId="796EA8F7" w:rsidR="00892EB7" w:rsidRDefault="0019062D" w:rsidP="001C4D32">
      <w:pPr>
        <w:jc w:val="both"/>
        <w:rPr>
          <w:rFonts w:eastAsia="Times New Roman" w:cs="Times New Roman"/>
          <w:noProof/>
          <w:szCs w:val="24"/>
        </w:rPr>
      </w:pPr>
      <w:r w:rsidRPr="007C1494">
        <w:rPr>
          <w:rFonts w:eastAsia="Times New Roman" w:cs="Times New Roman"/>
          <w:noProof/>
          <w:szCs w:val="24"/>
        </w:rPr>
        <w:t>The</w:t>
      </w:r>
      <w:r w:rsidRPr="007C1494" w:rsidDel="00A653CB">
        <w:rPr>
          <w:rFonts w:eastAsia="Times New Roman" w:cs="Times New Roman"/>
          <w:noProof/>
          <w:szCs w:val="24"/>
        </w:rPr>
        <w:t xml:space="preserve"> </w:t>
      </w:r>
      <w:r w:rsidR="00A653CB">
        <w:rPr>
          <w:rFonts w:eastAsia="Times New Roman" w:cs="Times New Roman"/>
          <w:noProof/>
          <w:szCs w:val="24"/>
        </w:rPr>
        <w:t>third</w:t>
      </w:r>
      <w:r w:rsidR="00A653CB" w:rsidRPr="007C1494">
        <w:rPr>
          <w:rFonts w:eastAsia="Times New Roman" w:cs="Times New Roman"/>
          <w:noProof/>
          <w:szCs w:val="24"/>
        </w:rPr>
        <w:t xml:space="preserve"> </w:t>
      </w:r>
      <w:r w:rsidR="00E72B9D" w:rsidRPr="007C1494">
        <w:rPr>
          <w:rFonts w:eastAsia="Times New Roman" w:cs="Times New Roman"/>
          <w:noProof/>
          <w:szCs w:val="24"/>
        </w:rPr>
        <w:t xml:space="preserve">failure </w:t>
      </w:r>
      <w:r w:rsidRPr="007C1494">
        <w:rPr>
          <w:rFonts w:eastAsia="Times New Roman" w:cs="Times New Roman"/>
          <w:noProof/>
          <w:szCs w:val="24"/>
        </w:rPr>
        <w:t>is the a</w:t>
      </w:r>
      <w:r w:rsidR="007222CA" w:rsidRPr="007C1494">
        <w:rPr>
          <w:rFonts w:eastAsia="Times New Roman" w:cs="Times New Roman"/>
          <w:noProof/>
          <w:szCs w:val="24"/>
        </w:rPr>
        <w:t xml:space="preserve">bsence of </w:t>
      </w:r>
      <w:r w:rsidR="00E72B9D" w:rsidRPr="007C1494">
        <w:rPr>
          <w:rFonts w:eastAsia="Times New Roman" w:cs="Times New Roman"/>
          <w:noProof/>
          <w:szCs w:val="24"/>
        </w:rPr>
        <w:t xml:space="preserve">a </w:t>
      </w:r>
      <w:r w:rsidR="00D938B7" w:rsidRPr="007C1494">
        <w:rPr>
          <w:rFonts w:eastAsia="Times New Roman" w:cs="Times New Roman"/>
          <w:noProof/>
          <w:szCs w:val="24"/>
        </w:rPr>
        <w:t xml:space="preserve">dedicated </w:t>
      </w:r>
      <w:r w:rsidR="00666A2F">
        <w:rPr>
          <w:rFonts w:eastAsia="Times New Roman" w:cs="Times New Roman"/>
          <w:noProof/>
          <w:szCs w:val="24"/>
        </w:rPr>
        <w:t xml:space="preserve">EU legal framework and of a </w:t>
      </w:r>
      <w:r w:rsidR="007222CA" w:rsidRPr="007C1494">
        <w:rPr>
          <w:rFonts w:eastAsia="Times New Roman" w:cs="Times New Roman"/>
          <w:noProof/>
          <w:szCs w:val="24"/>
        </w:rPr>
        <w:t xml:space="preserve">legally binding </w:t>
      </w:r>
      <w:r w:rsidR="00E24F3B" w:rsidRPr="007C1494">
        <w:rPr>
          <w:rFonts w:eastAsia="Times New Roman" w:cs="Times New Roman"/>
          <w:noProof/>
          <w:szCs w:val="24"/>
        </w:rPr>
        <w:t>international</w:t>
      </w:r>
      <w:r w:rsidR="005E2CB9" w:rsidRPr="007C1494">
        <w:rPr>
          <w:rFonts w:eastAsia="Times New Roman" w:cs="Times New Roman"/>
          <w:noProof/>
          <w:szCs w:val="24"/>
        </w:rPr>
        <w:t xml:space="preserve"> instrument </w:t>
      </w:r>
      <w:r w:rsidR="007222CA" w:rsidRPr="007C1494">
        <w:rPr>
          <w:rFonts w:eastAsia="Times New Roman" w:cs="Times New Roman"/>
          <w:noProof/>
          <w:szCs w:val="24"/>
        </w:rPr>
        <w:t xml:space="preserve">for </w:t>
      </w:r>
      <w:r w:rsidR="00D938B7" w:rsidRPr="007C1494">
        <w:rPr>
          <w:rFonts w:eastAsia="Times New Roman" w:cs="Times New Roman"/>
          <w:noProof/>
          <w:szCs w:val="24"/>
        </w:rPr>
        <w:t xml:space="preserve">the protection of </w:t>
      </w:r>
      <w:r w:rsidR="007222CA" w:rsidRPr="007C1494">
        <w:rPr>
          <w:rFonts w:eastAsia="Times New Roman" w:cs="Times New Roman"/>
          <w:noProof/>
          <w:szCs w:val="24"/>
        </w:rPr>
        <w:t>forest</w:t>
      </w:r>
      <w:r w:rsidR="00CE6C79" w:rsidRPr="007C1494">
        <w:rPr>
          <w:rFonts w:eastAsia="Times New Roman" w:cs="Times New Roman"/>
          <w:noProof/>
          <w:szCs w:val="24"/>
        </w:rPr>
        <w:t>s</w:t>
      </w:r>
      <w:r w:rsidRPr="007C1494">
        <w:rPr>
          <w:rFonts w:eastAsia="Times New Roman" w:cs="Times New Roman"/>
          <w:noProof/>
          <w:szCs w:val="24"/>
        </w:rPr>
        <w:t xml:space="preserve"> </w:t>
      </w:r>
      <w:r w:rsidR="00D938B7" w:rsidRPr="007C1494">
        <w:rPr>
          <w:rFonts w:eastAsia="Times New Roman" w:cs="Times New Roman"/>
          <w:noProof/>
          <w:szCs w:val="24"/>
        </w:rPr>
        <w:t xml:space="preserve">against </w:t>
      </w:r>
      <w:r w:rsidR="007222CA" w:rsidRPr="007C1494">
        <w:rPr>
          <w:rFonts w:eastAsia="Times New Roman" w:cs="Times New Roman"/>
          <w:noProof/>
          <w:szCs w:val="24"/>
        </w:rPr>
        <w:t xml:space="preserve">deforestation and degradation. </w:t>
      </w:r>
      <w:r w:rsidR="00666A2F" w:rsidRPr="007C1494">
        <w:rPr>
          <w:rFonts w:eastAsia="Times New Roman" w:cs="Times New Roman"/>
          <w:noProof/>
          <w:szCs w:val="24"/>
        </w:rPr>
        <w:t xml:space="preserve">At EU level, as explained in the first chapter, existing legislation addresses some drivers of deforestation (illegal logging or biofuel consumption), but not the main one, which is agricultural expansion. </w:t>
      </w:r>
      <w:r w:rsidR="00666A2F">
        <w:rPr>
          <w:rFonts w:eastAsia="Times New Roman" w:cs="Times New Roman"/>
          <w:noProof/>
          <w:szCs w:val="24"/>
        </w:rPr>
        <w:t>As explained in the text box below the FLEGT/VPA legal framework did not deliver on its objectives</w:t>
      </w:r>
    </w:p>
    <w:p w14:paraId="277148B9" w14:textId="1FF36203" w:rsidR="00C93FFA" w:rsidRPr="006C2B77" w:rsidRDefault="00BD3256" w:rsidP="001C4D32">
      <w:pPr>
        <w:jc w:val="both"/>
        <w:rPr>
          <w:rFonts w:eastAsia="Times New Roman" w:cs="Times New Roman"/>
          <w:noProof/>
          <w:szCs w:val="24"/>
        </w:rPr>
      </w:pPr>
      <w:r w:rsidRPr="006C2B77">
        <w:rPr>
          <w:rFonts w:eastAsia="Times New Roman" w:cs="Times New Roman"/>
          <w:noProof/>
          <w:szCs w:val="24"/>
          <w:lang w:eastAsia="en-GB"/>
        </w:rPr>
        <mc:AlternateContent>
          <mc:Choice Requires="wps">
            <w:drawing>
              <wp:anchor distT="45720" distB="45720" distL="114300" distR="114300" simplePos="0" relativeHeight="251574784" behindDoc="0" locked="0" layoutInCell="1" allowOverlap="1" wp14:anchorId="5367F5DC" wp14:editId="55BC6BAD">
                <wp:simplePos x="0" y="0"/>
                <wp:positionH relativeFrom="column">
                  <wp:posOffset>4016</wp:posOffset>
                </wp:positionH>
                <wp:positionV relativeFrom="paragraph">
                  <wp:posOffset>141774</wp:posOffset>
                </wp:positionV>
                <wp:extent cx="5451475" cy="1404620"/>
                <wp:effectExtent l="0" t="0" r="158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1404620"/>
                        </a:xfrm>
                        <a:prstGeom prst="rect">
                          <a:avLst/>
                        </a:prstGeom>
                        <a:solidFill>
                          <a:srgbClr val="FFFFFF"/>
                        </a:solidFill>
                        <a:ln w="9525">
                          <a:solidFill>
                            <a:srgbClr val="000000"/>
                          </a:solidFill>
                          <a:miter lim="800000"/>
                          <a:headEnd/>
                          <a:tailEnd/>
                        </a:ln>
                      </wps:spPr>
                      <wps:txbx>
                        <w:txbxContent>
                          <w:p w14:paraId="64B66E9C" w14:textId="13ED056C" w:rsidR="00EA7989" w:rsidRPr="001C4D32" w:rsidRDefault="00EA7989" w:rsidP="00E1143F">
                            <w:pPr>
                              <w:jc w:val="both"/>
                              <w:rPr>
                                <w:rFonts w:eastAsia="Times New Roman" w:cs="Times New Roman"/>
                                <w:b/>
                                <w:i/>
                                <w:szCs w:val="24"/>
                                <w:lang w:val="en-US"/>
                              </w:rPr>
                            </w:pPr>
                            <w:r w:rsidRPr="001C4D32">
                              <w:rPr>
                                <w:rFonts w:eastAsia="Times New Roman" w:cs="Times New Roman"/>
                                <w:b/>
                                <w:i/>
                                <w:szCs w:val="24"/>
                                <w:lang w:val="en-US"/>
                              </w:rPr>
                              <w:t>Box 1. FL</w:t>
                            </w:r>
                            <w:r>
                              <w:rPr>
                                <w:rFonts w:eastAsia="Times New Roman" w:cs="Times New Roman"/>
                                <w:b/>
                                <w:i/>
                                <w:szCs w:val="24"/>
                                <w:lang w:val="en-US"/>
                              </w:rPr>
                              <w:t>EGT</w:t>
                            </w:r>
                            <w:r w:rsidRPr="001C4D32">
                              <w:rPr>
                                <w:rFonts w:eastAsia="Times New Roman" w:cs="Times New Roman"/>
                                <w:b/>
                                <w:i/>
                                <w:szCs w:val="24"/>
                                <w:lang w:val="en-US"/>
                              </w:rPr>
                              <w:t xml:space="preserve"> Regulation</w:t>
                            </w:r>
                            <w:r>
                              <w:rPr>
                                <w:rFonts w:eastAsia="Times New Roman" w:cs="Times New Roman"/>
                                <w:b/>
                                <w:i/>
                                <w:szCs w:val="24"/>
                                <w:lang w:val="en-US"/>
                              </w:rPr>
                              <w:t xml:space="preserve"> / VPAs:</w:t>
                            </w:r>
                            <w:r w:rsidRPr="001C4D32">
                              <w:rPr>
                                <w:rFonts w:eastAsia="Times New Roman" w:cs="Times New Roman"/>
                                <w:b/>
                                <w:i/>
                                <w:szCs w:val="24"/>
                                <w:lang w:val="en-US"/>
                              </w:rPr>
                              <w:t xml:space="preserve"> </w:t>
                            </w:r>
                            <w:r>
                              <w:rPr>
                                <w:rFonts w:eastAsia="Times New Roman" w:cs="Times New Roman"/>
                                <w:b/>
                                <w:i/>
                                <w:szCs w:val="24"/>
                                <w:lang w:val="en-US"/>
                              </w:rPr>
                              <w:t>Key findings</w:t>
                            </w:r>
                            <w:r w:rsidRPr="001C4D32">
                              <w:rPr>
                                <w:rFonts w:eastAsia="Times New Roman" w:cs="Times New Roman"/>
                                <w:b/>
                                <w:i/>
                                <w:szCs w:val="24"/>
                                <w:lang w:val="en-US"/>
                              </w:rPr>
                              <w:t xml:space="preserve"> from the Fitness Check</w:t>
                            </w:r>
                          </w:p>
                          <w:p w14:paraId="3C253F51" w14:textId="3A51EC35" w:rsidR="00EA7989" w:rsidRPr="001631F6" w:rsidRDefault="00EA7989">
                            <w:pPr>
                              <w:spacing w:after="120" w:line="240" w:lineRule="auto"/>
                              <w:jc w:val="both"/>
                              <w:rPr>
                                <w:rFonts w:eastAsia="Times New Roman" w:cs="Times New Roman"/>
                                <w:szCs w:val="24"/>
                              </w:rPr>
                            </w:pPr>
                            <w:r w:rsidRPr="00E1143F">
                              <w:rPr>
                                <w:rFonts w:eastAsia="Times New Roman" w:cs="Times New Roman"/>
                                <w:szCs w:val="24"/>
                                <w:lang w:val="en-US"/>
                              </w:rPr>
                              <w:t xml:space="preserve">The Fitness Check </w:t>
                            </w:r>
                            <w:r>
                              <w:rPr>
                                <w:rFonts w:eastAsia="Times New Roman" w:cs="Times New Roman"/>
                                <w:szCs w:val="24"/>
                                <w:lang w:val="en-US"/>
                              </w:rPr>
                              <w:t>of the FLEGT Regulation has confirmed the</w:t>
                            </w:r>
                            <w:r w:rsidRPr="00C67846">
                              <w:rPr>
                                <w:rFonts w:eastAsia="Times New Roman" w:cs="Times New Roman"/>
                                <w:szCs w:val="24"/>
                              </w:rPr>
                              <w:t xml:space="preserve"> achievements </w:t>
                            </w:r>
                            <w:r>
                              <w:rPr>
                                <w:rFonts w:eastAsia="Times New Roman" w:cs="Times New Roman"/>
                                <w:szCs w:val="24"/>
                              </w:rPr>
                              <w:t>of</w:t>
                            </w:r>
                            <w:r w:rsidRPr="00C67846">
                              <w:rPr>
                                <w:rFonts w:eastAsia="Times New Roman" w:cs="Times New Roman"/>
                                <w:szCs w:val="24"/>
                              </w:rPr>
                              <w:t xml:space="preserve"> FLEGT VPAs in terms of enhanced stakeholder participation and improved forest governance frameworks in partner countries</w:t>
                            </w:r>
                            <w:r>
                              <w:rPr>
                                <w:rFonts w:eastAsia="Times New Roman" w:cs="Times New Roman"/>
                                <w:szCs w:val="24"/>
                              </w:rPr>
                              <w:t xml:space="preserve"> and, at the same time,</w:t>
                            </w:r>
                            <w:r w:rsidRPr="00C67846">
                              <w:rPr>
                                <w:rFonts w:eastAsia="Times New Roman" w:cs="Times New Roman"/>
                                <w:szCs w:val="24"/>
                                <w:lang w:val="en-US"/>
                              </w:rPr>
                              <w:t xml:space="preserve"> </w:t>
                            </w:r>
                            <w:r>
                              <w:rPr>
                                <w:rFonts w:eastAsia="Times New Roman" w:cs="Times New Roman"/>
                                <w:szCs w:val="24"/>
                                <w:lang w:val="en-US"/>
                              </w:rPr>
                              <w:t xml:space="preserve">highlighted a </w:t>
                            </w:r>
                            <w:r w:rsidRPr="00E1143F">
                              <w:rPr>
                                <w:rFonts w:eastAsia="Times New Roman" w:cs="Times New Roman"/>
                                <w:szCs w:val="24"/>
                                <w:lang w:val="en-US"/>
                              </w:rPr>
                              <w:t xml:space="preserve">number of </w:t>
                            </w:r>
                            <w:r>
                              <w:rPr>
                                <w:rFonts w:eastAsia="Times New Roman" w:cs="Times New Roman"/>
                                <w:szCs w:val="24"/>
                                <w:lang w:val="en-US"/>
                              </w:rPr>
                              <w:t xml:space="preserve">shortcomings of </w:t>
                            </w:r>
                            <w:r w:rsidRPr="00E1143F">
                              <w:rPr>
                                <w:rFonts w:eastAsia="Times New Roman" w:cs="Times New Roman"/>
                                <w:szCs w:val="24"/>
                                <w:lang w:val="en-US"/>
                              </w:rPr>
                              <w:t>the FLEGT Regulation</w:t>
                            </w:r>
                            <w:r>
                              <w:rPr>
                                <w:rFonts w:eastAsia="Times New Roman" w:cs="Times New Roman"/>
                                <w:szCs w:val="24"/>
                                <w:lang w:val="en-US"/>
                              </w:rPr>
                              <w:t>. It also points to the fact that there is limited</w:t>
                            </w:r>
                            <w:r w:rsidDel="009C1518">
                              <w:rPr>
                                <w:rFonts w:eastAsia="Times New Roman" w:cs="Times New Roman"/>
                                <w:szCs w:val="24"/>
                                <w:lang w:val="en-US"/>
                              </w:rPr>
                              <w:t xml:space="preserve"> </w:t>
                            </w:r>
                            <w:r w:rsidRPr="00E1143F">
                              <w:rPr>
                                <w:rFonts w:eastAsia="Times New Roman" w:cs="Times New Roman"/>
                                <w:szCs w:val="24"/>
                                <w:lang w:val="en-US"/>
                              </w:rPr>
                              <w:t>evidence</w:t>
                            </w:r>
                            <w:r>
                              <w:rPr>
                                <w:rFonts w:eastAsia="Times New Roman" w:cs="Times New Roman"/>
                                <w:szCs w:val="24"/>
                                <w:lang w:val="en-US"/>
                              </w:rPr>
                              <w:t xml:space="preserve"> </w:t>
                            </w:r>
                            <w:r w:rsidRPr="00E1143F">
                              <w:rPr>
                                <w:rFonts w:eastAsia="Times New Roman" w:cs="Times New Roman"/>
                                <w:szCs w:val="24"/>
                                <w:lang w:val="en-US"/>
                              </w:rPr>
                              <w:t>that the VPAs overall have contributed to reduc</w:t>
                            </w:r>
                            <w:r>
                              <w:rPr>
                                <w:rFonts w:eastAsia="Times New Roman" w:cs="Times New Roman"/>
                                <w:szCs w:val="24"/>
                                <w:lang w:val="en-US"/>
                              </w:rPr>
                              <w:t>ing</w:t>
                            </w:r>
                            <w:r w:rsidRPr="00E1143F">
                              <w:rPr>
                                <w:rFonts w:eastAsia="Times New Roman" w:cs="Times New Roman"/>
                                <w:szCs w:val="24"/>
                                <w:lang w:val="en-US"/>
                              </w:rPr>
                              <w:t xml:space="preserve"> illegal logging. While the EU system itself would be an efficient tool to lower the compliance costs for EU operators, the main instrument for its </w:t>
                            </w:r>
                            <w:r>
                              <w:rPr>
                                <w:rFonts w:eastAsia="Times New Roman" w:cs="Times New Roman"/>
                                <w:szCs w:val="24"/>
                                <w:lang w:val="en-US"/>
                              </w:rPr>
                              <w:t>operationalization,</w:t>
                            </w:r>
                            <w:r w:rsidRPr="00E1143F">
                              <w:rPr>
                                <w:rFonts w:eastAsia="Times New Roman" w:cs="Times New Roman"/>
                                <w:szCs w:val="24"/>
                                <w:lang w:val="en-US"/>
                              </w:rPr>
                              <w:t xml:space="preserve"> i.e. the VPAs</w:t>
                            </w:r>
                            <w:r>
                              <w:rPr>
                                <w:rFonts w:eastAsia="Times New Roman" w:cs="Times New Roman"/>
                                <w:szCs w:val="24"/>
                                <w:lang w:val="en-US"/>
                              </w:rPr>
                              <w:t>,</w:t>
                            </w:r>
                            <w:r w:rsidRPr="00E1143F">
                              <w:rPr>
                                <w:rFonts w:eastAsia="Times New Roman" w:cs="Times New Roman"/>
                                <w:szCs w:val="24"/>
                                <w:lang w:val="en-US"/>
                              </w:rPr>
                              <w:t xml:space="preserve"> has not delivered. One of the main problems as regards the FLEGT Regulation is the fact that the main EU trade partners have never shown interest to engage in VPA processes, resulting in only 3% of </w:t>
                            </w:r>
                            <w:r>
                              <w:rPr>
                                <w:rFonts w:eastAsia="Times New Roman" w:cs="Times New Roman"/>
                                <w:szCs w:val="24"/>
                                <w:lang w:val="en-US"/>
                              </w:rPr>
                              <w:t>timber imports</w:t>
                            </w:r>
                            <w:r w:rsidRPr="00E1143F">
                              <w:rPr>
                                <w:rFonts w:eastAsia="Times New Roman" w:cs="Times New Roman"/>
                                <w:szCs w:val="24"/>
                                <w:lang w:val="en-US"/>
                              </w:rPr>
                              <w:t xml:space="preserve"> covered by an operational VPA system. </w:t>
                            </w:r>
                          </w:p>
                          <w:p w14:paraId="3BD49C11" w14:textId="77777777" w:rsidR="00EA7989" w:rsidRDefault="00EA7989" w:rsidP="001C4D32">
                            <w:pPr>
                              <w:spacing w:after="120" w:line="240" w:lineRule="auto"/>
                              <w:jc w:val="both"/>
                              <w:rPr>
                                <w:rFonts w:eastAsia="Times New Roman" w:cs="Times New Roman"/>
                                <w:szCs w:val="24"/>
                              </w:rPr>
                            </w:pPr>
                            <w:r w:rsidRPr="001631F6">
                              <w:rPr>
                                <w:rFonts w:eastAsia="Times New Roman" w:cs="Times New Roman"/>
                                <w:szCs w:val="24"/>
                              </w:rPr>
                              <w:t>Progress in VPA implementation has also been slow and there is no clear evidence of their impact in terms of supporting the implementation of the FLEGT Regulation and stopping illegal timber from being placed on the EU market. Only one country of the 15 with which the EU has engaged in a VPA process, has an operating FLEGT licensing system in place, more than 15 years after the FLEGT Action Plan set the basis for these processes in 2003. Only one country from the top 10 EU timber trading partners is engaged in a VPA process.</w:t>
                            </w:r>
                          </w:p>
                          <w:p w14:paraId="38686043" w14:textId="17302175" w:rsidR="00EA7989" w:rsidRDefault="00EA7989" w:rsidP="001C4D32">
                            <w:pPr>
                              <w:spacing w:after="120" w:line="240" w:lineRule="auto"/>
                              <w:jc w:val="both"/>
                              <w:rPr>
                                <w:rFonts w:eastAsia="Times New Roman" w:cs="Times New Roman"/>
                                <w:szCs w:val="24"/>
                                <w:lang w:val="en-US"/>
                              </w:rPr>
                            </w:pPr>
                            <w:r w:rsidRPr="00E1143F">
                              <w:rPr>
                                <w:rFonts w:eastAsia="Times New Roman" w:cs="Times New Roman"/>
                                <w:szCs w:val="24"/>
                                <w:lang w:val="en-US"/>
                              </w:rPr>
                              <w:t>VPAs are complex and legally binding trade treaties, covering labo</w:t>
                            </w:r>
                            <w:r>
                              <w:rPr>
                                <w:rFonts w:eastAsia="Times New Roman" w:cs="Times New Roman"/>
                                <w:szCs w:val="24"/>
                                <w:lang w:val="en-US"/>
                              </w:rPr>
                              <w:t>u</w:t>
                            </w:r>
                            <w:r w:rsidRPr="00E1143F">
                              <w:rPr>
                                <w:rFonts w:eastAsia="Times New Roman" w:cs="Times New Roman"/>
                                <w:szCs w:val="24"/>
                                <w:lang w:val="en-US"/>
                              </w:rPr>
                              <w:t xml:space="preserve">r, social and human rights dimension of the forest sector. This means the negotiations are detailed and complex, usually taking years to finalize and implement — far from the quick and flexible tool they were expected to become. They are a unique tool with no clear parallels outside the EU and outside the timber sector, despite the fact that many economic fields share similar environmental, social and human rights implications (infrastructure, mining, food, textile…). </w:t>
                            </w:r>
                            <w:r>
                              <w:rPr>
                                <w:rFonts w:eastAsia="Times New Roman" w:cs="Times New Roman"/>
                                <w:szCs w:val="24"/>
                                <w:lang w:val="en-US"/>
                              </w:rPr>
                              <w:t>As VPAs</w:t>
                            </w:r>
                            <w:r w:rsidRPr="00E1143F">
                              <w:rPr>
                                <w:rFonts w:eastAsia="Times New Roman" w:cs="Times New Roman"/>
                                <w:szCs w:val="24"/>
                                <w:lang w:val="en-US"/>
                              </w:rPr>
                              <w:t xml:space="preserve"> are trade treaties for a single commodity and derived products, the EU lacks the leverage of its full economic weight and the advantage that it enjoy</w:t>
                            </w:r>
                            <w:r>
                              <w:rPr>
                                <w:rFonts w:eastAsia="Times New Roman" w:cs="Times New Roman"/>
                                <w:szCs w:val="24"/>
                                <w:lang w:val="en-US"/>
                              </w:rPr>
                              <w:t xml:space="preserve">s when it negotiates broad Free </w:t>
                            </w:r>
                            <w:r w:rsidRPr="00E1143F">
                              <w:rPr>
                                <w:rFonts w:eastAsia="Times New Roman" w:cs="Times New Roman"/>
                                <w:szCs w:val="24"/>
                                <w:lang w:val="en-US"/>
                              </w:rPr>
                              <w:t xml:space="preserve">Trade Agreements. </w:t>
                            </w:r>
                          </w:p>
                          <w:p w14:paraId="4D94887B" w14:textId="3EC576B9" w:rsidR="00EA7989" w:rsidRPr="001C4D32" w:rsidRDefault="00EA7989" w:rsidP="001C4D32">
                            <w:pPr>
                              <w:spacing w:after="120" w:line="240" w:lineRule="auto"/>
                              <w:jc w:val="both"/>
                              <w:rPr>
                                <w:rFonts w:eastAsia="Times New Roman" w:cs="Times New Roman"/>
                                <w:szCs w:val="24"/>
                                <w:lang w:val="en-US"/>
                              </w:rPr>
                            </w:pPr>
                            <w:r w:rsidRPr="00E1143F">
                              <w:rPr>
                                <w:rFonts w:eastAsia="Times New Roman" w:cs="Times New Roman"/>
                                <w:szCs w:val="24"/>
                                <w:lang w:val="en-US"/>
                              </w:rPr>
                              <w:t xml:space="preserve">The concept underlying the FLEGT Regulation, in particular the VPAs, is not fit for the expansion of the scope from legality to sustainability based on a harmonised definition of deforestation and forest degradation free. Looking at the results so far, further investment of considerable resources into VPA processes cannot be justified. Considering that timber and derived products covered by FLEGT VPAs cover only 3% of timber imports into the EU, the benefits do not justify the costs.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67F5DC" id="_x0000_t202" coordsize="21600,21600" o:spt="202" path="m,l,21600r21600,l21600,xe">
                <v:stroke joinstyle="miter"/>
                <v:path gradientshapeok="t" o:connecttype="rect"/>
              </v:shapetype>
              <v:shape id="Text Box 2" o:spid="_x0000_s1026" type="#_x0000_t202" style="position:absolute;left:0;text-align:left;margin-left:.3pt;margin-top:11.15pt;width:429.25pt;height:110.6pt;z-index:251574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">
                <v:textbox style="mso-fit-shape-to-text:t">
                  <w:txbxContent>
                    <w:p w14:paraId="64B66E9C" w14:textId="13ED056C" w:rsidR="00EA7989" w:rsidRPr="001C4D32" w:rsidRDefault="00EA7989" w:rsidP="00E1143F">
                      <w:pPr>
                        <w:jc w:val="both"/>
                        <w:rPr>
                          <w:rFonts w:eastAsia="Times New Roman" w:cs="Times New Roman"/>
                          <w:b/>
                          <w:i/>
                          <w:szCs w:val="24"/>
                          <w:lang w:val="en-US"/>
                        </w:rPr>
                      </w:pPr>
                      <w:r w:rsidRPr="001C4D32">
                        <w:rPr>
                          <w:rFonts w:eastAsia="Times New Roman" w:cs="Times New Roman"/>
                          <w:b/>
                          <w:i/>
                          <w:szCs w:val="24"/>
                          <w:lang w:val="en-US"/>
                        </w:rPr>
                        <w:t>Box 1. FL</w:t>
                      </w:r>
                      <w:r>
                        <w:rPr>
                          <w:rFonts w:eastAsia="Times New Roman" w:cs="Times New Roman"/>
                          <w:b/>
                          <w:i/>
                          <w:szCs w:val="24"/>
                          <w:lang w:val="en-US"/>
                        </w:rPr>
                        <w:t>EGT</w:t>
                      </w:r>
                      <w:r w:rsidRPr="001C4D32">
                        <w:rPr>
                          <w:rFonts w:eastAsia="Times New Roman" w:cs="Times New Roman"/>
                          <w:b/>
                          <w:i/>
                          <w:szCs w:val="24"/>
                          <w:lang w:val="en-US"/>
                        </w:rPr>
                        <w:t xml:space="preserve"> Regulation</w:t>
                      </w:r>
                      <w:r>
                        <w:rPr>
                          <w:rFonts w:eastAsia="Times New Roman" w:cs="Times New Roman"/>
                          <w:b/>
                          <w:i/>
                          <w:szCs w:val="24"/>
                          <w:lang w:val="en-US"/>
                        </w:rPr>
                        <w:t xml:space="preserve"> / VPAs:</w:t>
                      </w:r>
                      <w:r w:rsidRPr="001C4D32">
                        <w:rPr>
                          <w:rFonts w:eastAsia="Times New Roman" w:cs="Times New Roman"/>
                          <w:b/>
                          <w:i/>
                          <w:szCs w:val="24"/>
                          <w:lang w:val="en-US"/>
                        </w:rPr>
                        <w:t xml:space="preserve"> </w:t>
                      </w:r>
                      <w:r>
                        <w:rPr>
                          <w:rFonts w:eastAsia="Times New Roman" w:cs="Times New Roman"/>
                          <w:b/>
                          <w:i/>
                          <w:szCs w:val="24"/>
                          <w:lang w:val="en-US"/>
                        </w:rPr>
                        <w:t>Key findings</w:t>
                      </w:r>
                      <w:r w:rsidRPr="001C4D32">
                        <w:rPr>
                          <w:rFonts w:eastAsia="Times New Roman" w:cs="Times New Roman"/>
                          <w:b/>
                          <w:i/>
                          <w:szCs w:val="24"/>
                          <w:lang w:val="en-US"/>
                        </w:rPr>
                        <w:t xml:space="preserve"> from the Fitness Check</w:t>
                      </w:r>
                    </w:p>
                    <w:p w14:paraId="3C253F51" w14:textId="3A51EC35" w:rsidR="00EA7989" w:rsidRPr="001631F6" w:rsidRDefault="00EA7989">
                      <w:pPr>
                        <w:spacing w:after="120" w:line="240" w:lineRule="auto"/>
                        <w:jc w:val="both"/>
                        <w:rPr>
                          <w:rFonts w:eastAsia="Times New Roman" w:cs="Times New Roman"/>
                          <w:szCs w:val="24"/>
                        </w:rPr>
                      </w:pPr>
                      <w:r w:rsidRPr="00E1143F">
                        <w:rPr>
                          <w:rFonts w:eastAsia="Times New Roman" w:cs="Times New Roman"/>
                          <w:szCs w:val="24"/>
                          <w:lang w:val="en-US"/>
                        </w:rPr>
                        <w:t xml:space="preserve">The Fitness Check </w:t>
                      </w:r>
                      <w:r>
                        <w:rPr>
                          <w:rFonts w:eastAsia="Times New Roman" w:cs="Times New Roman"/>
                          <w:szCs w:val="24"/>
                          <w:lang w:val="en-US"/>
                        </w:rPr>
                        <w:t>of the FLEGT Regulation has confirmed the</w:t>
                      </w:r>
                      <w:r w:rsidRPr="00C67846">
                        <w:rPr>
                          <w:rFonts w:eastAsia="Times New Roman" w:cs="Times New Roman"/>
                          <w:szCs w:val="24"/>
                        </w:rPr>
                        <w:t xml:space="preserve"> achievements </w:t>
                      </w:r>
                      <w:r>
                        <w:rPr>
                          <w:rFonts w:eastAsia="Times New Roman" w:cs="Times New Roman"/>
                          <w:szCs w:val="24"/>
                        </w:rPr>
                        <w:t>of</w:t>
                      </w:r>
                      <w:r w:rsidRPr="00C67846">
                        <w:rPr>
                          <w:rFonts w:eastAsia="Times New Roman" w:cs="Times New Roman"/>
                          <w:szCs w:val="24"/>
                        </w:rPr>
                        <w:t xml:space="preserve"> FLEGT VPAs in terms of enhanced stakeholder participation and improved forest governance frameworks in partner countries</w:t>
                      </w:r>
                      <w:r>
                        <w:rPr>
                          <w:rFonts w:eastAsia="Times New Roman" w:cs="Times New Roman"/>
                          <w:szCs w:val="24"/>
                        </w:rPr>
                        <w:t xml:space="preserve"> and, at the same time,</w:t>
                      </w:r>
                      <w:r w:rsidRPr="00C67846">
                        <w:rPr>
                          <w:rFonts w:eastAsia="Times New Roman" w:cs="Times New Roman"/>
                          <w:szCs w:val="24"/>
                          <w:lang w:val="en-US"/>
                        </w:rPr>
                        <w:t xml:space="preserve"> </w:t>
                      </w:r>
                      <w:r>
                        <w:rPr>
                          <w:rFonts w:eastAsia="Times New Roman" w:cs="Times New Roman"/>
                          <w:szCs w:val="24"/>
                          <w:lang w:val="en-US"/>
                        </w:rPr>
                        <w:t xml:space="preserve">highlighted a </w:t>
                      </w:r>
                      <w:r w:rsidRPr="00E1143F">
                        <w:rPr>
                          <w:rFonts w:eastAsia="Times New Roman" w:cs="Times New Roman"/>
                          <w:szCs w:val="24"/>
                          <w:lang w:val="en-US"/>
                        </w:rPr>
                        <w:t xml:space="preserve">number of </w:t>
                      </w:r>
                      <w:r>
                        <w:rPr>
                          <w:rFonts w:eastAsia="Times New Roman" w:cs="Times New Roman"/>
                          <w:szCs w:val="24"/>
                          <w:lang w:val="en-US"/>
                        </w:rPr>
                        <w:t xml:space="preserve">shortcomings of </w:t>
                      </w:r>
                      <w:r w:rsidRPr="00E1143F">
                        <w:rPr>
                          <w:rFonts w:eastAsia="Times New Roman" w:cs="Times New Roman"/>
                          <w:szCs w:val="24"/>
                          <w:lang w:val="en-US"/>
                        </w:rPr>
                        <w:t>the FLEGT Regulation</w:t>
                      </w:r>
                      <w:r>
                        <w:rPr>
                          <w:rFonts w:eastAsia="Times New Roman" w:cs="Times New Roman"/>
                          <w:szCs w:val="24"/>
                          <w:lang w:val="en-US"/>
                        </w:rPr>
                        <w:t>. It also points to the fact that there is limited</w:t>
                      </w:r>
                      <w:r w:rsidDel="009C1518">
                        <w:rPr>
                          <w:rFonts w:eastAsia="Times New Roman" w:cs="Times New Roman"/>
                          <w:szCs w:val="24"/>
                          <w:lang w:val="en-US"/>
                        </w:rPr>
                        <w:t xml:space="preserve"> </w:t>
                      </w:r>
                      <w:r w:rsidRPr="00E1143F">
                        <w:rPr>
                          <w:rFonts w:eastAsia="Times New Roman" w:cs="Times New Roman"/>
                          <w:szCs w:val="24"/>
                          <w:lang w:val="en-US"/>
                        </w:rPr>
                        <w:t>evidence</w:t>
                      </w:r>
                      <w:r>
                        <w:rPr>
                          <w:rFonts w:eastAsia="Times New Roman" w:cs="Times New Roman"/>
                          <w:szCs w:val="24"/>
                          <w:lang w:val="en-US"/>
                        </w:rPr>
                        <w:t xml:space="preserve"> </w:t>
                      </w:r>
                      <w:r w:rsidRPr="00E1143F">
                        <w:rPr>
                          <w:rFonts w:eastAsia="Times New Roman" w:cs="Times New Roman"/>
                          <w:szCs w:val="24"/>
                          <w:lang w:val="en-US"/>
                        </w:rPr>
                        <w:t>that the VPAs overall have contributed to reduc</w:t>
                      </w:r>
                      <w:r>
                        <w:rPr>
                          <w:rFonts w:eastAsia="Times New Roman" w:cs="Times New Roman"/>
                          <w:szCs w:val="24"/>
                          <w:lang w:val="en-US"/>
                        </w:rPr>
                        <w:t>ing</w:t>
                      </w:r>
                      <w:r w:rsidRPr="00E1143F">
                        <w:rPr>
                          <w:rFonts w:eastAsia="Times New Roman" w:cs="Times New Roman"/>
                          <w:szCs w:val="24"/>
                          <w:lang w:val="en-US"/>
                        </w:rPr>
                        <w:t xml:space="preserve"> illegal logging. While the EU system itself would be an efficient tool to lower the compliance costs for EU operators, the main instrument for its </w:t>
                      </w:r>
                      <w:r>
                        <w:rPr>
                          <w:rFonts w:eastAsia="Times New Roman" w:cs="Times New Roman"/>
                          <w:szCs w:val="24"/>
                          <w:lang w:val="en-US"/>
                        </w:rPr>
                        <w:t>operationalization,</w:t>
                      </w:r>
                      <w:r w:rsidRPr="00E1143F">
                        <w:rPr>
                          <w:rFonts w:eastAsia="Times New Roman" w:cs="Times New Roman"/>
                          <w:szCs w:val="24"/>
                          <w:lang w:val="en-US"/>
                        </w:rPr>
                        <w:t xml:space="preserve"> i.e. the VPAs</w:t>
                      </w:r>
                      <w:r>
                        <w:rPr>
                          <w:rFonts w:eastAsia="Times New Roman" w:cs="Times New Roman"/>
                          <w:szCs w:val="24"/>
                          <w:lang w:val="en-US"/>
                        </w:rPr>
                        <w:t>,</w:t>
                      </w:r>
                      <w:r w:rsidRPr="00E1143F">
                        <w:rPr>
                          <w:rFonts w:eastAsia="Times New Roman" w:cs="Times New Roman"/>
                          <w:szCs w:val="24"/>
                          <w:lang w:val="en-US"/>
                        </w:rPr>
                        <w:t xml:space="preserve"> has not delivered. One of the main problems as regards the FLEGT Regulation is the fact that the main EU trade partners have never shown interest to engage in VPA processes, resulting in only 3% of </w:t>
                      </w:r>
                      <w:r>
                        <w:rPr>
                          <w:rFonts w:eastAsia="Times New Roman" w:cs="Times New Roman"/>
                          <w:szCs w:val="24"/>
                          <w:lang w:val="en-US"/>
                        </w:rPr>
                        <w:t>timber imports</w:t>
                      </w:r>
                      <w:r w:rsidRPr="00E1143F">
                        <w:rPr>
                          <w:rFonts w:eastAsia="Times New Roman" w:cs="Times New Roman"/>
                          <w:szCs w:val="24"/>
                          <w:lang w:val="en-US"/>
                        </w:rPr>
                        <w:t xml:space="preserve"> covered by an operational VPA system. </w:t>
                      </w:r>
                    </w:p>
                    <w:p w14:paraId="3BD49C11" w14:textId="77777777" w:rsidR="00EA7989" w:rsidRDefault="00EA7989" w:rsidP="001C4D32">
                      <w:pPr>
                        <w:spacing w:after="120" w:line="240" w:lineRule="auto"/>
                        <w:jc w:val="both"/>
                        <w:rPr>
                          <w:rFonts w:eastAsia="Times New Roman" w:cs="Times New Roman"/>
                          <w:szCs w:val="24"/>
                        </w:rPr>
                      </w:pPr>
                      <w:r w:rsidRPr="001631F6">
                        <w:rPr>
                          <w:rFonts w:eastAsia="Times New Roman" w:cs="Times New Roman"/>
                          <w:szCs w:val="24"/>
                        </w:rPr>
                        <w:t>Progress in VPA implementation has also been slow and there is no clear evidence of their impact in terms of supporting the implementation of the FLEGT Regulation and stopping illegal timber from being placed on the EU market. Only one country of the 15 with which the EU has engaged in a VPA process, has an operating FLEGT licensing system in place, more than 15 years after the FLEGT Action Plan set the basis for these processes in 2003. Only one country from the top 10 EU timber trading partners is engaged in a VPA process.</w:t>
                      </w:r>
                    </w:p>
                    <w:p w14:paraId="38686043" w14:textId="17302175" w:rsidR="00EA7989" w:rsidRDefault="00EA7989" w:rsidP="001C4D32">
                      <w:pPr>
                        <w:spacing w:after="120" w:line="240" w:lineRule="auto"/>
                        <w:jc w:val="both"/>
                        <w:rPr>
                          <w:rFonts w:eastAsia="Times New Roman" w:cs="Times New Roman"/>
                          <w:szCs w:val="24"/>
                          <w:lang w:val="en-US"/>
                        </w:rPr>
                      </w:pPr>
                      <w:r w:rsidRPr="00E1143F">
                        <w:rPr>
                          <w:rFonts w:eastAsia="Times New Roman" w:cs="Times New Roman"/>
                          <w:szCs w:val="24"/>
                          <w:lang w:val="en-US"/>
                        </w:rPr>
                        <w:t>VPAs are complex and legally binding trade treaties, covering labo</w:t>
                      </w:r>
                      <w:r>
                        <w:rPr>
                          <w:rFonts w:eastAsia="Times New Roman" w:cs="Times New Roman"/>
                          <w:szCs w:val="24"/>
                          <w:lang w:val="en-US"/>
                        </w:rPr>
                        <w:t>u</w:t>
                      </w:r>
                      <w:r w:rsidRPr="00E1143F">
                        <w:rPr>
                          <w:rFonts w:eastAsia="Times New Roman" w:cs="Times New Roman"/>
                          <w:szCs w:val="24"/>
                          <w:lang w:val="en-US"/>
                        </w:rPr>
                        <w:t xml:space="preserve">r, social and human rights dimension of the forest sector. This means the negotiations are detailed and complex, usually taking years to finalize and implement — far from the quick and flexible tool they were expected to become. They are a unique tool with no clear parallels outside the EU and outside the timber sector, despite the fact that many economic fields share similar environmental, social and human rights implications (infrastructure, mining, food, textile…). </w:t>
                      </w:r>
                      <w:r>
                        <w:rPr>
                          <w:rFonts w:eastAsia="Times New Roman" w:cs="Times New Roman"/>
                          <w:szCs w:val="24"/>
                          <w:lang w:val="en-US"/>
                        </w:rPr>
                        <w:t>As VPAs</w:t>
                      </w:r>
                      <w:r w:rsidRPr="00E1143F">
                        <w:rPr>
                          <w:rFonts w:eastAsia="Times New Roman" w:cs="Times New Roman"/>
                          <w:szCs w:val="24"/>
                          <w:lang w:val="en-US"/>
                        </w:rPr>
                        <w:t xml:space="preserve"> are trade treaties for a single commodity and derived products, the EU lacks the leverage of its full economic weight and the advantage that it enjoy</w:t>
                      </w:r>
                      <w:r>
                        <w:rPr>
                          <w:rFonts w:eastAsia="Times New Roman" w:cs="Times New Roman"/>
                          <w:szCs w:val="24"/>
                          <w:lang w:val="en-US"/>
                        </w:rPr>
                        <w:t xml:space="preserve">s when it negotiates broad Free </w:t>
                      </w:r>
                      <w:r w:rsidRPr="00E1143F">
                        <w:rPr>
                          <w:rFonts w:eastAsia="Times New Roman" w:cs="Times New Roman"/>
                          <w:szCs w:val="24"/>
                          <w:lang w:val="en-US"/>
                        </w:rPr>
                        <w:t xml:space="preserve">Trade Agreements. </w:t>
                      </w:r>
                    </w:p>
                    <w:p w14:paraId="4D94887B" w14:textId="3EC576B9" w:rsidR="00EA7989" w:rsidRPr="001C4D32" w:rsidRDefault="00EA7989" w:rsidP="001C4D32">
                      <w:pPr>
                        <w:spacing w:after="120" w:line="240" w:lineRule="auto"/>
                        <w:jc w:val="both"/>
                        <w:rPr>
                          <w:rFonts w:eastAsia="Times New Roman" w:cs="Times New Roman"/>
                          <w:szCs w:val="24"/>
                          <w:lang w:val="en-US"/>
                        </w:rPr>
                      </w:pPr>
                      <w:r w:rsidRPr="00E1143F">
                        <w:rPr>
                          <w:rFonts w:eastAsia="Times New Roman" w:cs="Times New Roman"/>
                          <w:szCs w:val="24"/>
                          <w:lang w:val="en-US"/>
                        </w:rPr>
                        <w:t xml:space="preserve">The concept underlying the FLEGT Regulation, in particular the VPAs, is not fit for the expansion of the scope from legality to sustainability based on a harmonised definition of deforestation and forest degradation free. Looking at the results so far, further investment of considerable resources into VPA processes cannot be justified. Considering that timber and derived products covered by FLEGT VPAs cover only 3% of timber imports into the EU, the benefits do not justify the costs. </w:t>
                      </w:r>
                    </w:p>
                  </w:txbxContent>
                </v:textbox>
                <w10:wrap type="square"/>
              </v:shape>
            </w:pict>
          </mc:Fallback>
        </mc:AlternateContent>
      </w:r>
      <w:r w:rsidR="00666A2F" w:rsidRPr="006C2B77">
        <w:rPr>
          <w:rFonts w:eastAsia="Times New Roman" w:cs="Times New Roman"/>
          <w:noProof/>
          <w:szCs w:val="24"/>
        </w:rPr>
        <w:t xml:space="preserve">At international level, the existence of a legally binding international instrument has been discussed since the United Nations Conference on Environment and Development in Rio de Janeiro in 1992, but the global community has not been able to agree on the need for, the possible structure and commitments of such an instrument. No discussions are currently ongoing that would indicate that developments will go beyond the current non-binding initiatives and fora. At national level while some </w:t>
      </w:r>
      <w:r w:rsidR="00666A2F" w:rsidRPr="006C2B77" w:rsidDel="00C9752F">
        <w:rPr>
          <w:rFonts w:eastAsia="Times New Roman" w:cs="Times New Roman"/>
          <w:noProof/>
          <w:szCs w:val="24"/>
        </w:rPr>
        <w:t xml:space="preserve">Member </w:t>
      </w:r>
      <w:r w:rsidR="00666A2F" w:rsidRPr="006C2B77">
        <w:rPr>
          <w:rFonts w:eastAsia="Times New Roman" w:cs="Times New Roman"/>
          <w:noProof/>
          <w:szCs w:val="24"/>
        </w:rPr>
        <w:t>States such as France</w:t>
      </w:r>
      <w:r w:rsidR="00666A2F" w:rsidRPr="006C2B77">
        <w:rPr>
          <w:rStyle w:val="FootnoteReference"/>
          <w:rFonts w:eastAsia="Times New Roman" w:cs="Times New Roman"/>
          <w:noProof/>
          <w:szCs w:val="24"/>
        </w:rPr>
        <w:footnoteReference w:id="70"/>
      </w:r>
      <w:r w:rsidR="00666A2F" w:rsidRPr="006C2B77">
        <w:rPr>
          <w:rFonts w:eastAsia="Times New Roman" w:cs="Times New Roman"/>
          <w:noProof/>
          <w:szCs w:val="24"/>
        </w:rPr>
        <w:t xml:space="preserve"> have taken or are contemplating steps to address issues related to the transparency and accountability of supply chains, action at EU level would ensure a coherent approach across the EU, ensure </w:t>
      </w:r>
      <w:r w:rsidR="00C93FFA" w:rsidRPr="006C2B77">
        <w:rPr>
          <w:rFonts w:eastAsia="Times New Roman" w:cs="Times New Roman"/>
          <w:noProof/>
          <w:szCs w:val="24"/>
        </w:rPr>
        <w:t xml:space="preserve">a </w:t>
      </w:r>
      <w:r w:rsidR="00666A2F" w:rsidRPr="006C2B77">
        <w:rPr>
          <w:rFonts w:eastAsia="Times New Roman" w:cs="Times New Roman"/>
          <w:noProof/>
          <w:szCs w:val="24"/>
        </w:rPr>
        <w:t xml:space="preserve">level playing field and leverage the impact on deforestation and forest degradation. </w:t>
      </w:r>
    </w:p>
    <w:p w14:paraId="0F0A8DF5" w14:textId="3823A63D" w:rsidR="00892EB7" w:rsidRDefault="00666A2F" w:rsidP="001C4D32">
      <w:pPr>
        <w:jc w:val="both"/>
        <w:rPr>
          <w:rFonts w:eastAsia="Times New Roman" w:cs="Times New Roman"/>
          <w:noProof/>
          <w:szCs w:val="24"/>
        </w:rPr>
      </w:pPr>
      <w:r w:rsidRPr="006C2B77">
        <w:rPr>
          <w:rFonts w:eastAsia="Times New Roman" w:cs="Times New Roman"/>
          <w:noProof/>
          <w:szCs w:val="24"/>
        </w:rPr>
        <w:t xml:space="preserve">The fourth failure consists of an underlying lack of transparency and information asymmetries derived from the lack of common standards and reliable information available to </w:t>
      </w:r>
      <w:r w:rsidR="00C93FFA" w:rsidRPr="006C2B77">
        <w:rPr>
          <w:rFonts w:eastAsia="Times New Roman" w:cs="Times New Roman"/>
          <w:noProof/>
          <w:szCs w:val="24"/>
        </w:rPr>
        <w:t>market actors</w:t>
      </w:r>
      <w:r w:rsidRPr="006C2B77">
        <w:rPr>
          <w:rFonts w:eastAsia="Times New Roman" w:cs="Times New Roman"/>
          <w:noProof/>
          <w:szCs w:val="24"/>
        </w:rPr>
        <w:t xml:space="preserve">. Information asymmetries occur when, in an economic transaction, one party has more information than the other does. </w:t>
      </w:r>
    </w:p>
    <w:p w14:paraId="70A30BE9" w14:textId="2CC4A56A" w:rsidR="00D72D3E" w:rsidRPr="007C1494" w:rsidRDefault="00D72D3E" w:rsidP="001C4D32">
      <w:pPr>
        <w:jc w:val="both"/>
        <w:rPr>
          <w:rFonts w:eastAsia="Times New Roman" w:cs="Times New Roman"/>
          <w:noProof/>
          <w:szCs w:val="24"/>
        </w:rPr>
      </w:pPr>
    </w:p>
    <w:p w14:paraId="78CA69CE" w14:textId="6A923DB2" w:rsidR="00244E6A" w:rsidRPr="007C1494" w:rsidRDefault="00335526" w:rsidP="00335526">
      <w:pPr>
        <w:pStyle w:val="Heading2"/>
        <w:rPr>
          <w:noProof/>
        </w:rPr>
      </w:pPr>
      <w:bookmarkStart w:id="41" w:name="_Toc481484463"/>
      <w:bookmarkStart w:id="42" w:name="_Toc67074978"/>
      <w:bookmarkStart w:id="43" w:name="_Toc75542172"/>
      <w:bookmarkStart w:id="44" w:name="_Toc75543205"/>
      <w:bookmarkStart w:id="45" w:name="_Toc84591893"/>
      <w:r w:rsidRPr="00335526">
        <w:t>2.4</w:t>
      </w:r>
      <w:r w:rsidRPr="00335526">
        <w:tab/>
      </w:r>
      <w:r w:rsidR="00244E6A" w:rsidRPr="007C1494">
        <w:rPr>
          <w:noProof/>
        </w:rPr>
        <w:t>How will the problem evolve?</w:t>
      </w:r>
      <w:bookmarkEnd w:id="41"/>
      <w:bookmarkEnd w:id="42"/>
      <w:bookmarkEnd w:id="43"/>
      <w:bookmarkEnd w:id="44"/>
      <w:bookmarkEnd w:id="45"/>
    </w:p>
    <w:p w14:paraId="12991DE5" w14:textId="0CA35E30" w:rsidR="00476793" w:rsidRPr="007C1494" w:rsidRDefault="00E72B9D" w:rsidP="00397C82">
      <w:pPr>
        <w:jc w:val="both"/>
        <w:rPr>
          <w:rFonts w:cs="Times New Roman"/>
          <w:noProof/>
          <w:szCs w:val="24"/>
        </w:rPr>
      </w:pPr>
      <w:r w:rsidRPr="007C1494">
        <w:rPr>
          <w:rFonts w:cs="Times New Roman"/>
          <w:noProof/>
          <w:szCs w:val="24"/>
        </w:rPr>
        <w:t>The population of the earth</w:t>
      </w:r>
      <w:r w:rsidR="07309EF8" w:rsidRPr="007C1494">
        <w:rPr>
          <w:rFonts w:cs="Times New Roman"/>
          <w:noProof/>
          <w:szCs w:val="24"/>
        </w:rPr>
        <w:t xml:space="preserve"> is expected to grow </w:t>
      </w:r>
      <w:r w:rsidR="1E70970E" w:rsidRPr="007C1494">
        <w:rPr>
          <w:rFonts w:cs="Times New Roman"/>
          <w:noProof/>
          <w:szCs w:val="24"/>
        </w:rPr>
        <w:t>to 10 billion by 2050</w:t>
      </w:r>
      <w:r w:rsidR="00D76B1D" w:rsidRPr="007C1494">
        <w:rPr>
          <w:rFonts w:cs="Times New Roman"/>
          <w:noProof/>
          <w:szCs w:val="24"/>
        </w:rPr>
        <w:t>, which will lead to a growth of consumption</w:t>
      </w:r>
      <w:r w:rsidR="1E70970E" w:rsidRPr="007C1494">
        <w:rPr>
          <w:rFonts w:cs="Times New Roman"/>
          <w:noProof/>
          <w:szCs w:val="24"/>
        </w:rPr>
        <w:t xml:space="preserve">. </w:t>
      </w:r>
      <w:r w:rsidR="00C85E90" w:rsidRPr="007C1494">
        <w:rPr>
          <w:rFonts w:cs="Times New Roman"/>
          <w:noProof/>
          <w:szCs w:val="24"/>
        </w:rPr>
        <w:t xml:space="preserve">The </w:t>
      </w:r>
      <w:r w:rsidR="2688263F" w:rsidRPr="007C1494">
        <w:rPr>
          <w:rFonts w:cs="Times New Roman"/>
          <w:noProof/>
          <w:szCs w:val="24"/>
        </w:rPr>
        <w:t xml:space="preserve">changing climate </w:t>
      </w:r>
      <w:r w:rsidR="00C85E90" w:rsidRPr="007C1494">
        <w:rPr>
          <w:rFonts w:cs="Times New Roman"/>
          <w:noProof/>
          <w:szCs w:val="24"/>
        </w:rPr>
        <w:t>will in addition affect</w:t>
      </w:r>
      <w:r w:rsidR="2688263F" w:rsidRPr="007C1494">
        <w:rPr>
          <w:rFonts w:cs="Times New Roman"/>
          <w:noProof/>
          <w:szCs w:val="24"/>
        </w:rPr>
        <w:t xml:space="preserve"> food production in many areas of the planet. </w:t>
      </w:r>
      <w:r w:rsidR="00E91966" w:rsidRPr="007C1494">
        <w:rPr>
          <w:rFonts w:cs="Times New Roman"/>
          <w:noProof/>
          <w:szCs w:val="24"/>
        </w:rPr>
        <w:t xml:space="preserve">We therefore have to expect </w:t>
      </w:r>
      <w:r w:rsidR="00C85E90" w:rsidRPr="007C1494">
        <w:rPr>
          <w:rFonts w:cs="Times New Roman"/>
          <w:noProof/>
          <w:szCs w:val="24"/>
        </w:rPr>
        <w:t xml:space="preserve">both </w:t>
      </w:r>
      <w:r w:rsidR="00E91966" w:rsidRPr="007C1494">
        <w:rPr>
          <w:rFonts w:cs="Times New Roman"/>
          <w:noProof/>
          <w:szCs w:val="24"/>
        </w:rPr>
        <w:t xml:space="preserve">an </w:t>
      </w:r>
      <w:r w:rsidR="03DD5200" w:rsidRPr="007C1494">
        <w:rPr>
          <w:rFonts w:cs="Times New Roman"/>
          <w:noProof/>
          <w:szCs w:val="24"/>
        </w:rPr>
        <w:t>increase</w:t>
      </w:r>
      <w:r w:rsidR="00E91966" w:rsidRPr="007C1494">
        <w:rPr>
          <w:rFonts w:cs="Times New Roman"/>
          <w:noProof/>
          <w:szCs w:val="24"/>
        </w:rPr>
        <w:t>d</w:t>
      </w:r>
      <w:r w:rsidR="03DD5200" w:rsidRPr="007C1494">
        <w:rPr>
          <w:rFonts w:cs="Times New Roman"/>
          <w:noProof/>
          <w:szCs w:val="24"/>
        </w:rPr>
        <w:t xml:space="preserve"> </w:t>
      </w:r>
      <w:r w:rsidR="6CFCE41E" w:rsidRPr="007C1494">
        <w:rPr>
          <w:rFonts w:cs="Times New Roman"/>
          <w:noProof/>
          <w:szCs w:val="24"/>
        </w:rPr>
        <w:t xml:space="preserve">demand for agricultural land and </w:t>
      </w:r>
      <w:r w:rsidR="03DD5200" w:rsidRPr="007C1494">
        <w:rPr>
          <w:rFonts w:cs="Times New Roman"/>
          <w:noProof/>
          <w:szCs w:val="24"/>
        </w:rPr>
        <w:t>pressure on forests.</w:t>
      </w:r>
      <w:r w:rsidR="008729E1" w:rsidRPr="007C1494">
        <w:rPr>
          <w:rFonts w:cs="Times New Roman"/>
          <w:noProof/>
          <w:szCs w:val="24"/>
        </w:rPr>
        <w:t xml:space="preserve"> </w:t>
      </w:r>
    </w:p>
    <w:p w14:paraId="09229CC7" w14:textId="01D86BBA" w:rsidR="008646B9" w:rsidRPr="007C1494" w:rsidRDefault="008646B9" w:rsidP="00397C82">
      <w:pPr>
        <w:jc w:val="both"/>
        <w:rPr>
          <w:rFonts w:cs="Times New Roman"/>
          <w:noProof/>
          <w:szCs w:val="24"/>
        </w:rPr>
      </w:pPr>
      <w:r w:rsidRPr="007C1494">
        <w:rPr>
          <w:rFonts w:cs="Times New Roman"/>
          <w:noProof/>
          <w:szCs w:val="24"/>
        </w:rPr>
        <w:t>Without further action</w:t>
      </w:r>
      <w:r w:rsidR="00476793" w:rsidRPr="007C1494">
        <w:rPr>
          <w:rFonts w:cs="Times New Roman"/>
          <w:noProof/>
          <w:szCs w:val="24"/>
        </w:rPr>
        <w:t>,</w:t>
      </w:r>
      <w:r w:rsidRPr="007C1494">
        <w:rPr>
          <w:rFonts w:cs="Times New Roman"/>
          <w:noProof/>
          <w:szCs w:val="24"/>
        </w:rPr>
        <w:t xml:space="preserve"> deforestation will </w:t>
      </w:r>
      <w:r w:rsidR="00476793" w:rsidRPr="007C1494">
        <w:rPr>
          <w:rFonts w:cs="Times New Roman"/>
          <w:noProof/>
          <w:szCs w:val="24"/>
        </w:rPr>
        <w:t xml:space="preserve">most likely </w:t>
      </w:r>
      <w:r w:rsidRPr="007C1494">
        <w:rPr>
          <w:rFonts w:cs="Times New Roman"/>
          <w:noProof/>
          <w:szCs w:val="24"/>
        </w:rPr>
        <w:t xml:space="preserve">continue at rates that are incompatible with many international objectives, including the objective of the Paris Agreement of keeping the temperature rise below 1.5-2 </w:t>
      </w:r>
      <w:r w:rsidR="00CA4399" w:rsidRPr="007C1494">
        <w:rPr>
          <w:rFonts w:cs="Times New Roman"/>
          <w:noProof/>
          <w:szCs w:val="24"/>
        </w:rPr>
        <w:t>degrees</w:t>
      </w:r>
      <w:r w:rsidRPr="007C1494">
        <w:rPr>
          <w:rFonts w:cs="Times New Roman"/>
          <w:noProof/>
          <w:szCs w:val="24"/>
        </w:rPr>
        <w:t xml:space="preserve">. </w:t>
      </w:r>
    </w:p>
    <w:p w14:paraId="403F9DB7" w14:textId="0E51772D" w:rsidR="008646B9" w:rsidRPr="007C1494" w:rsidRDefault="008646B9" w:rsidP="00397C82">
      <w:pPr>
        <w:pStyle w:val="WDBody"/>
        <w:spacing w:after="200" w:line="276" w:lineRule="auto"/>
        <w:jc w:val="both"/>
        <w:rPr>
          <w:rFonts w:ascii="Times New Roman" w:hAnsi="Times New Roman" w:cs="Times New Roman"/>
          <w:noProof/>
          <w:sz w:val="24"/>
          <w:szCs w:val="24"/>
        </w:rPr>
      </w:pPr>
      <w:r w:rsidRPr="007C1494">
        <w:rPr>
          <w:rFonts w:ascii="Times New Roman" w:hAnsi="Times New Roman" w:cs="Times New Roman"/>
          <w:noProof/>
          <w:sz w:val="24"/>
          <w:szCs w:val="24"/>
        </w:rPr>
        <w:t>A feasibility study undertaken for the Commission</w:t>
      </w:r>
      <w:r w:rsidRPr="007C1494">
        <w:rPr>
          <w:rStyle w:val="FootnoteReference"/>
          <w:rFonts w:ascii="Times New Roman" w:hAnsi="Times New Roman" w:cs="Times New Roman"/>
          <w:noProof/>
          <w:sz w:val="24"/>
          <w:szCs w:val="24"/>
        </w:rPr>
        <w:footnoteReference w:id="71"/>
      </w:r>
      <w:r w:rsidRPr="007C1494">
        <w:rPr>
          <w:rFonts w:ascii="Times New Roman" w:hAnsi="Times New Roman" w:cs="Times New Roman"/>
          <w:noProof/>
          <w:sz w:val="24"/>
          <w:szCs w:val="24"/>
        </w:rPr>
        <w:t xml:space="preserve"> considered that the global production and the export of globally traded agricultural products </w:t>
      </w:r>
      <w:r w:rsidR="006E3F14" w:rsidRPr="007C1494">
        <w:rPr>
          <w:rFonts w:ascii="Times New Roman" w:hAnsi="Times New Roman" w:cs="Times New Roman"/>
          <w:noProof/>
          <w:sz w:val="24"/>
          <w:szCs w:val="24"/>
        </w:rPr>
        <w:t xml:space="preserve">coming from supply chains </w:t>
      </w:r>
      <w:r w:rsidRPr="007C1494">
        <w:rPr>
          <w:rFonts w:ascii="Times New Roman" w:hAnsi="Times New Roman" w:cs="Times New Roman"/>
          <w:noProof/>
          <w:sz w:val="24"/>
          <w:szCs w:val="24"/>
        </w:rPr>
        <w:t xml:space="preserve">associated with deforestation </w:t>
      </w:r>
      <w:r w:rsidR="00D938B7" w:rsidRPr="007C1494">
        <w:rPr>
          <w:rFonts w:ascii="Times New Roman" w:hAnsi="Times New Roman" w:cs="Times New Roman"/>
          <w:noProof/>
          <w:sz w:val="24"/>
          <w:szCs w:val="24"/>
        </w:rPr>
        <w:t xml:space="preserve">and forest </w:t>
      </w:r>
      <w:r w:rsidR="00CE6C79" w:rsidRPr="007C1494">
        <w:rPr>
          <w:rFonts w:ascii="Times New Roman" w:hAnsi="Times New Roman" w:cs="Times New Roman"/>
          <w:noProof/>
          <w:sz w:val="24"/>
          <w:szCs w:val="24"/>
        </w:rPr>
        <w:t>degradation</w:t>
      </w:r>
      <w:r w:rsidRPr="007C1494">
        <w:rPr>
          <w:rFonts w:ascii="Times New Roman" w:hAnsi="Times New Roman" w:cs="Times New Roman"/>
          <w:noProof/>
          <w:sz w:val="24"/>
          <w:szCs w:val="24"/>
        </w:rPr>
        <w:t xml:space="preserve"> will </w:t>
      </w:r>
      <w:r w:rsidR="00B566B8" w:rsidRPr="007C1494">
        <w:rPr>
          <w:rFonts w:ascii="Times New Roman" w:hAnsi="Times New Roman" w:cs="Times New Roman"/>
          <w:noProof/>
          <w:sz w:val="24"/>
          <w:szCs w:val="24"/>
        </w:rPr>
        <w:t>continue to</w:t>
      </w:r>
      <w:r w:rsidRPr="007C1494">
        <w:rPr>
          <w:rFonts w:ascii="Times New Roman" w:hAnsi="Times New Roman" w:cs="Times New Roman"/>
          <w:noProof/>
          <w:sz w:val="24"/>
          <w:szCs w:val="24"/>
        </w:rPr>
        <w:t xml:space="preserve"> grow in the coming years. The major commodities driving this</w:t>
      </w:r>
      <w:r w:rsidR="00D2042A" w:rsidRPr="007C1494">
        <w:rPr>
          <w:rFonts w:ascii="Times New Roman" w:hAnsi="Times New Roman" w:cs="Times New Roman"/>
          <w:noProof/>
          <w:sz w:val="24"/>
          <w:szCs w:val="24"/>
        </w:rPr>
        <w:t>, as identified by the study,</w:t>
      </w:r>
      <w:r w:rsidRPr="007C1494">
        <w:rPr>
          <w:rFonts w:ascii="Times New Roman" w:hAnsi="Times New Roman" w:cs="Times New Roman"/>
          <w:noProof/>
          <w:sz w:val="24"/>
          <w:szCs w:val="24"/>
        </w:rPr>
        <w:t xml:space="preserve"> will be </w:t>
      </w:r>
      <w:r w:rsidR="00B32FD7">
        <w:rPr>
          <w:rFonts w:ascii="Times New Roman" w:hAnsi="Times New Roman" w:cs="Times New Roman"/>
          <w:noProof/>
          <w:sz w:val="24"/>
          <w:szCs w:val="24"/>
        </w:rPr>
        <w:t>cattle</w:t>
      </w:r>
      <w:r w:rsidRPr="007C1494">
        <w:rPr>
          <w:rFonts w:ascii="Times New Roman" w:hAnsi="Times New Roman" w:cs="Times New Roman"/>
          <w:noProof/>
          <w:sz w:val="24"/>
          <w:szCs w:val="24"/>
        </w:rPr>
        <w:t xml:space="preserve">, palm oil, soy, and timber. The study also found that EU consumption of globally traded agricultural products </w:t>
      </w:r>
      <w:r w:rsidR="006E3F14" w:rsidRPr="007C1494">
        <w:rPr>
          <w:rFonts w:ascii="Times New Roman" w:hAnsi="Times New Roman" w:cs="Times New Roman"/>
          <w:noProof/>
          <w:sz w:val="24"/>
          <w:szCs w:val="24"/>
        </w:rPr>
        <w:t xml:space="preserve">coming from supply chains </w:t>
      </w:r>
      <w:r w:rsidRPr="007C1494">
        <w:rPr>
          <w:rFonts w:ascii="Times New Roman" w:hAnsi="Times New Roman" w:cs="Times New Roman"/>
          <w:noProof/>
          <w:sz w:val="24"/>
          <w:szCs w:val="24"/>
        </w:rPr>
        <w:t>associated with deforestation</w:t>
      </w:r>
      <w:r w:rsidRPr="007C1494" w:rsidDel="0001693B">
        <w:rPr>
          <w:rFonts w:ascii="Times New Roman" w:hAnsi="Times New Roman" w:cs="Times New Roman"/>
          <w:noProof/>
          <w:sz w:val="24"/>
          <w:szCs w:val="24"/>
        </w:rPr>
        <w:t xml:space="preserve"> </w:t>
      </w:r>
      <w:r w:rsidRPr="007C1494">
        <w:rPr>
          <w:rFonts w:ascii="Times New Roman" w:hAnsi="Times New Roman" w:cs="Times New Roman"/>
          <w:noProof/>
          <w:sz w:val="24"/>
          <w:szCs w:val="24"/>
        </w:rPr>
        <w:t xml:space="preserve">will stagnate for some (e.g. </w:t>
      </w:r>
      <w:r w:rsidR="00B32FD7">
        <w:rPr>
          <w:rFonts w:ascii="Times New Roman" w:hAnsi="Times New Roman" w:cs="Times New Roman"/>
          <w:noProof/>
          <w:sz w:val="24"/>
          <w:szCs w:val="24"/>
        </w:rPr>
        <w:t>cattle</w:t>
      </w:r>
      <w:r w:rsidRPr="007C1494">
        <w:rPr>
          <w:rFonts w:ascii="Times New Roman" w:hAnsi="Times New Roman" w:cs="Times New Roman"/>
          <w:noProof/>
          <w:sz w:val="24"/>
          <w:szCs w:val="24"/>
        </w:rPr>
        <w:t xml:space="preserve">, soy, pulpwood), but increase for other (e.g. palm oil, cocoa and </w:t>
      </w:r>
      <w:r w:rsidR="00E72B9D" w:rsidRPr="007C1494">
        <w:rPr>
          <w:rFonts w:ascii="Times New Roman" w:hAnsi="Times New Roman" w:cs="Times New Roman"/>
          <w:noProof/>
          <w:sz w:val="24"/>
          <w:szCs w:val="24"/>
        </w:rPr>
        <w:t xml:space="preserve">coffee). Overall, it </w:t>
      </w:r>
      <w:r w:rsidRPr="007C1494">
        <w:rPr>
          <w:rFonts w:ascii="Times New Roman" w:hAnsi="Times New Roman" w:cs="Times New Roman"/>
          <w:noProof/>
          <w:sz w:val="24"/>
          <w:szCs w:val="24"/>
        </w:rPr>
        <w:t>predicted that the amount of deforestation associated with EU consumption would increase, with the approximate range of EU embodied deforestation rate being between 3</w:t>
      </w:r>
      <w:r w:rsidR="008729E1" w:rsidRPr="007C1494">
        <w:rPr>
          <w:rFonts w:ascii="Times New Roman" w:hAnsi="Times New Roman" w:cs="Times New Roman"/>
          <w:noProof/>
          <w:sz w:val="24"/>
          <w:szCs w:val="24"/>
        </w:rPr>
        <w:t>00,000 and 600,000 hectares per year</w:t>
      </w:r>
      <w:r w:rsidRPr="007C1494">
        <w:rPr>
          <w:rFonts w:ascii="Times New Roman" w:hAnsi="Times New Roman" w:cs="Times New Roman"/>
          <w:noProof/>
          <w:sz w:val="24"/>
          <w:szCs w:val="24"/>
        </w:rPr>
        <w:t xml:space="preserve"> </w:t>
      </w:r>
      <w:r w:rsidR="008729E1" w:rsidRPr="007C1494">
        <w:rPr>
          <w:rFonts w:ascii="Times New Roman" w:hAnsi="Times New Roman" w:cs="Times New Roman"/>
          <w:noProof/>
          <w:sz w:val="24"/>
          <w:szCs w:val="24"/>
        </w:rPr>
        <w:t>by</w:t>
      </w:r>
      <w:r w:rsidRPr="007C1494">
        <w:rPr>
          <w:rFonts w:ascii="Times New Roman" w:hAnsi="Times New Roman" w:cs="Times New Roman"/>
          <w:noProof/>
          <w:sz w:val="24"/>
          <w:szCs w:val="24"/>
        </w:rPr>
        <w:t xml:space="preserve"> 2030.</w:t>
      </w:r>
    </w:p>
    <w:p w14:paraId="25B0C9A9" w14:textId="52ECF4C6" w:rsidR="4E636B80" w:rsidRPr="007C1494" w:rsidRDefault="008646B9" w:rsidP="00397C82">
      <w:pPr>
        <w:jc w:val="both"/>
        <w:rPr>
          <w:rFonts w:cs="Times New Roman"/>
          <w:noProof/>
          <w:szCs w:val="24"/>
        </w:rPr>
      </w:pPr>
      <w:r w:rsidRPr="007C1494">
        <w:rPr>
          <w:rFonts w:cs="Times New Roman"/>
          <w:noProof/>
          <w:szCs w:val="24"/>
        </w:rPr>
        <w:t xml:space="preserve">Nevertheless, the role of EU </w:t>
      </w:r>
      <w:r w:rsidR="00E72B9D" w:rsidRPr="007C1494">
        <w:rPr>
          <w:rFonts w:cs="Times New Roman"/>
          <w:noProof/>
          <w:szCs w:val="24"/>
        </w:rPr>
        <w:t>production and consumption as a driver of</w:t>
      </w:r>
      <w:r w:rsidRPr="007C1494">
        <w:rPr>
          <w:rFonts w:cs="Times New Roman"/>
          <w:noProof/>
          <w:szCs w:val="24"/>
        </w:rPr>
        <w:t xml:space="preserve"> deforestation will decrease</w:t>
      </w:r>
      <w:r w:rsidR="00E72B9D" w:rsidRPr="007C1494">
        <w:rPr>
          <w:rFonts w:cs="Times New Roman"/>
          <w:noProof/>
          <w:szCs w:val="24"/>
        </w:rPr>
        <w:t xml:space="preserve"> proportionally</w:t>
      </w:r>
      <w:r w:rsidRPr="007C1494">
        <w:rPr>
          <w:rFonts w:cs="Times New Roman"/>
          <w:noProof/>
          <w:szCs w:val="24"/>
        </w:rPr>
        <w:t xml:space="preserve">, </w:t>
      </w:r>
      <w:r w:rsidR="008729E1" w:rsidRPr="007C1494">
        <w:rPr>
          <w:rFonts w:cs="Times New Roman"/>
          <w:noProof/>
          <w:szCs w:val="24"/>
        </w:rPr>
        <w:t xml:space="preserve">the same report noted, </w:t>
      </w:r>
      <w:r w:rsidRPr="007C1494">
        <w:rPr>
          <w:rFonts w:cs="Times New Roman"/>
          <w:noProof/>
          <w:szCs w:val="24"/>
        </w:rPr>
        <w:t xml:space="preserve">as Asia </w:t>
      </w:r>
      <w:r w:rsidR="0092308D" w:rsidRPr="007C1494">
        <w:rPr>
          <w:rFonts w:cs="Times New Roman"/>
          <w:noProof/>
          <w:szCs w:val="24"/>
        </w:rPr>
        <w:t xml:space="preserve">will significantly increase its </w:t>
      </w:r>
      <w:r w:rsidRPr="007C1494">
        <w:rPr>
          <w:rFonts w:cs="Times New Roman"/>
          <w:noProof/>
          <w:szCs w:val="24"/>
        </w:rPr>
        <w:t xml:space="preserve">demand for commodities related to deforestation such as soy and beef. </w:t>
      </w:r>
      <w:r w:rsidR="008729E1" w:rsidRPr="007C1494">
        <w:rPr>
          <w:rFonts w:cs="Times New Roman"/>
          <w:noProof/>
          <w:szCs w:val="24"/>
        </w:rPr>
        <w:t xml:space="preserve">This will increase </w:t>
      </w:r>
      <w:r w:rsidRPr="007C1494">
        <w:rPr>
          <w:rFonts w:cs="Times New Roman"/>
          <w:noProof/>
          <w:szCs w:val="24"/>
        </w:rPr>
        <w:t xml:space="preserve">the </w:t>
      </w:r>
      <w:r w:rsidR="00E72B9D" w:rsidRPr="007C1494">
        <w:rPr>
          <w:rFonts w:cs="Times New Roman"/>
          <w:noProof/>
          <w:szCs w:val="24"/>
        </w:rPr>
        <w:t>need for</w:t>
      </w:r>
      <w:r w:rsidRPr="007C1494">
        <w:rPr>
          <w:rFonts w:cs="Times New Roman"/>
          <w:noProof/>
          <w:szCs w:val="24"/>
        </w:rPr>
        <w:t xml:space="preserve"> dialogues with other major market players </w:t>
      </w:r>
      <w:r w:rsidR="008729E1" w:rsidRPr="007C1494">
        <w:rPr>
          <w:rFonts w:cs="Times New Roman"/>
          <w:noProof/>
          <w:szCs w:val="24"/>
        </w:rPr>
        <w:t xml:space="preserve">to tackle global deforestation and </w:t>
      </w:r>
      <w:r w:rsidR="00D938B7" w:rsidRPr="007C1494">
        <w:rPr>
          <w:rFonts w:cs="Times New Roman"/>
          <w:noProof/>
          <w:szCs w:val="24"/>
        </w:rPr>
        <w:t xml:space="preserve">forest degradation and </w:t>
      </w:r>
      <w:r w:rsidR="008729E1" w:rsidRPr="007C1494">
        <w:rPr>
          <w:rFonts w:cs="Times New Roman"/>
          <w:noProof/>
          <w:szCs w:val="24"/>
        </w:rPr>
        <w:t xml:space="preserve">promote global clean supply chains. </w:t>
      </w:r>
      <w:r w:rsidR="29E5095B" w:rsidRPr="007C1494">
        <w:rPr>
          <w:rFonts w:cs="Times New Roman"/>
          <w:noProof/>
          <w:szCs w:val="24"/>
        </w:rPr>
        <w:t>T</w:t>
      </w:r>
      <w:r w:rsidR="372A12C7" w:rsidRPr="007C1494">
        <w:rPr>
          <w:rFonts w:cs="Times New Roman"/>
          <w:noProof/>
          <w:szCs w:val="24"/>
        </w:rPr>
        <w:t xml:space="preserve">he baseline scenario </w:t>
      </w:r>
      <w:r w:rsidR="2D75F498" w:rsidRPr="007C1494">
        <w:rPr>
          <w:rFonts w:cs="Times New Roman"/>
          <w:noProof/>
          <w:szCs w:val="24"/>
        </w:rPr>
        <w:t xml:space="preserve">proposed in this impact assessment foresees </w:t>
      </w:r>
      <w:r w:rsidR="00E369DB">
        <w:rPr>
          <w:rFonts w:cs="Times New Roman"/>
          <w:noProof/>
          <w:szCs w:val="24"/>
        </w:rPr>
        <w:t xml:space="preserve">that, </w:t>
      </w:r>
      <w:r w:rsidR="00E72B9D" w:rsidRPr="007C1494">
        <w:rPr>
          <w:rFonts w:cs="Times New Roman"/>
          <w:noProof/>
          <w:szCs w:val="24"/>
        </w:rPr>
        <w:t>without new EU policy measures the</w:t>
      </w:r>
      <w:r w:rsidR="2D75F498" w:rsidRPr="007C1494">
        <w:rPr>
          <w:rFonts w:cs="Times New Roman"/>
          <w:noProof/>
          <w:szCs w:val="24"/>
        </w:rPr>
        <w:t xml:space="preserve"> EU</w:t>
      </w:r>
      <w:r w:rsidR="4A61E24B" w:rsidRPr="007C1494">
        <w:rPr>
          <w:rFonts w:cs="Times New Roman"/>
          <w:noProof/>
          <w:szCs w:val="24"/>
        </w:rPr>
        <w:t>’</w:t>
      </w:r>
      <w:r w:rsidR="31D5B7D9" w:rsidRPr="007C1494">
        <w:rPr>
          <w:rFonts w:cs="Times New Roman"/>
          <w:noProof/>
          <w:szCs w:val="24"/>
        </w:rPr>
        <w:t>s</w:t>
      </w:r>
      <w:r w:rsidR="2AAB589A" w:rsidRPr="007C1494">
        <w:rPr>
          <w:rFonts w:cs="Times New Roman"/>
          <w:noProof/>
          <w:szCs w:val="24"/>
        </w:rPr>
        <w:t xml:space="preserve"> </w:t>
      </w:r>
      <w:r w:rsidR="5F1F41C5" w:rsidRPr="007C1494">
        <w:rPr>
          <w:rFonts w:cs="Times New Roman"/>
          <w:noProof/>
          <w:szCs w:val="24"/>
        </w:rPr>
        <w:t xml:space="preserve">forest </w:t>
      </w:r>
      <w:r w:rsidR="2AAB589A" w:rsidRPr="007C1494">
        <w:rPr>
          <w:rFonts w:cs="Times New Roman"/>
          <w:noProof/>
          <w:szCs w:val="24"/>
        </w:rPr>
        <w:t xml:space="preserve">footprint will increase </w:t>
      </w:r>
      <w:r w:rsidR="7BD1DAC6" w:rsidRPr="007C1494">
        <w:rPr>
          <w:rFonts w:cs="Times New Roman"/>
          <w:noProof/>
          <w:szCs w:val="24"/>
        </w:rPr>
        <w:t xml:space="preserve">in the coming decade. </w:t>
      </w:r>
      <w:r w:rsidR="003A7EB6" w:rsidRPr="007C1494">
        <w:rPr>
          <w:rFonts w:cs="Times New Roman"/>
          <w:noProof/>
          <w:szCs w:val="24"/>
        </w:rPr>
        <w:t>For more see section 5.2 on baseline.</w:t>
      </w:r>
    </w:p>
    <w:p w14:paraId="77876864" w14:textId="77777777" w:rsidR="007F4115" w:rsidRPr="007C1494" w:rsidRDefault="007F4115" w:rsidP="00397C82">
      <w:pPr>
        <w:jc w:val="both"/>
        <w:rPr>
          <w:rFonts w:cs="Times New Roman"/>
          <w:noProof/>
          <w:szCs w:val="24"/>
        </w:rPr>
      </w:pPr>
    </w:p>
    <w:p w14:paraId="021F3DA1" w14:textId="21FFBA13" w:rsidR="00244E6A" w:rsidRPr="007C1494" w:rsidRDefault="00335526" w:rsidP="00335526">
      <w:pPr>
        <w:pStyle w:val="Heading1"/>
        <w:rPr>
          <w:noProof/>
        </w:rPr>
      </w:pPr>
      <w:bookmarkStart w:id="46" w:name="_Toc481484464"/>
      <w:bookmarkStart w:id="47" w:name="_Toc67074979"/>
      <w:bookmarkStart w:id="48" w:name="_Toc75542173"/>
      <w:bookmarkStart w:id="49" w:name="_Toc75543206"/>
      <w:bookmarkStart w:id="50" w:name="_Toc84591894"/>
      <w:r w:rsidRPr="00335526">
        <w:t>3</w:t>
      </w:r>
      <w:r w:rsidRPr="00335526">
        <w:tab/>
      </w:r>
      <w:r w:rsidR="00244E6A" w:rsidRPr="007C1494">
        <w:rPr>
          <w:noProof/>
        </w:rPr>
        <w:t>Why should the EU act?</w:t>
      </w:r>
      <w:bookmarkEnd w:id="46"/>
      <w:bookmarkEnd w:id="47"/>
      <w:bookmarkEnd w:id="48"/>
      <w:bookmarkEnd w:id="49"/>
      <w:bookmarkEnd w:id="50"/>
    </w:p>
    <w:p w14:paraId="1B1AA95E" w14:textId="6A35836C" w:rsidR="00244E6A" w:rsidRPr="007C1494" w:rsidRDefault="00335526" w:rsidP="00335526">
      <w:pPr>
        <w:pStyle w:val="Heading2"/>
        <w:rPr>
          <w:noProof/>
        </w:rPr>
      </w:pPr>
      <w:bookmarkStart w:id="51" w:name="_Toc481484465"/>
      <w:bookmarkStart w:id="52" w:name="_Toc67074980"/>
      <w:bookmarkStart w:id="53" w:name="_Toc75542174"/>
      <w:bookmarkStart w:id="54" w:name="_Toc75543207"/>
      <w:bookmarkStart w:id="55" w:name="_Toc84591895"/>
      <w:r w:rsidRPr="00335526">
        <w:t>3.1</w:t>
      </w:r>
      <w:r w:rsidRPr="00335526">
        <w:tab/>
      </w:r>
      <w:r w:rsidR="00244E6A" w:rsidRPr="007C1494">
        <w:rPr>
          <w:noProof/>
        </w:rPr>
        <w:t>Legal basis</w:t>
      </w:r>
      <w:bookmarkEnd w:id="51"/>
      <w:bookmarkEnd w:id="52"/>
      <w:bookmarkEnd w:id="53"/>
      <w:bookmarkEnd w:id="54"/>
      <w:bookmarkEnd w:id="55"/>
    </w:p>
    <w:p w14:paraId="4C434DDC" w14:textId="296F40E5" w:rsidR="00244E6A" w:rsidRPr="007C1494" w:rsidRDefault="3BDC831F" w:rsidP="008213C8">
      <w:pPr>
        <w:jc w:val="both"/>
        <w:rPr>
          <w:rFonts w:eastAsia="Times New Roman" w:cs="Times New Roman"/>
          <w:noProof/>
          <w:szCs w:val="24"/>
        </w:rPr>
      </w:pPr>
      <w:r w:rsidRPr="007C1494">
        <w:rPr>
          <w:rFonts w:eastAsia="Times New Roman" w:cs="Times New Roman"/>
          <w:noProof/>
          <w:szCs w:val="24"/>
        </w:rPr>
        <w:t>EU competence to act in the area of deforestation and forest degradation stems from the articles of the Treaty on the Functioning of the European Union (TFEU) related to the protection of the environment (Articles 21 (2.f) and 191 (2) TFEU).</w:t>
      </w:r>
      <w:r w:rsidR="00073FD4" w:rsidRPr="007C1494">
        <w:rPr>
          <w:rFonts w:eastAsia="Times New Roman" w:cs="Times New Roman"/>
          <w:noProof/>
          <w:szCs w:val="24"/>
        </w:rPr>
        <w:t xml:space="preserve"> </w:t>
      </w:r>
      <w:r w:rsidRPr="007C1494">
        <w:rPr>
          <w:rFonts w:eastAsia="Times New Roman" w:cs="Times New Roman"/>
          <w:noProof/>
          <w:szCs w:val="24"/>
        </w:rPr>
        <w:t>Article 21(2.f) requires the Union “</w:t>
      </w:r>
      <w:r w:rsidRPr="007C1494">
        <w:rPr>
          <w:rFonts w:eastAsia="Times New Roman" w:cs="Times New Roman"/>
          <w:i/>
          <w:iCs/>
          <w:noProof/>
          <w:szCs w:val="24"/>
        </w:rPr>
        <w:t>to help develop international measures to preserve and improve the quality of the environment and the sustainable management of global natural resources, in order to ensure sustainable development</w:t>
      </w:r>
      <w:r w:rsidRPr="007C1494">
        <w:rPr>
          <w:rFonts w:eastAsia="Times New Roman" w:cs="Times New Roman"/>
          <w:noProof/>
          <w:szCs w:val="24"/>
        </w:rPr>
        <w:t xml:space="preserve">”. Article 191 (2) requires the Union policy on the environment to aim at a high level of protection. </w:t>
      </w:r>
    </w:p>
    <w:p w14:paraId="238601FE" w14:textId="2E4C2016" w:rsidR="00244E6A" w:rsidRPr="007C1494" w:rsidRDefault="3BDC831F" w:rsidP="008213C8">
      <w:pPr>
        <w:jc w:val="both"/>
        <w:rPr>
          <w:rStyle w:val="Hyperlink"/>
          <w:rFonts w:ascii="Calibri" w:eastAsia="Calibri" w:hAnsi="Calibri" w:cs="Calibri"/>
          <w:noProof/>
          <w:sz w:val="20"/>
          <w:szCs w:val="20"/>
          <w:vertAlign w:val="superscript"/>
        </w:rPr>
      </w:pPr>
      <w:r w:rsidRPr="007C1494">
        <w:rPr>
          <w:rFonts w:eastAsia="Times New Roman" w:cs="Times New Roman"/>
          <w:noProof/>
          <w:szCs w:val="24"/>
        </w:rPr>
        <w:t>Article 192 (1) states that “</w:t>
      </w:r>
      <w:r w:rsidRPr="007C1494">
        <w:rPr>
          <w:rFonts w:eastAsia="Times New Roman" w:cs="Times New Roman"/>
          <w:i/>
          <w:iCs/>
          <w:noProof/>
          <w:szCs w:val="24"/>
        </w:rPr>
        <w:t>the European Parliament and the Council, acting in accordance with the ordinary legislative procedure and after consulting the Economic and Social Committee and the Committee of the Regions, shall decide what action is to be taken by the Union in order to achieve the objectives referred to in Article 191</w:t>
      </w:r>
      <w:r w:rsidRPr="007C1494">
        <w:rPr>
          <w:rFonts w:eastAsia="Times New Roman" w:cs="Times New Roman"/>
          <w:noProof/>
          <w:szCs w:val="24"/>
        </w:rPr>
        <w:t>”.</w:t>
      </w:r>
      <w:r w:rsidR="002E5D29" w:rsidRPr="007C1494">
        <w:rPr>
          <w:rFonts w:ascii="Calibri" w:eastAsia="Calibri" w:hAnsi="Calibri" w:cs="Calibri"/>
          <w:noProof/>
          <w:sz w:val="20"/>
          <w:szCs w:val="20"/>
          <w:vertAlign w:val="superscript"/>
        </w:rPr>
        <w:t xml:space="preserve"> </w:t>
      </w:r>
    </w:p>
    <w:p w14:paraId="093BD1F6" w14:textId="59FA1647" w:rsidR="00244E6A" w:rsidRPr="007C1494" w:rsidRDefault="00335526" w:rsidP="00335526">
      <w:pPr>
        <w:pStyle w:val="Heading2"/>
        <w:rPr>
          <w:noProof/>
        </w:rPr>
      </w:pPr>
      <w:bookmarkStart w:id="56" w:name="_Toc481484466"/>
      <w:bookmarkStart w:id="57" w:name="_Toc67074981"/>
      <w:bookmarkStart w:id="58" w:name="_Toc75542175"/>
      <w:bookmarkStart w:id="59" w:name="_Toc75543208"/>
      <w:bookmarkStart w:id="60" w:name="_Toc84591896"/>
      <w:r w:rsidRPr="00335526">
        <w:t>3.2</w:t>
      </w:r>
      <w:r w:rsidRPr="00335526">
        <w:tab/>
      </w:r>
      <w:r w:rsidR="00244E6A" w:rsidRPr="007C1494">
        <w:rPr>
          <w:noProof/>
        </w:rPr>
        <w:t>Subsidiarity: Necessity of EU action</w:t>
      </w:r>
      <w:bookmarkEnd w:id="56"/>
      <w:bookmarkEnd w:id="57"/>
      <w:bookmarkEnd w:id="58"/>
      <w:bookmarkEnd w:id="59"/>
      <w:bookmarkEnd w:id="60"/>
    </w:p>
    <w:p w14:paraId="427EF283" w14:textId="54362BDB" w:rsidR="06C84523" w:rsidRPr="007C1494" w:rsidRDefault="68382078" w:rsidP="008213C8">
      <w:pPr>
        <w:jc w:val="both"/>
        <w:rPr>
          <w:rFonts w:eastAsia="Times New Roman" w:cs="Times New Roman"/>
          <w:noProof/>
          <w:szCs w:val="24"/>
        </w:rPr>
      </w:pPr>
      <w:r w:rsidRPr="007C1494">
        <w:rPr>
          <w:rFonts w:eastAsia="Times New Roman" w:cs="Times New Roman"/>
          <w:noProof/>
          <w:szCs w:val="24"/>
        </w:rPr>
        <w:t>While e</w:t>
      </w:r>
      <w:r w:rsidR="0EC81222" w:rsidRPr="007C1494">
        <w:rPr>
          <w:rFonts w:eastAsia="Times New Roman" w:cs="Times New Roman"/>
          <w:noProof/>
          <w:szCs w:val="24"/>
        </w:rPr>
        <w:t>nvironment is a competenc</w:t>
      </w:r>
      <w:r w:rsidR="00532D09" w:rsidRPr="007C1494">
        <w:rPr>
          <w:rFonts w:eastAsia="Times New Roman" w:cs="Times New Roman"/>
          <w:noProof/>
          <w:szCs w:val="24"/>
        </w:rPr>
        <w:t>e</w:t>
      </w:r>
      <w:r w:rsidR="0EC81222" w:rsidRPr="007C1494">
        <w:rPr>
          <w:rFonts w:eastAsia="Times New Roman" w:cs="Times New Roman"/>
          <w:noProof/>
          <w:szCs w:val="24"/>
        </w:rPr>
        <w:t xml:space="preserve"> shared between the EU and the </w:t>
      </w:r>
      <w:r w:rsidR="0EC81222" w:rsidRPr="007C1494" w:rsidDel="00C9752F">
        <w:rPr>
          <w:rFonts w:eastAsia="Times New Roman" w:cs="Times New Roman"/>
          <w:noProof/>
          <w:szCs w:val="24"/>
        </w:rPr>
        <w:t xml:space="preserve">Member </w:t>
      </w:r>
      <w:r w:rsidR="0EC81222" w:rsidRPr="007C1494">
        <w:rPr>
          <w:rFonts w:eastAsia="Times New Roman" w:cs="Times New Roman"/>
          <w:noProof/>
          <w:szCs w:val="24"/>
        </w:rPr>
        <w:t xml:space="preserve">States, the </w:t>
      </w:r>
      <w:r w:rsidR="00E24F3B" w:rsidRPr="007C1494">
        <w:rPr>
          <w:rFonts w:eastAsia="Times New Roman" w:cs="Times New Roman"/>
          <w:noProof/>
          <w:szCs w:val="24"/>
        </w:rPr>
        <w:t xml:space="preserve">impact of initiatives </w:t>
      </w:r>
      <w:r w:rsidR="00DD6DF0" w:rsidRPr="007C1494">
        <w:rPr>
          <w:rFonts w:eastAsia="Times New Roman" w:cs="Times New Roman"/>
          <w:noProof/>
          <w:szCs w:val="24"/>
        </w:rPr>
        <w:t xml:space="preserve">by EU </w:t>
      </w:r>
      <w:r w:rsidR="00DD6DF0" w:rsidRPr="007C1494" w:rsidDel="00C9752F">
        <w:rPr>
          <w:rFonts w:eastAsia="Times New Roman" w:cs="Times New Roman"/>
          <w:noProof/>
          <w:szCs w:val="24"/>
        </w:rPr>
        <w:t>M</w:t>
      </w:r>
      <w:r w:rsidR="007C1494" w:rsidRPr="007C1494" w:rsidDel="00C9752F">
        <w:rPr>
          <w:rFonts w:eastAsia="Times New Roman" w:cs="Times New Roman"/>
          <w:noProof/>
          <w:szCs w:val="24"/>
        </w:rPr>
        <w:t xml:space="preserve">ember </w:t>
      </w:r>
      <w:r w:rsidR="00DD6DF0" w:rsidRPr="007C1494">
        <w:rPr>
          <w:rFonts w:eastAsia="Times New Roman" w:cs="Times New Roman"/>
          <w:noProof/>
          <w:szCs w:val="24"/>
        </w:rPr>
        <w:t>S</w:t>
      </w:r>
      <w:r w:rsidR="007C1494" w:rsidRPr="007C1494">
        <w:rPr>
          <w:rFonts w:eastAsia="Times New Roman" w:cs="Times New Roman"/>
          <w:noProof/>
          <w:szCs w:val="24"/>
        </w:rPr>
        <w:t>tates</w:t>
      </w:r>
      <w:r w:rsidR="00DD6DF0" w:rsidRPr="007C1494">
        <w:rPr>
          <w:rFonts w:eastAsia="Times New Roman" w:cs="Times New Roman"/>
          <w:noProof/>
          <w:szCs w:val="24"/>
        </w:rPr>
        <w:t xml:space="preserve"> (such as the ones described above), which might affect the functioning of </w:t>
      </w:r>
      <w:r w:rsidR="00E24F3B" w:rsidRPr="007C1494">
        <w:rPr>
          <w:rFonts w:eastAsia="Times New Roman" w:cs="Times New Roman"/>
          <w:noProof/>
          <w:szCs w:val="24"/>
        </w:rPr>
        <w:t xml:space="preserve">the internal market and the </w:t>
      </w:r>
      <w:r w:rsidR="002E5D29" w:rsidRPr="007C1494">
        <w:rPr>
          <w:rFonts w:eastAsia="Times New Roman" w:cs="Times New Roman"/>
          <w:noProof/>
          <w:szCs w:val="24"/>
        </w:rPr>
        <w:t xml:space="preserve">trade </w:t>
      </w:r>
      <w:r w:rsidR="00DD6DF0" w:rsidRPr="007C1494">
        <w:rPr>
          <w:rFonts w:eastAsia="Times New Roman" w:cs="Times New Roman"/>
          <w:noProof/>
          <w:szCs w:val="24"/>
        </w:rPr>
        <w:t xml:space="preserve">aspect </w:t>
      </w:r>
      <w:r w:rsidR="002E5D29" w:rsidRPr="007C1494">
        <w:rPr>
          <w:rFonts w:eastAsia="Times New Roman" w:cs="Times New Roman"/>
          <w:noProof/>
          <w:szCs w:val="24"/>
        </w:rPr>
        <w:t>of the initiative</w:t>
      </w:r>
      <w:r w:rsidR="0EC81222" w:rsidRPr="007C1494">
        <w:rPr>
          <w:rFonts w:eastAsia="Times New Roman" w:cs="Times New Roman"/>
          <w:noProof/>
          <w:szCs w:val="24"/>
        </w:rPr>
        <w:t xml:space="preserve">, </w:t>
      </w:r>
      <w:r w:rsidR="00DD6DF0" w:rsidRPr="007C1494">
        <w:rPr>
          <w:rFonts w:eastAsia="Times New Roman" w:cs="Times New Roman"/>
          <w:noProof/>
          <w:szCs w:val="24"/>
        </w:rPr>
        <w:t xml:space="preserve">provide a justification for </w:t>
      </w:r>
      <w:r w:rsidR="0EC81222" w:rsidRPr="007C1494">
        <w:rPr>
          <w:rFonts w:eastAsia="Times New Roman" w:cs="Times New Roman"/>
          <w:noProof/>
          <w:szCs w:val="24"/>
        </w:rPr>
        <w:t>common European action.</w:t>
      </w:r>
      <w:r w:rsidR="17EC2A4B" w:rsidRPr="007C1494">
        <w:rPr>
          <w:rFonts w:eastAsia="Times New Roman" w:cs="Times New Roman"/>
          <w:noProof/>
          <w:szCs w:val="24"/>
        </w:rPr>
        <w:t xml:space="preserve"> </w:t>
      </w:r>
    </w:p>
    <w:p w14:paraId="7523B8D1" w14:textId="3244FFA2" w:rsidR="06C84523" w:rsidRPr="007C1494" w:rsidRDefault="00DD6DF0" w:rsidP="6E0F3ECC">
      <w:pPr>
        <w:jc w:val="both"/>
        <w:rPr>
          <w:rFonts w:eastAsia="Times New Roman" w:cs="Times New Roman"/>
          <w:noProof/>
          <w:szCs w:val="24"/>
        </w:rPr>
      </w:pPr>
      <w:r w:rsidRPr="007C1494">
        <w:rPr>
          <w:rFonts w:eastAsia="Times New Roman" w:cs="Times New Roman"/>
          <w:noProof/>
          <w:szCs w:val="24"/>
        </w:rPr>
        <w:t>The absence of applicable rules at the European level put responsible business operators that are ready to clean up their supply chains at a competitive disadvantage and rewards unsustainable behavio</w:t>
      </w:r>
      <w:r w:rsidR="003165AE" w:rsidRPr="007C1494">
        <w:rPr>
          <w:rFonts w:eastAsia="Times New Roman" w:cs="Times New Roman"/>
          <w:noProof/>
          <w:szCs w:val="24"/>
        </w:rPr>
        <w:t>u</w:t>
      </w:r>
      <w:r w:rsidRPr="007C1494">
        <w:rPr>
          <w:rFonts w:eastAsia="Times New Roman" w:cs="Times New Roman"/>
          <w:noProof/>
          <w:szCs w:val="24"/>
        </w:rPr>
        <w:t xml:space="preserve">r. The </w:t>
      </w:r>
      <w:r w:rsidR="00AC622C" w:rsidRPr="007C1494">
        <w:rPr>
          <w:rFonts w:eastAsia="Times New Roman" w:cs="Times New Roman"/>
          <w:noProof/>
          <w:szCs w:val="24"/>
        </w:rPr>
        <w:t xml:space="preserve">supply </w:t>
      </w:r>
      <w:r w:rsidRPr="007C1494">
        <w:rPr>
          <w:rFonts w:eastAsia="Times New Roman" w:cs="Times New Roman"/>
          <w:noProof/>
          <w:szCs w:val="24"/>
        </w:rPr>
        <w:t xml:space="preserve">chains for the products covered by the initiative </w:t>
      </w:r>
      <w:r w:rsidR="00AC622C" w:rsidRPr="007C1494">
        <w:rPr>
          <w:rFonts w:eastAsia="Times New Roman" w:cs="Times New Roman"/>
          <w:noProof/>
          <w:szCs w:val="24"/>
        </w:rPr>
        <w:t xml:space="preserve">are </w:t>
      </w:r>
      <w:r w:rsidRPr="007C1494">
        <w:rPr>
          <w:rFonts w:eastAsia="Times New Roman" w:cs="Times New Roman"/>
          <w:noProof/>
          <w:szCs w:val="24"/>
        </w:rPr>
        <w:t>inter</w:t>
      </w:r>
      <w:r w:rsidR="00AC622C" w:rsidRPr="007C1494">
        <w:rPr>
          <w:rFonts w:eastAsia="Times New Roman" w:cs="Times New Roman"/>
          <w:noProof/>
          <w:szCs w:val="24"/>
        </w:rPr>
        <w:t>n</w:t>
      </w:r>
      <w:r w:rsidRPr="007C1494">
        <w:rPr>
          <w:rFonts w:eastAsia="Times New Roman" w:cs="Times New Roman"/>
          <w:noProof/>
          <w:szCs w:val="24"/>
        </w:rPr>
        <w:t xml:space="preserve">ational and </w:t>
      </w:r>
      <w:r w:rsidR="00AC622C" w:rsidRPr="007C1494">
        <w:rPr>
          <w:rFonts w:eastAsia="Times New Roman" w:cs="Times New Roman"/>
          <w:noProof/>
          <w:szCs w:val="24"/>
        </w:rPr>
        <w:t xml:space="preserve">very often </w:t>
      </w:r>
      <w:r w:rsidRPr="007C1494">
        <w:rPr>
          <w:rFonts w:eastAsia="Times New Roman" w:cs="Times New Roman"/>
          <w:noProof/>
          <w:szCs w:val="24"/>
        </w:rPr>
        <w:t xml:space="preserve">global. </w:t>
      </w:r>
      <w:r w:rsidR="55A7357F" w:rsidRPr="007C1494">
        <w:rPr>
          <w:rFonts w:eastAsia="Times New Roman" w:cs="Times New Roman"/>
          <w:noProof/>
          <w:szCs w:val="24"/>
        </w:rPr>
        <w:t xml:space="preserve">It is essential to ensure a level playing field for </w:t>
      </w:r>
      <w:r w:rsidR="000D66AE" w:rsidRPr="007C1494">
        <w:rPr>
          <w:rFonts w:eastAsia="Times New Roman" w:cs="Times New Roman"/>
          <w:noProof/>
          <w:szCs w:val="24"/>
        </w:rPr>
        <w:t>operators</w:t>
      </w:r>
      <w:r w:rsidRPr="007C1494">
        <w:rPr>
          <w:rFonts w:eastAsia="Times New Roman" w:cs="Times New Roman"/>
          <w:noProof/>
          <w:szCs w:val="24"/>
        </w:rPr>
        <w:t xml:space="preserve"> at the EU level</w:t>
      </w:r>
      <w:r w:rsidR="000D66AE" w:rsidRPr="007C1494">
        <w:rPr>
          <w:rFonts w:eastAsia="Times New Roman" w:cs="Times New Roman"/>
          <w:noProof/>
          <w:szCs w:val="24"/>
        </w:rPr>
        <w:t xml:space="preserve"> </w:t>
      </w:r>
      <w:r w:rsidR="55A7357F" w:rsidRPr="007C1494">
        <w:rPr>
          <w:rFonts w:eastAsia="Times New Roman" w:cs="Times New Roman"/>
          <w:noProof/>
          <w:szCs w:val="24"/>
        </w:rPr>
        <w:t xml:space="preserve">in terms of requirements to be met before placing products </w:t>
      </w:r>
      <w:r w:rsidR="00E72B9D" w:rsidRPr="007C1494">
        <w:rPr>
          <w:rFonts w:eastAsia="Times New Roman" w:cs="Times New Roman"/>
          <w:noProof/>
          <w:szCs w:val="24"/>
        </w:rPr>
        <w:t>(commodities and derived</w:t>
      </w:r>
      <w:r w:rsidR="55A7357F" w:rsidRPr="007C1494">
        <w:rPr>
          <w:rFonts w:eastAsia="Times New Roman" w:cs="Times New Roman"/>
          <w:noProof/>
          <w:szCs w:val="24"/>
        </w:rPr>
        <w:t xml:space="preserve"> products) on the EU market</w:t>
      </w:r>
      <w:r w:rsidR="000D66AE" w:rsidRPr="007C1494">
        <w:rPr>
          <w:rFonts w:eastAsia="Times New Roman" w:cs="Times New Roman"/>
          <w:noProof/>
          <w:szCs w:val="24"/>
        </w:rPr>
        <w:t xml:space="preserve"> for the first time</w:t>
      </w:r>
      <w:r w:rsidR="55A7357F" w:rsidRPr="007C1494">
        <w:rPr>
          <w:rFonts w:eastAsia="Times New Roman" w:cs="Times New Roman"/>
          <w:noProof/>
          <w:szCs w:val="24"/>
        </w:rPr>
        <w:t xml:space="preserve">. For this reason, EU-wide measures </w:t>
      </w:r>
      <w:r w:rsidR="00E15A0C" w:rsidRPr="007C1494">
        <w:rPr>
          <w:rFonts w:eastAsia="Times New Roman" w:cs="Times New Roman"/>
          <w:noProof/>
          <w:szCs w:val="24"/>
        </w:rPr>
        <w:t xml:space="preserve">are necessary. </w:t>
      </w:r>
      <w:r w:rsidR="00532D09" w:rsidRPr="007C1494">
        <w:rPr>
          <w:rFonts w:eastAsia="Times New Roman" w:cs="Times New Roman"/>
          <w:noProof/>
          <w:szCs w:val="24"/>
        </w:rPr>
        <w:t>They should be</w:t>
      </w:r>
      <w:r w:rsidR="00E15A0C" w:rsidRPr="007C1494" w:rsidDel="00532D09">
        <w:rPr>
          <w:rFonts w:eastAsia="Times New Roman" w:cs="Times New Roman"/>
          <w:noProof/>
          <w:szCs w:val="24"/>
        </w:rPr>
        <w:t xml:space="preserve"> </w:t>
      </w:r>
      <w:r w:rsidR="55A7357F" w:rsidRPr="007C1494">
        <w:rPr>
          <w:rFonts w:eastAsia="Times New Roman" w:cs="Times New Roman"/>
          <w:noProof/>
          <w:szCs w:val="24"/>
        </w:rPr>
        <w:t xml:space="preserve">designed to </w:t>
      </w:r>
      <w:r w:rsidR="345734CC" w:rsidRPr="007C1494">
        <w:rPr>
          <w:rFonts w:eastAsia="Times New Roman" w:cs="Times New Roman"/>
          <w:noProof/>
          <w:szCs w:val="24"/>
        </w:rPr>
        <w:t>ensure a common understanding of deforestation</w:t>
      </w:r>
      <w:r w:rsidR="00E15A0C" w:rsidRPr="007C1494">
        <w:rPr>
          <w:rFonts w:eastAsia="Times New Roman" w:cs="Times New Roman"/>
          <w:noProof/>
          <w:szCs w:val="24"/>
        </w:rPr>
        <w:t xml:space="preserve"> and forest degradation</w:t>
      </w:r>
      <w:r w:rsidR="345734CC" w:rsidRPr="007C1494">
        <w:rPr>
          <w:rFonts w:eastAsia="Times New Roman" w:cs="Times New Roman"/>
          <w:noProof/>
          <w:szCs w:val="24"/>
        </w:rPr>
        <w:t>-free</w:t>
      </w:r>
      <w:r w:rsidR="55A7357F" w:rsidRPr="007C1494">
        <w:rPr>
          <w:rFonts w:eastAsia="Times New Roman" w:cs="Times New Roman"/>
          <w:noProof/>
          <w:szCs w:val="24"/>
        </w:rPr>
        <w:t xml:space="preserve"> </w:t>
      </w:r>
      <w:r w:rsidR="78A1A88F" w:rsidRPr="007C1494">
        <w:rPr>
          <w:rFonts w:eastAsia="Times New Roman" w:cs="Times New Roman"/>
          <w:noProof/>
          <w:szCs w:val="24"/>
        </w:rPr>
        <w:t>supply chain</w:t>
      </w:r>
      <w:r w:rsidR="00E15A0C" w:rsidRPr="007C1494">
        <w:rPr>
          <w:rFonts w:eastAsia="Times New Roman" w:cs="Times New Roman"/>
          <w:noProof/>
          <w:szCs w:val="24"/>
        </w:rPr>
        <w:t>s</w:t>
      </w:r>
      <w:r w:rsidR="78A1A88F" w:rsidRPr="007C1494">
        <w:rPr>
          <w:rFonts w:eastAsia="Times New Roman" w:cs="Times New Roman"/>
          <w:noProof/>
          <w:szCs w:val="24"/>
        </w:rPr>
        <w:t xml:space="preserve"> and to increase the transparency of such supply chains</w:t>
      </w:r>
      <w:r w:rsidR="00E15A0C" w:rsidRPr="007C1494">
        <w:rPr>
          <w:rFonts w:eastAsia="Times New Roman" w:cs="Times New Roman"/>
          <w:noProof/>
          <w:szCs w:val="24"/>
        </w:rPr>
        <w:t>.</w:t>
      </w:r>
      <w:r w:rsidR="78A1A88F" w:rsidRPr="007C1494">
        <w:rPr>
          <w:rFonts w:eastAsia="Times New Roman" w:cs="Times New Roman"/>
          <w:noProof/>
          <w:szCs w:val="24"/>
        </w:rPr>
        <w:t xml:space="preserve"> </w:t>
      </w:r>
    </w:p>
    <w:p w14:paraId="0D98D111" w14:textId="5866A1B7" w:rsidR="06C84523" w:rsidRPr="007C1494" w:rsidRDefault="55A7357F" w:rsidP="008213C8">
      <w:pPr>
        <w:jc w:val="both"/>
        <w:rPr>
          <w:rFonts w:eastAsia="Times New Roman" w:cs="Times New Roman"/>
          <w:noProof/>
          <w:szCs w:val="24"/>
        </w:rPr>
      </w:pPr>
      <w:r w:rsidRPr="007C1494">
        <w:rPr>
          <w:rFonts w:eastAsia="Times New Roman" w:cs="Times New Roman"/>
          <w:noProof/>
          <w:szCs w:val="24"/>
        </w:rPr>
        <w:t xml:space="preserve">Were the EU not to act, the problem of deforestation and forest degradation related to EU consumption would persist and further deteriorate. This could negatively affect the EU's efforts in the field of </w:t>
      </w:r>
      <w:r w:rsidR="001F5E09" w:rsidRPr="007C1494">
        <w:rPr>
          <w:rFonts w:eastAsia="Times New Roman" w:cs="Times New Roman"/>
          <w:noProof/>
          <w:szCs w:val="24"/>
        </w:rPr>
        <w:t xml:space="preserve">global </w:t>
      </w:r>
      <w:r w:rsidRPr="007C1494">
        <w:rPr>
          <w:rFonts w:eastAsia="Times New Roman" w:cs="Times New Roman"/>
          <w:noProof/>
          <w:szCs w:val="24"/>
        </w:rPr>
        <w:t>biodiversity protection</w:t>
      </w:r>
      <w:r w:rsidR="00274B9A">
        <w:rPr>
          <w:rFonts w:eastAsia="Times New Roman" w:cs="Times New Roman"/>
          <w:noProof/>
          <w:szCs w:val="24"/>
        </w:rPr>
        <w:t xml:space="preserve"> and</w:t>
      </w:r>
      <w:r w:rsidRPr="007C1494">
        <w:rPr>
          <w:rFonts w:eastAsia="Times New Roman" w:cs="Times New Roman"/>
          <w:noProof/>
          <w:szCs w:val="24"/>
        </w:rPr>
        <w:t xml:space="preserve"> climate change</w:t>
      </w:r>
      <w:r w:rsidR="00274B9A">
        <w:rPr>
          <w:rFonts w:eastAsia="Times New Roman" w:cs="Times New Roman"/>
          <w:noProof/>
          <w:szCs w:val="24"/>
        </w:rPr>
        <w:t>.</w:t>
      </w:r>
    </w:p>
    <w:p w14:paraId="3BC098C1" w14:textId="0AD76D39" w:rsidR="6E0F3ECC" w:rsidRPr="007C1494" w:rsidRDefault="00EF2F64" w:rsidP="6E0F3ECC">
      <w:pPr>
        <w:jc w:val="both"/>
        <w:rPr>
          <w:rFonts w:eastAsia="Times New Roman" w:cs="Times New Roman"/>
          <w:noProof/>
          <w:szCs w:val="24"/>
        </w:rPr>
      </w:pPr>
      <w:r>
        <w:rPr>
          <w:rFonts w:eastAsia="Times New Roman" w:cs="Times New Roman"/>
          <w:noProof/>
          <w:szCs w:val="24"/>
        </w:rPr>
        <w:t>W</w:t>
      </w:r>
      <w:r w:rsidR="576BB5EF" w:rsidRPr="007C1494">
        <w:rPr>
          <w:rFonts w:eastAsia="Times New Roman" w:cs="Times New Roman"/>
          <w:noProof/>
          <w:szCs w:val="24"/>
        </w:rPr>
        <w:t>hile there is currently no regulatory framework to reduce the impact of EU consumption on deforestation and forest degradation</w:t>
      </w:r>
      <w:r w:rsidR="137A8BFB" w:rsidRPr="007C1494">
        <w:rPr>
          <w:rFonts w:eastAsia="Times New Roman" w:cs="Times New Roman"/>
          <w:noProof/>
          <w:szCs w:val="24"/>
        </w:rPr>
        <w:t xml:space="preserve">, two Regulations </w:t>
      </w:r>
      <w:r w:rsidRPr="007C1494">
        <w:rPr>
          <w:rFonts w:eastAsia="Times New Roman" w:cs="Times New Roman"/>
          <w:noProof/>
          <w:szCs w:val="24"/>
        </w:rPr>
        <w:t>(the EUTR and FLEGT Regulation)</w:t>
      </w:r>
      <w:r>
        <w:rPr>
          <w:rFonts w:eastAsia="Times New Roman" w:cs="Times New Roman"/>
          <w:noProof/>
          <w:szCs w:val="24"/>
        </w:rPr>
        <w:t xml:space="preserve"> focusing on the legality of timber placed in the EU market </w:t>
      </w:r>
      <w:r w:rsidR="00DE636B">
        <w:rPr>
          <w:rFonts w:eastAsia="Times New Roman" w:cs="Times New Roman"/>
          <w:noProof/>
          <w:szCs w:val="24"/>
        </w:rPr>
        <w:t>have been developed as part of the FLEGT Action Plan</w:t>
      </w:r>
      <w:r w:rsidR="00274B9A">
        <w:rPr>
          <w:rFonts w:eastAsia="Times New Roman" w:cs="Times New Roman"/>
          <w:noProof/>
          <w:szCs w:val="24"/>
        </w:rPr>
        <w:t>. T</w:t>
      </w:r>
      <w:r w:rsidR="00274B9A" w:rsidRPr="00274B9A">
        <w:rPr>
          <w:rFonts w:eastAsia="Times New Roman" w:cs="Times New Roman"/>
          <w:noProof/>
          <w:szCs w:val="24"/>
        </w:rPr>
        <w:t xml:space="preserve">hese instruments </w:t>
      </w:r>
      <w:r w:rsidR="00274B9A">
        <w:rPr>
          <w:rFonts w:eastAsia="Times New Roman" w:cs="Times New Roman"/>
          <w:noProof/>
          <w:szCs w:val="24"/>
        </w:rPr>
        <w:t xml:space="preserve">could </w:t>
      </w:r>
      <w:r w:rsidR="00274B9A" w:rsidRPr="00274B9A">
        <w:rPr>
          <w:rFonts w:eastAsia="Times New Roman" w:cs="Times New Roman"/>
          <w:noProof/>
          <w:szCs w:val="24"/>
        </w:rPr>
        <w:t xml:space="preserve">potentially </w:t>
      </w:r>
      <w:r w:rsidR="00A05DAA">
        <w:rPr>
          <w:rFonts w:eastAsia="Times New Roman" w:cs="Times New Roman"/>
          <w:noProof/>
          <w:szCs w:val="24"/>
        </w:rPr>
        <w:t xml:space="preserve">be </w:t>
      </w:r>
      <w:r w:rsidR="00274B9A" w:rsidRPr="00274B9A">
        <w:rPr>
          <w:rFonts w:eastAsia="Times New Roman" w:cs="Times New Roman"/>
          <w:noProof/>
          <w:szCs w:val="24"/>
        </w:rPr>
        <w:t>affected by the new initiative</w:t>
      </w:r>
      <w:r w:rsidR="00274B9A">
        <w:rPr>
          <w:rFonts w:eastAsia="Times New Roman" w:cs="Times New Roman"/>
          <w:noProof/>
          <w:szCs w:val="24"/>
        </w:rPr>
        <w:t xml:space="preserve"> (see section 8.)</w:t>
      </w:r>
    </w:p>
    <w:p w14:paraId="095EB21E" w14:textId="70391C28" w:rsidR="00244E6A" w:rsidRPr="007C1494" w:rsidRDefault="00335526" w:rsidP="00335526">
      <w:pPr>
        <w:pStyle w:val="Heading2"/>
        <w:rPr>
          <w:noProof/>
        </w:rPr>
      </w:pPr>
      <w:bookmarkStart w:id="61" w:name="_Toc481484467"/>
      <w:bookmarkStart w:id="62" w:name="_Toc67074982"/>
      <w:bookmarkStart w:id="63" w:name="_Toc75542176"/>
      <w:bookmarkStart w:id="64" w:name="_Toc75543209"/>
      <w:bookmarkStart w:id="65" w:name="_Toc84591897"/>
      <w:r w:rsidRPr="00335526">
        <w:t>3.3</w:t>
      </w:r>
      <w:r w:rsidRPr="00335526">
        <w:tab/>
      </w:r>
      <w:r w:rsidR="00244E6A" w:rsidRPr="007C1494">
        <w:rPr>
          <w:noProof/>
        </w:rPr>
        <w:t>Subsidiarity: Added value of EU action</w:t>
      </w:r>
      <w:bookmarkEnd w:id="61"/>
      <w:bookmarkEnd w:id="62"/>
      <w:bookmarkEnd w:id="63"/>
      <w:bookmarkEnd w:id="64"/>
      <w:bookmarkEnd w:id="65"/>
    </w:p>
    <w:p w14:paraId="3D1B7873" w14:textId="3D74AA07" w:rsidR="00244E6A" w:rsidRPr="007C1494" w:rsidRDefault="362A03C6" w:rsidP="008213C8">
      <w:pPr>
        <w:jc w:val="both"/>
        <w:rPr>
          <w:rFonts w:eastAsia="Times New Roman" w:cs="Times New Roman"/>
          <w:noProof/>
          <w:szCs w:val="24"/>
        </w:rPr>
      </w:pPr>
      <w:r w:rsidRPr="007C1494">
        <w:rPr>
          <w:rFonts w:eastAsia="Times New Roman" w:cs="Times New Roman"/>
          <w:noProof/>
          <w:szCs w:val="24"/>
        </w:rPr>
        <w:t xml:space="preserve">The main drivers of deforestation and forest degradation are linked to </w:t>
      </w:r>
      <w:r w:rsidR="005B018E" w:rsidRPr="007C1494">
        <w:rPr>
          <w:rFonts w:eastAsia="Times New Roman" w:cs="Times New Roman"/>
          <w:noProof/>
          <w:szCs w:val="24"/>
        </w:rPr>
        <w:t xml:space="preserve">both the </w:t>
      </w:r>
      <w:r w:rsidR="00833EE7" w:rsidRPr="007C1494">
        <w:rPr>
          <w:rFonts w:eastAsia="Times New Roman" w:cs="Times New Roman"/>
          <w:noProof/>
          <w:szCs w:val="24"/>
        </w:rPr>
        <w:t xml:space="preserve">EU </w:t>
      </w:r>
      <w:r w:rsidR="005B018E" w:rsidRPr="007C1494">
        <w:rPr>
          <w:rFonts w:eastAsia="Times New Roman" w:cs="Times New Roman"/>
          <w:noProof/>
          <w:szCs w:val="24"/>
        </w:rPr>
        <w:t>market and</w:t>
      </w:r>
      <w:r w:rsidRPr="007C1494">
        <w:rPr>
          <w:rFonts w:eastAsia="Times New Roman" w:cs="Times New Roman"/>
          <w:noProof/>
          <w:szCs w:val="24"/>
        </w:rPr>
        <w:t xml:space="preserve"> international trade. Action at EU level to address the consumption footprint of the EU would provide the benefit of the EU experience in dealing with complex supply-chain issues (e.g. stemming from the illegal logging related legislation for example) and would address international trade issues in a coordinated and harmonised way. </w:t>
      </w:r>
    </w:p>
    <w:p w14:paraId="3FAB94C0" w14:textId="7D628EE5" w:rsidR="00244E6A" w:rsidRPr="007C1494" w:rsidDel="00E369DB" w:rsidRDefault="362A03C6" w:rsidP="008213C8">
      <w:pPr>
        <w:jc w:val="both"/>
        <w:rPr>
          <w:rFonts w:eastAsia="Times New Roman" w:cs="Times New Roman"/>
          <w:noProof/>
          <w:szCs w:val="24"/>
        </w:rPr>
      </w:pPr>
      <w:r w:rsidRPr="007C1494">
        <w:rPr>
          <w:rFonts w:eastAsia="Times New Roman" w:cs="Times New Roman"/>
          <w:noProof/>
          <w:szCs w:val="24"/>
        </w:rPr>
        <w:t>As some Member States have started taking action at national level, the potential impacts on the internal market and the protection of the internal market also justify action at EU level. The EU action could complement and strengthen national efforts of Member States.</w:t>
      </w:r>
    </w:p>
    <w:p w14:paraId="60F73709" w14:textId="77777777" w:rsidR="007F4115" w:rsidRPr="007C1494" w:rsidDel="00587D7B" w:rsidRDefault="007F4115" w:rsidP="008213C8">
      <w:pPr>
        <w:jc w:val="both"/>
        <w:rPr>
          <w:rFonts w:eastAsia="Times New Roman" w:cs="Times New Roman"/>
          <w:noProof/>
          <w:szCs w:val="24"/>
        </w:rPr>
      </w:pPr>
    </w:p>
    <w:p w14:paraId="62489032" w14:textId="11CFE962" w:rsidR="00244E6A" w:rsidRPr="007C1494" w:rsidRDefault="00335526" w:rsidP="00335526">
      <w:pPr>
        <w:pStyle w:val="Heading1"/>
        <w:rPr>
          <w:noProof/>
        </w:rPr>
      </w:pPr>
      <w:bookmarkStart w:id="66" w:name="_Toc481484468"/>
      <w:bookmarkStart w:id="67" w:name="_Toc67074983"/>
      <w:bookmarkStart w:id="68" w:name="_Toc75542177"/>
      <w:bookmarkStart w:id="69" w:name="_Toc75543210"/>
      <w:bookmarkStart w:id="70" w:name="_Toc84591898"/>
      <w:r w:rsidRPr="00335526">
        <w:t>4</w:t>
      </w:r>
      <w:r w:rsidRPr="00335526">
        <w:tab/>
      </w:r>
      <w:r w:rsidR="00244E6A" w:rsidRPr="007C1494">
        <w:rPr>
          <w:noProof/>
        </w:rPr>
        <w:t>Objectives: What is to be achieved?</w:t>
      </w:r>
      <w:bookmarkEnd w:id="66"/>
      <w:bookmarkEnd w:id="67"/>
      <w:bookmarkEnd w:id="68"/>
      <w:bookmarkEnd w:id="69"/>
      <w:bookmarkEnd w:id="70"/>
    </w:p>
    <w:p w14:paraId="16DEB4AB" w14:textId="48974BF1" w:rsidR="00244E6A" w:rsidRDefault="214079D3" w:rsidP="008213C8">
      <w:pPr>
        <w:jc w:val="both"/>
        <w:rPr>
          <w:rFonts w:eastAsia="Times New Roman" w:cs="Times New Roman"/>
          <w:noProof/>
          <w:szCs w:val="24"/>
        </w:rPr>
      </w:pPr>
      <w:r w:rsidRPr="007C1494">
        <w:rPr>
          <w:rFonts w:eastAsia="Times New Roman" w:cs="Times New Roman"/>
          <w:noProof/>
          <w:szCs w:val="24"/>
        </w:rPr>
        <w:t xml:space="preserve">While the problem of deforestation </w:t>
      </w:r>
      <w:r w:rsidR="005B018E" w:rsidRPr="007C1494">
        <w:rPr>
          <w:rFonts w:eastAsia="Times New Roman" w:cs="Times New Roman"/>
          <w:noProof/>
          <w:szCs w:val="24"/>
        </w:rPr>
        <w:t>and forest degradation</w:t>
      </w:r>
      <w:r w:rsidRPr="007C1494">
        <w:rPr>
          <w:rFonts w:eastAsia="Times New Roman" w:cs="Times New Roman"/>
          <w:noProof/>
          <w:szCs w:val="24"/>
        </w:rPr>
        <w:t xml:space="preserve"> is wide and </w:t>
      </w:r>
      <w:r w:rsidR="00B32FD7">
        <w:rPr>
          <w:rFonts w:eastAsia="Times New Roman" w:cs="Times New Roman"/>
          <w:noProof/>
          <w:szCs w:val="24"/>
        </w:rPr>
        <w:t>touches</w:t>
      </w:r>
      <w:r w:rsidR="00B32FD7" w:rsidRPr="007C1494">
        <w:rPr>
          <w:rFonts w:eastAsia="Times New Roman" w:cs="Times New Roman"/>
          <w:noProof/>
          <w:szCs w:val="24"/>
        </w:rPr>
        <w:t xml:space="preserve"> </w:t>
      </w:r>
      <w:r w:rsidRPr="007C1494">
        <w:rPr>
          <w:rFonts w:eastAsia="Times New Roman" w:cs="Times New Roman"/>
          <w:noProof/>
          <w:szCs w:val="24"/>
        </w:rPr>
        <w:t xml:space="preserve">many different areas, including </w:t>
      </w:r>
      <w:r w:rsidR="00B32FD7">
        <w:rPr>
          <w:rFonts w:eastAsia="Times New Roman" w:cs="Times New Roman"/>
          <w:noProof/>
          <w:szCs w:val="24"/>
        </w:rPr>
        <w:t>social</w:t>
      </w:r>
      <w:r w:rsidRPr="007C1494">
        <w:rPr>
          <w:rFonts w:eastAsia="Times New Roman" w:cs="Times New Roman"/>
          <w:noProof/>
          <w:szCs w:val="24"/>
        </w:rPr>
        <w:t xml:space="preserve">, economic and environmental issues, this initiative focuses specifically on measures to </w:t>
      </w:r>
      <w:r w:rsidR="0047390E" w:rsidRPr="007C1494">
        <w:rPr>
          <w:rFonts w:eastAsia="Times New Roman" w:cs="Times New Roman"/>
          <w:noProof/>
          <w:szCs w:val="24"/>
        </w:rPr>
        <w:t>minimise the placing of products associated with deforestation or forest degradation on the EU market</w:t>
      </w:r>
      <w:r w:rsidRPr="007C1494">
        <w:rPr>
          <w:rFonts w:eastAsia="Times New Roman" w:cs="Times New Roman"/>
          <w:noProof/>
          <w:szCs w:val="24"/>
        </w:rPr>
        <w:t>.</w:t>
      </w:r>
    </w:p>
    <w:p w14:paraId="03482997" w14:textId="12251A44" w:rsidR="001321CB" w:rsidRDefault="0032625C" w:rsidP="008213C8">
      <w:pPr>
        <w:jc w:val="both"/>
        <w:rPr>
          <w:rFonts w:eastAsia="Times New Roman" w:cs="Times New Roman"/>
          <w:noProof/>
          <w:szCs w:val="24"/>
        </w:rPr>
      </w:pPr>
      <w:r w:rsidRPr="007A1884">
        <w:rPr>
          <w:rFonts w:eastAsia="Times New Roman" w:cs="Times New Roman"/>
          <w:noProof/>
          <w:szCs w:val="24"/>
        </w:rPr>
        <w:t>A</w:t>
      </w:r>
      <w:r w:rsidR="007937E9">
        <w:rPr>
          <w:rFonts w:eastAsia="Times New Roman" w:cs="Times New Roman"/>
          <w:noProof/>
          <w:szCs w:val="24"/>
        </w:rPr>
        <w:t xml:space="preserve"> single a</w:t>
      </w:r>
      <w:r w:rsidRPr="007A1884">
        <w:rPr>
          <w:rFonts w:eastAsia="Times New Roman" w:cs="Times New Roman"/>
          <w:noProof/>
          <w:szCs w:val="24"/>
        </w:rPr>
        <w:t xml:space="preserve">ction by the EU </w:t>
      </w:r>
      <w:r w:rsidR="007937E9">
        <w:rPr>
          <w:rFonts w:eastAsia="Times New Roman" w:cs="Times New Roman"/>
          <w:noProof/>
          <w:szCs w:val="24"/>
        </w:rPr>
        <w:t xml:space="preserve">(and EU </w:t>
      </w:r>
      <w:r w:rsidRPr="007A1884">
        <w:rPr>
          <w:rFonts w:eastAsia="Times New Roman" w:cs="Times New Roman"/>
          <w:noProof/>
          <w:szCs w:val="24"/>
        </w:rPr>
        <w:t>alone</w:t>
      </w:r>
      <w:r w:rsidR="007937E9">
        <w:rPr>
          <w:rFonts w:eastAsia="Times New Roman" w:cs="Times New Roman"/>
          <w:noProof/>
          <w:szCs w:val="24"/>
        </w:rPr>
        <w:t>)</w:t>
      </w:r>
      <w:r w:rsidRPr="007A1884">
        <w:rPr>
          <w:rFonts w:eastAsia="Times New Roman" w:cs="Times New Roman"/>
          <w:noProof/>
          <w:szCs w:val="24"/>
        </w:rPr>
        <w:t xml:space="preserve"> will </w:t>
      </w:r>
      <w:r w:rsidR="00B32FD7">
        <w:rPr>
          <w:rFonts w:eastAsia="Times New Roman" w:cs="Times New Roman"/>
          <w:noProof/>
          <w:szCs w:val="24"/>
        </w:rPr>
        <w:t xml:space="preserve">however </w:t>
      </w:r>
      <w:r w:rsidRPr="007A1884">
        <w:rPr>
          <w:rFonts w:eastAsia="Times New Roman" w:cs="Times New Roman"/>
          <w:noProof/>
          <w:szCs w:val="24"/>
        </w:rPr>
        <w:t xml:space="preserve">only have a limited impact in reducing </w:t>
      </w:r>
      <w:r w:rsidR="001C54C4">
        <w:rPr>
          <w:rFonts w:eastAsia="Times New Roman" w:cs="Times New Roman"/>
          <w:noProof/>
          <w:szCs w:val="24"/>
        </w:rPr>
        <w:t xml:space="preserve">global </w:t>
      </w:r>
      <w:r w:rsidRPr="007A1884">
        <w:rPr>
          <w:rFonts w:eastAsia="Times New Roman" w:cs="Times New Roman"/>
          <w:noProof/>
          <w:szCs w:val="24"/>
        </w:rPr>
        <w:t>deforestation and forest degradation</w:t>
      </w:r>
      <w:r>
        <w:rPr>
          <w:rFonts w:eastAsia="Times New Roman" w:cs="Times New Roman"/>
          <w:noProof/>
          <w:szCs w:val="24"/>
        </w:rPr>
        <w:t>. Therefore, c</w:t>
      </w:r>
      <w:r w:rsidR="007A1884" w:rsidRPr="007A1884">
        <w:rPr>
          <w:rFonts w:eastAsia="Times New Roman" w:cs="Times New Roman"/>
          <w:noProof/>
          <w:szCs w:val="24"/>
        </w:rPr>
        <w:t xml:space="preserve">ooperation with producing and consumer countries, as well as with international organisations, is crucial to avoid leakage and to achieve the goal of halting </w:t>
      </w:r>
      <w:r w:rsidR="001C54C4">
        <w:rPr>
          <w:rFonts w:eastAsia="Times New Roman" w:cs="Times New Roman"/>
          <w:noProof/>
          <w:szCs w:val="24"/>
        </w:rPr>
        <w:t xml:space="preserve">global </w:t>
      </w:r>
      <w:r w:rsidR="007A1884" w:rsidRPr="007A1884">
        <w:rPr>
          <w:rFonts w:eastAsia="Times New Roman" w:cs="Times New Roman"/>
          <w:noProof/>
          <w:szCs w:val="24"/>
        </w:rPr>
        <w:t>deforestation.</w:t>
      </w:r>
    </w:p>
    <w:p w14:paraId="50448480" w14:textId="4841A235" w:rsidR="001C54C4" w:rsidRDefault="001321CB" w:rsidP="008213C8">
      <w:pPr>
        <w:jc w:val="both"/>
        <w:rPr>
          <w:rFonts w:eastAsia="Times New Roman" w:cs="Times New Roman"/>
          <w:noProof/>
          <w:szCs w:val="24"/>
        </w:rPr>
      </w:pPr>
      <w:r>
        <w:rPr>
          <w:rFonts w:eastAsia="Times New Roman" w:cs="Times New Roman"/>
          <w:noProof/>
          <w:szCs w:val="24"/>
        </w:rPr>
        <w:t xml:space="preserve">Work towards these goals is foreseen in the </w:t>
      </w:r>
      <w:r w:rsidR="00D761F9" w:rsidRPr="00D6567C">
        <w:rPr>
          <w:rFonts w:eastAsia="Times New Roman" w:cs="Times New Roman"/>
          <w:noProof/>
          <w:szCs w:val="24"/>
        </w:rPr>
        <w:t xml:space="preserve">2019 </w:t>
      </w:r>
      <w:r w:rsidRPr="00D6567C">
        <w:rPr>
          <w:rFonts w:eastAsia="Times New Roman" w:cs="Times New Roman"/>
          <w:noProof/>
          <w:szCs w:val="24"/>
        </w:rPr>
        <w:t>C</w:t>
      </w:r>
      <w:r>
        <w:rPr>
          <w:rFonts w:eastAsia="Times New Roman" w:cs="Times New Roman"/>
          <w:noProof/>
          <w:szCs w:val="24"/>
        </w:rPr>
        <w:t>ommunication, which in its annex</w:t>
      </w:r>
      <w:r>
        <w:rPr>
          <w:rStyle w:val="FootnoteReference"/>
          <w:rFonts w:eastAsia="Times New Roman" w:cs="Times New Roman"/>
          <w:noProof/>
          <w:szCs w:val="24"/>
        </w:rPr>
        <w:footnoteReference w:id="72"/>
      </w:r>
      <w:r>
        <w:rPr>
          <w:rFonts w:eastAsia="Times New Roman" w:cs="Times New Roman"/>
          <w:noProof/>
          <w:szCs w:val="24"/>
        </w:rPr>
        <w:t xml:space="preserve"> lists over thirty precise actions across five priorities that the European Commission commits to carry out.</w:t>
      </w:r>
      <w:r w:rsidR="00DD4711">
        <w:rPr>
          <w:rFonts w:eastAsia="Times New Roman" w:cs="Times New Roman"/>
          <w:noProof/>
          <w:szCs w:val="24"/>
        </w:rPr>
        <w:t xml:space="preserve"> Hence assessment of impacts of this initiative needs to be seen also in the context of the other actions being put in place. </w:t>
      </w:r>
      <w:r w:rsidR="007A1884">
        <w:rPr>
          <w:rFonts w:eastAsia="Times New Roman" w:cs="Times New Roman"/>
          <w:noProof/>
          <w:szCs w:val="24"/>
        </w:rPr>
        <w:t xml:space="preserve">In particular with regard to producer countries, the EU </w:t>
      </w:r>
      <w:r w:rsidR="007A1884" w:rsidRPr="007A1884">
        <w:rPr>
          <w:rFonts w:eastAsia="Times New Roman" w:cs="Times New Roman"/>
          <w:noProof/>
          <w:szCs w:val="24"/>
        </w:rPr>
        <w:t xml:space="preserve">can build on years of experience in </w:t>
      </w:r>
      <w:r w:rsidR="008D245A">
        <w:rPr>
          <w:rFonts w:eastAsia="Times New Roman" w:cs="Times New Roman"/>
          <w:noProof/>
          <w:szCs w:val="24"/>
        </w:rPr>
        <w:t xml:space="preserve">the </w:t>
      </w:r>
      <w:r w:rsidR="007A1884" w:rsidRPr="007A1884">
        <w:rPr>
          <w:rFonts w:eastAsia="Times New Roman" w:cs="Times New Roman"/>
          <w:noProof/>
          <w:szCs w:val="24"/>
        </w:rPr>
        <w:t>international forestry area: the Forest Partnersh</w:t>
      </w:r>
      <w:r w:rsidR="007A1884">
        <w:rPr>
          <w:rFonts w:eastAsia="Times New Roman" w:cs="Times New Roman"/>
          <w:noProof/>
          <w:szCs w:val="24"/>
        </w:rPr>
        <w:t xml:space="preserve">ip currently being developed </w:t>
      </w:r>
      <w:r w:rsidR="007A1884" w:rsidRPr="007A1884">
        <w:rPr>
          <w:rFonts w:eastAsia="Times New Roman" w:cs="Times New Roman"/>
          <w:noProof/>
          <w:szCs w:val="24"/>
        </w:rPr>
        <w:t xml:space="preserve">will be a useful tool to tailor outreach as well as policy dialogue and financial support for capacity building. </w:t>
      </w:r>
      <w:r>
        <w:rPr>
          <w:rFonts w:eastAsia="Times New Roman" w:cs="Times New Roman"/>
          <w:noProof/>
          <w:szCs w:val="24"/>
        </w:rPr>
        <w:t xml:space="preserve">The </w:t>
      </w:r>
      <w:r w:rsidRPr="001321CB">
        <w:rPr>
          <w:rFonts w:eastAsia="Times New Roman" w:cs="Times New Roman"/>
          <w:noProof/>
          <w:szCs w:val="24"/>
        </w:rPr>
        <w:t>sustainable development chapter</w:t>
      </w:r>
      <w:r>
        <w:rPr>
          <w:rFonts w:eastAsia="Times New Roman" w:cs="Times New Roman"/>
          <w:noProof/>
          <w:szCs w:val="24"/>
        </w:rPr>
        <w:t>s</w:t>
      </w:r>
      <w:r w:rsidRPr="001321CB">
        <w:rPr>
          <w:rFonts w:eastAsia="Times New Roman" w:cs="Times New Roman"/>
          <w:noProof/>
          <w:szCs w:val="24"/>
        </w:rPr>
        <w:t xml:space="preserve"> in trade agreements </w:t>
      </w:r>
      <w:r>
        <w:rPr>
          <w:rFonts w:eastAsia="Times New Roman" w:cs="Times New Roman"/>
          <w:noProof/>
          <w:szCs w:val="24"/>
        </w:rPr>
        <w:t>could also contribute to address</w:t>
      </w:r>
      <w:r w:rsidR="008D245A">
        <w:rPr>
          <w:rFonts w:eastAsia="Times New Roman" w:cs="Times New Roman"/>
          <w:noProof/>
          <w:szCs w:val="24"/>
        </w:rPr>
        <w:t>ing</w:t>
      </w:r>
      <w:r>
        <w:rPr>
          <w:rFonts w:eastAsia="Times New Roman" w:cs="Times New Roman"/>
          <w:noProof/>
          <w:szCs w:val="24"/>
        </w:rPr>
        <w:t xml:space="preserve"> the global problem of deforestation</w:t>
      </w:r>
      <w:r w:rsidR="007A1884" w:rsidRPr="007A1884">
        <w:rPr>
          <w:rFonts w:eastAsia="Times New Roman" w:cs="Times New Roman"/>
          <w:noProof/>
          <w:szCs w:val="24"/>
        </w:rPr>
        <w:t>.</w:t>
      </w:r>
    </w:p>
    <w:p w14:paraId="5D80F232" w14:textId="1F354D32" w:rsidR="0032625C" w:rsidRDefault="001321CB" w:rsidP="001321CB">
      <w:pPr>
        <w:jc w:val="both"/>
        <w:rPr>
          <w:rFonts w:eastAsia="Times New Roman" w:cs="Times New Roman"/>
          <w:noProof/>
          <w:szCs w:val="24"/>
        </w:rPr>
      </w:pPr>
      <w:r w:rsidRPr="0032625C">
        <w:rPr>
          <w:rFonts w:eastAsia="Times New Roman" w:cs="Times New Roman"/>
          <w:noProof/>
          <w:szCs w:val="24"/>
        </w:rPr>
        <w:t xml:space="preserve">The </w:t>
      </w:r>
      <w:r>
        <w:rPr>
          <w:rFonts w:eastAsia="Times New Roman" w:cs="Times New Roman"/>
          <w:noProof/>
          <w:szCs w:val="24"/>
        </w:rPr>
        <w:t xml:space="preserve">proposed policy options will require products to have been produced in compliance with the deforestation-free definition (see section 4.4) and with the laws of the country of production. The latter means that labour, environmental and human rights laws applicable in the country of production (both national and international) will </w:t>
      </w:r>
      <w:r w:rsidR="008D245A">
        <w:rPr>
          <w:rFonts w:eastAsia="Times New Roman" w:cs="Times New Roman"/>
          <w:noProof/>
          <w:szCs w:val="24"/>
        </w:rPr>
        <w:t>need to</w:t>
      </w:r>
      <w:r>
        <w:rPr>
          <w:rFonts w:eastAsia="Times New Roman" w:cs="Times New Roman"/>
          <w:noProof/>
          <w:szCs w:val="24"/>
        </w:rPr>
        <w:t xml:space="preserve"> be taken into account when assessing the compliance of products with this initiative. This includes the rights of indigenous peoples, which is expected to contribute to pr</w:t>
      </w:r>
      <w:r w:rsidR="00210997">
        <w:rPr>
          <w:rFonts w:eastAsia="Times New Roman" w:cs="Times New Roman"/>
          <w:noProof/>
          <w:szCs w:val="24"/>
        </w:rPr>
        <w:t>otecting</w:t>
      </w:r>
      <w:r w:rsidR="0032625C" w:rsidRPr="0032625C">
        <w:rPr>
          <w:rFonts w:eastAsia="Times New Roman" w:cs="Times New Roman"/>
          <w:noProof/>
          <w:szCs w:val="24"/>
        </w:rPr>
        <w:t xml:space="preserve"> the rights of vulnerable </w:t>
      </w:r>
      <w:r>
        <w:rPr>
          <w:rFonts w:eastAsia="Times New Roman" w:cs="Times New Roman"/>
          <w:noProof/>
          <w:szCs w:val="24"/>
        </w:rPr>
        <w:t xml:space="preserve">local </w:t>
      </w:r>
      <w:r w:rsidR="0032625C" w:rsidRPr="0032625C">
        <w:rPr>
          <w:rFonts w:eastAsia="Times New Roman" w:cs="Times New Roman"/>
          <w:noProof/>
          <w:szCs w:val="24"/>
        </w:rPr>
        <w:t>communities</w:t>
      </w:r>
      <w:r w:rsidR="00210997">
        <w:rPr>
          <w:rFonts w:eastAsia="Times New Roman" w:cs="Times New Roman"/>
          <w:noProof/>
          <w:szCs w:val="24"/>
        </w:rPr>
        <w:t>.</w:t>
      </w:r>
    </w:p>
    <w:p w14:paraId="540002E8" w14:textId="0A589EE8" w:rsidR="00AC6B07" w:rsidRPr="00AC6B07" w:rsidRDefault="00210997" w:rsidP="00AC6B07">
      <w:pPr>
        <w:jc w:val="both"/>
        <w:rPr>
          <w:rFonts w:eastAsia="Times New Roman" w:cs="Times New Roman"/>
          <w:noProof/>
          <w:szCs w:val="24"/>
        </w:rPr>
      </w:pPr>
      <w:r>
        <w:rPr>
          <w:rFonts w:eastAsia="Times New Roman" w:cs="Times New Roman"/>
          <w:noProof/>
          <w:szCs w:val="24"/>
        </w:rPr>
        <w:t>O</w:t>
      </w:r>
      <w:r w:rsidR="004113A1">
        <w:rPr>
          <w:rFonts w:eastAsia="Times New Roman" w:cs="Times New Roman"/>
          <w:noProof/>
          <w:szCs w:val="24"/>
        </w:rPr>
        <w:t xml:space="preserve">ther EU </w:t>
      </w:r>
      <w:r>
        <w:rPr>
          <w:rFonts w:eastAsia="Times New Roman" w:cs="Times New Roman"/>
          <w:noProof/>
          <w:szCs w:val="24"/>
        </w:rPr>
        <w:t xml:space="preserve">legislative </w:t>
      </w:r>
      <w:r w:rsidR="004113A1">
        <w:rPr>
          <w:rFonts w:eastAsia="Times New Roman" w:cs="Times New Roman"/>
          <w:noProof/>
          <w:szCs w:val="24"/>
        </w:rPr>
        <w:t>initiatives, such as the one</w:t>
      </w:r>
      <w:r w:rsidR="004113A1" w:rsidRPr="004113A1">
        <w:rPr>
          <w:rFonts w:eastAsia="Times New Roman" w:cs="Times New Roman"/>
          <w:noProof/>
          <w:szCs w:val="24"/>
        </w:rPr>
        <w:t xml:space="preserve"> sustainable corporate governance</w:t>
      </w:r>
      <w:r>
        <w:rPr>
          <w:rFonts w:eastAsia="Times New Roman" w:cs="Times New Roman"/>
          <w:noProof/>
          <w:szCs w:val="24"/>
        </w:rPr>
        <w:t xml:space="preserve"> currently being developed</w:t>
      </w:r>
      <w:r w:rsidR="004113A1" w:rsidRPr="004113A1">
        <w:rPr>
          <w:rFonts w:eastAsia="Times New Roman" w:cs="Times New Roman"/>
          <w:noProof/>
          <w:szCs w:val="24"/>
        </w:rPr>
        <w:t xml:space="preserve">, will </w:t>
      </w:r>
      <w:r w:rsidR="004113A1">
        <w:rPr>
          <w:rFonts w:eastAsia="Times New Roman" w:cs="Times New Roman"/>
          <w:noProof/>
          <w:szCs w:val="24"/>
        </w:rPr>
        <w:t xml:space="preserve">be </w:t>
      </w:r>
      <w:r w:rsidR="004113A1" w:rsidRPr="004113A1">
        <w:rPr>
          <w:rFonts w:eastAsia="Times New Roman" w:cs="Times New Roman"/>
          <w:noProof/>
          <w:szCs w:val="24"/>
        </w:rPr>
        <w:t xml:space="preserve">specifically </w:t>
      </w:r>
      <w:r w:rsidR="004113A1">
        <w:rPr>
          <w:rFonts w:eastAsia="Times New Roman" w:cs="Times New Roman"/>
          <w:noProof/>
          <w:szCs w:val="24"/>
        </w:rPr>
        <w:t>designed to address</w:t>
      </w:r>
      <w:r w:rsidR="004113A1" w:rsidRPr="004113A1">
        <w:rPr>
          <w:rFonts w:eastAsia="Times New Roman" w:cs="Times New Roman"/>
          <w:noProof/>
          <w:szCs w:val="24"/>
        </w:rPr>
        <w:t xml:space="preserve"> the broader social </w:t>
      </w:r>
      <w:r w:rsidR="0094508C">
        <w:rPr>
          <w:rFonts w:eastAsia="Times New Roman" w:cs="Times New Roman"/>
          <w:noProof/>
          <w:szCs w:val="24"/>
        </w:rPr>
        <w:t xml:space="preserve">and human rights </w:t>
      </w:r>
      <w:r w:rsidR="004113A1" w:rsidRPr="004113A1">
        <w:rPr>
          <w:rFonts w:eastAsia="Times New Roman" w:cs="Times New Roman"/>
          <w:noProof/>
          <w:szCs w:val="24"/>
        </w:rPr>
        <w:t xml:space="preserve">aspects. It will do so by requiring companies across all sectors to identify, prevent, </w:t>
      </w:r>
      <w:r w:rsidR="008D245A">
        <w:rPr>
          <w:rFonts w:eastAsia="Times New Roman" w:cs="Times New Roman"/>
          <w:noProof/>
          <w:szCs w:val="24"/>
        </w:rPr>
        <w:t xml:space="preserve">and </w:t>
      </w:r>
      <w:r w:rsidR="004113A1" w:rsidRPr="004113A1">
        <w:rPr>
          <w:rFonts w:eastAsia="Times New Roman" w:cs="Times New Roman"/>
          <w:noProof/>
          <w:szCs w:val="24"/>
        </w:rPr>
        <w:t>mitigate actual and possible adverse impacts on human rights (including labour right), health and the environment (including the climate), in their own operations and value chains</w:t>
      </w:r>
      <w:r w:rsidR="00BD402F">
        <w:rPr>
          <w:rStyle w:val="FootnoteReference"/>
          <w:rFonts w:eastAsia="Times New Roman" w:cs="Times New Roman"/>
          <w:noProof/>
          <w:szCs w:val="24"/>
        </w:rPr>
        <w:footnoteReference w:id="73"/>
      </w:r>
      <w:r>
        <w:rPr>
          <w:rFonts w:eastAsia="Times New Roman" w:cs="Times New Roman"/>
          <w:noProof/>
          <w:szCs w:val="24"/>
        </w:rPr>
        <w:t>.</w:t>
      </w:r>
      <w:r w:rsidR="00BD402F" w:rsidRPr="00BD402F">
        <w:rPr>
          <w:b/>
          <w:i/>
          <w:noProof/>
          <w:sz w:val="22"/>
          <w:lang w:val="en-US"/>
        </w:rPr>
        <w:t xml:space="preserve"> </w:t>
      </w:r>
      <w:r w:rsidR="00B32FD7">
        <w:rPr>
          <w:rFonts w:eastAsia="Times New Roman" w:cs="Times New Roman"/>
          <w:noProof/>
          <w:szCs w:val="24"/>
        </w:rPr>
        <w:t>T</w:t>
      </w:r>
      <w:r w:rsidR="00AC6B07">
        <w:rPr>
          <w:rFonts w:eastAsia="Times New Roman" w:cs="Times New Roman"/>
          <w:noProof/>
          <w:szCs w:val="24"/>
        </w:rPr>
        <w:t xml:space="preserve">he present initiative will not specifically target </w:t>
      </w:r>
      <w:r w:rsidR="008D245A">
        <w:rPr>
          <w:rFonts w:eastAsia="Times New Roman" w:cs="Times New Roman"/>
          <w:noProof/>
          <w:szCs w:val="24"/>
        </w:rPr>
        <w:t xml:space="preserve">the </w:t>
      </w:r>
      <w:r w:rsidR="00AC6B07">
        <w:rPr>
          <w:rFonts w:eastAsia="Times New Roman" w:cs="Times New Roman"/>
          <w:noProof/>
          <w:szCs w:val="24"/>
        </w:rPr>
        <w:t xml:space="preserve">financial </w:t>
      </w:r>
      <w:r w:rsidR="00AA36B1" w:rsidRPr="00AC6B07">
        <w:rPr>
          <w:rFonts w:eastAsia="Times New Roman" w:cs="Times New Roman"/>
          <w:noProof/>
          <w:szCs w:val="24"/>
        </w:rPr>
        <w:t>sector and investments</w:t>
      </w:r>
      <w:r w:rsidR="00AC6B07">
        <w:rPr>
          <w:rFonts w:eastAsia="Times New Roman" w:cs="Times New Roman"/>
          <w:noProof/>
          <w:szCs w:val="24"/>
        </w:rPr>
        <w:t xml:space="preserve">. </w:t>
      </w:r>
      <w:r w:rsidR="00335E34" w:rsidRPr="00AC6B07">
        <w:rPr>
          <w:rFonts w:eastAsia="Times New Roman" w:cs="Times New Roman"/>
          <w:noProof/>
          <w:szCs w:val="24"/>
        </w:rPr>
        <w:t>Existing initiatives in the area o</w:t>
      </w:r>
      <w:r w:rsidR="00AC6B07" w:rsidRPr="00AC6B07">
        <w:rPr>
          <w:rFonts w:eastAsia="Times New Roman" w:cs="Times New Roman"/>
          <w:noProof/>
          <w:szCs w:val="24"/>
        </w:rPr>
        <w:t>f sustainable finance, such as t</w:t>
      </w:r>
      <w:r w:rsidR="00335E34" w:rsidRPr="00AC6B07">
        <w:rPr>
          <w:rFonts w:eastAsia="Times New Roman" w:cs="Times New Roman"/>
          <w:noProof/>
          <w:szCs w:val="24"/>
        </w:rPr>
        <w:t>he implem</w:t>
      </w:r>
      <w:bookmarkStart w:id="71" w:name="_GoBack"/>
      <w:bookmarkEnd w:id="71"/>
      <w:r w:rsidR="00335E34" w:rsidRPr="00AC6B07">
        <w:rPr>
          <w:rFonts w:eastAsia="Times New Roman" w:cs="Times New Roman"/>
          <w:noProof/>
          <w:szCs w:val="24"/>
        </w:rPr>
        <w:t xml:space="preserve">entation of the EU Taxonomy Regulation and the </w:t>
      </w:r>
      <w:r w:rsidR="008D245A">
        <w:rPr>
          <w:rFonts w:eastAsia="Times New Roman" w:cs="Times New Roman"/>
          <w:noProof/>
          <w:szCs w:val="24"/>
        </w:rPr>
        <w:t>future</w:t>
      </w:r>
      <w:r w:rsidR="00335E34" w:rsidRPr="00AC6B07">
        <w:rPr>
          <w:rFonts w:eastAsia="Times New Roman" w:cs="Times New Roman"/>
          <w:noProof/>
          <w:szCs w:val="24"/>
        </w:rPr>
        <w:t xml:space="preserve"> Corporate Sustainability Reporting Directive (</w:t>
      </w:r>
      <w:r w:rsidR="008D245A">
        <w:rPr>
          <w:rFonts w:eastAsia="Times New Roman" w:cs="Times New Roman"/>
          <w:noProof/>
          <w:szCs w:val="24"/>
        </w:rPr>
        <w:t>current</w:t>
      </w:r>
      <w:r w:rsidR="00335E34" w:rsidRPr="00AC6B07">
        <w:rPr>
          <w:rFonts w:eastAsia="Times New Roman" w:cs="Times New Roman"/>
          <w:noProof/>
          <w:szCs w:val="24"/>
        </w:rPr>
        <w:t xml:space="preserve"> NFRD) </w:t>
      </w:r>
      <w:r w:rsidR="00B32FD7">
        <w:rPr>
          <w:rFonts w:eastAsia="Times New Roman" w:cs="Times New Roman"/>
          <w:noProof/>
          <w:szCs w:val="24"/>
        </w:rPr>
        <w:t xml:space="preserve">are better suited to </w:t>
      </w:r>
      <w:r w:rsidR="00335E34" w:rsidRPr="00AC6B07">
        <w:rPr>
          <w:rFonts w:eastAsia="Times New Roman" w:cs="Times New Roman"/>
          <w:noProof/>
          <w:szCs w:val="24"/>
        </w:rPr>
        <w:t xml:space="preserve">address the deforestation impacts of the </w:t>
      </w:r>
      <w:r w:rsidR="00B32FD7">
        <w:rPr>
          <w:rFonts w:eastAsia="Times New Roman" w:cs="Times New Roman"/>
          <w:noProof/>
          <w:szCs w:val="24"/>
        </w:rPr>
        <w:t>finance and</w:t>
      </w:r>
      <w:r w:rsidR="00335E34" w:rsidRPr="00AC6B07">
        <w:rPr>
          <w:rFonts w:eastAsia="Times New Roman" w:cs="Times New Roman"/>
          <w:noProof/>
          <w:szCs w:val="24"/>
        </w:rPr>
        <w:t xml:space="preserve"> investment</w:t>
      </w:r>
      <w:r w:rsidR="00B32FD7">
        <w:rPr>
          <w:rFonts w:eastAsia="Times New Roman" w:cs="Times New Roman"/>
          <w:noProof/>
          <w:szCs w:val="24"/>
        </w:rPr>
        <w:t xml:space="preserve"> </w:t>
      </w:r>
      <w:r w:rsidR="00335E34" w:rsidRPr="00AC6B07">
        <w:rPr>
          <w:rFonts w:eastAsia="Times New Roman" w:cs="Times New Roman"/>
          <w:noProof/>
          <w:szCs w:val="24"/>
        </w:rPr>
        <w:t>s</w:t>
      </w:r>
      <w:r w:rsidR="00B32FD7">
        <w:rPr>
          <w:rFonts w:eastAsia="Times New Roman" w:cs="Times New Roman"/>
          <w:noProof/>
          <w:szCs w:val="24"/>
        </w:rPr>
        <w:t>ectors</w:t>
      </w:r>
      <w:r w:rsidR="00335E34" w:rsidRPr="00AC6B07">
        <w:rPr>
          <w:rFonts w:eastAsia="Times New Roman" w:cs="Times New Roman"/>
          <w:noProof/>
          <w:szCs w:val="24"/>
        </w:rPr>
        <w:t>, thereby complementing and supporting th</w:t>
      </w:r>
      <w:r w:rsidR="008D245A">
        <w:rPr>
          <w:rFonts w:eastAsia="Times New Roman" w:cs="Times New Roman"/>
          <w:noProof/>
          <w:szCs w:val="24"/>
        </w:rPr>
        <w:t>is</w:t>
      </w:r>
      <w:r w:rsidR="00335E34" w:rsidRPr="00AC6B07">
        <w:rPr>
          <w:rFonts w:eastAsia="Times New Roman" w:cs="Times New Roman"/>
          <w:noProof/>
          <w:szCs w:val="24"/>
        </w:rPr>
        <w:t xml:space="preserve"> legislative initiative on deforestation. </w:t>
      </w:r>
    </w:p>
    <w:p w14:paraId="065B8926" w14:textId="3C25D101" w:rsidR="00244E6A" w:rsidRPr="007C1494" w:rsidRDefault="00335526" w:rsidP="00335526">
      <w:pPr>
        <w:pStyle w:val="Heading2"/>
        <w:rPr>
          <w:noProof/>
        </w:rPr>
      </w:pPr>
      <w:bookmarkStart w:id="72" w:name="_Toc481484469"/>
      <w:bookmarkStart w:id="73" w:name="_Toc67074984"/>
      <w:bookmarkStart w:id="74" w:name="_Toc75542178"/>
      <w:bookmarkStart w:id="75" w:name="_Toc75543211"/>
      <w:bookmarkStart w:id="76" w:name="_Toc84591899"/>
      <w:r w:rsidRPr="00335526">
        <w:t>4.1</w:t>
      </w:r>
      <w:r w:rsidRPr="00335526">
        <w:tab/>
      </w:r>
      <w:r w:rsidR="00244E6A" w:rsidRPr="007C1494">
        <w:rPr>
          <w:noProof/>
        </w:rPr>
        <w:t>General objective</w:t>
      </w:r>
      <w:bookmarkEnd w:id="72"/>
      <w:bookmarkEnd w:id="73"/>
      <w:bookmarkEnd w:id="74"/>
      <w:bookmarkEnd w:id="75"/>
      <w:bookmarkEnd w:id="76"/>
    </w:p>
    <w:p w14:paraId="521F7666" w14:textId="71E6D22C" w:rsidR="00D6637C" w:rsidRPr="007C1494" w:rsidRDefault="1C3370F1">
      <w:pPr>
        <w:jc w:val="both"/>
        <w:rPr>
          <w:rFonts w:eastAsia="Times New Roman" w:cs="Times New Roman"/>
          <w:noProof/>
          <w:szCs w:val="24"/>
        </w:rPr>
      </w:pPr>
      <w:r w:rsidRPr="007C1494">
        <w:rPr>
          <w:rFonts w:eastAsia="Times New Roman" w:cs="Times New Roman"/>
          <w:noProof/>
          <w:szCs w:val="24"/>
        </w:rPr>
        <w:t xml:space="preserve">The general objective of this initiative </w:t>
      </w:r>
      <w:r w:rsidR="001056A3">
        <w:rPr>
          <w:rFonts w:eastAsia="Times New Roman" w:cs="Times New Roman"/>
          <w:noProof/>
          <w:szCs w:val="24"/>
        </w:rPr>
        <w:t>is</w:t>
      </w:r>
      <w:r w:rsidR="00656944">
        <w:rPr>
          <w:rFonts w:eastAsia="Times New Roman" w:cs="Times New Roman"/>
          <w:noProof/>
          <w:szCs w:val="24"/>
        </w:rPr>
        <w:t xml:space="preserve"> t</w:t>
      </w:r>
      <w:r w:rsidR="00E50D50">
        <w:rPr>
          <w:rFonts w:eastAsia="Times New Roman" w:cs="Times New Roman"/>
          <w:noProof/>
          <w:szCs w:val="24"/>
        </w:rPr>
        <w:t>o m</w:t>
      </w:r>
      <w:r w:rsidR="007333AC" w:rsidRPr="007C1494">
        <w:rPr>
          <w:rFonts w:eastAsia="Times New Roman" w:cs="Times New Roman"/>
          <w:noProof/>
          <w:szCs w:val="24"/>
        </w:rPr>
        <w:t>inimise the EU’s contribution to deforestation and forest degradation worldwide thus reducing the EU contribution to GHG emissions and global biodiversity loss</w:t>
      </w:r>
      <w:r w:rsidR="00656944">
        <w:rPr>
          <w:rFonts w:eastAsia="Times New Roman" w:cs="Times New Roman"/>
          <w:noProof/>
          <w:szCs w:val="24"/>
        </w:rPr>
        <w:t>.</w:t>
      </w:r>
      <w:r w:rsidR="007333AC" w:rsidRPr="007C1494">
        <w:rPr>
          <w:rFonts w:eastAsia="Times New Roman" w:cs="Times New Roman"/>
          <w:noProof/>
          <w:szCs w:val="24"/>
        </w:rPr>
        <w:t xml:space="preserve"> </w:t>
      </w:r>
    </w:p>
    <w:p w14:paraId="523AEB71" w14:textId="0BAE6358" w:rsidR="00244E6A" w:rsidRPr="007C1494" w:rsidRDefault="00335526" w:rsidP="00335526">
      <w:pPr>
        <w:pStyle w:val="Heading2"/>
        <w:rPr>
          <w:noProof/>
        </w:rPr>
      </w:pPr>
      <w:bookmarkStart w:id="77" w:name="_Toc481484470"/>
      <w:bookmarkStart w:id="78" w:name="_Toc67074985"/>
      <w:bookmarkStart w:id="79" w:name="_Toc75542179"/>
      <w:bookmarkStart w:id="80" w:name="_Toc75543212"/>
      <w:bookmarkStart w:id="81" w:name="_Toc84591900"/>
      <w:r w:rsidRPr="00335526">
        <w:t>4.2</w:t>
      </w:r>
      <w:r w:rsidRPr="00335526">
        <w:tab/>
      </w:r>
      <w:r w:rsidR="00244E6A" w:rsidRPr="007C1494">
        <w:rPr>
          <w:noProof/>
        </w:rPr>
        <w:t>Specific objectives</w:t>
      </w:r>
      <w:bookmarkEnd w:id="77"/>
      <w:bookmarkEnd w:id="78"/>
      <w:bookmarkEnd w:id="79"/>
      <w:bookmarkEnd w:id="80"/>
      <w:bookmarkEnd w:id="81"/>
    </w:p>
    <w:p w14:paraId="03C85A4B" w14:textId="6A20A64B" w:rsidR="00244E6A" w:rsidRPr="007C1494" w:rsidRDefault="4CB399AD" w:rsidP="008213C8">
      <w:pPr>
        <w:jc w:val="both"/>
        <w:rPr>
          <w:rFonts w:eastAsia="Times New Roman" w:cs="Times New Roman"/>
          <w:noProof/>
          <w:szCs w:val="24"/>
        </w:rPr>
      </w:pPr>
      <w:r w:rsidRPr="007C1494">
        <w:rPr>
          <w:rFonts w:eastAsia="Times New Roman" w:cs="Times New Roman"/>
          <w:noProof/>
          <w:szCs w:val="24"/>
        </w:rPr>
        <w:t xml:space="preserve">Specific objectives are tailored around policy options identified and set out concretely what the policy intervention is meant to achieve: </w:t>
      </w:r>
    </w:p>
    <w:p w14:paraId="597FEC28" w14:textId="09942F76" w:rsidR="00244E6A" w:rsidRPr="007C1494" w:rsidRDefault="00632CAA">
      <w:pPr>
        <w:pStyle w:val="ListParagraph"/>
        <w:numPr>
          <w:ilvl w:val="0"/>
          <w:numId w:val="6"/>
        </w:numPr>
        <w:jc w:val="both"/>
        <w:rPr>
          <w:rFonts w:eastAsiaTheme="minorEastAsia"/>
          <w:noProof/>
          <w:szCs w:val="24"/>
        </w:rPr>
      </w:pPr>
      <w:r w:rsidRPr="007C1494">
        <w:rPr>
          <w:rFonts w:eastAsia="Times New Roman" w:cs="Times New Roman"/>
          <w:noProof/>
          <w:szCs w:val="24"/>
        </w:rPr>
        <w:t>Minimise</w:t>
      </w:r>
      <w:r w:rsidR="4CB399AD" w:rsidRPr="007C1494">
        <w:rPr>
          <w:rFonts w:eastAsia="Times New Roman" w:cs="Times New Roman"/>
          <w:noProof/>
          <w:szCs w:val="24"/>
        </w:rPr>
        <w:t xml:space="preserve"> consumption of </w:t>
      </w:r>
      <w:r w:rsidR="00CE6C79" w:rsidRPr="007C1494">
        <w:rPr>
          <w:rFonts w:eastAsia="Times New Roman" w:cs="Times New Roman"/>
          <w:noProof/>
          <w:szCs w:val="24"/>
        </w:rPr>
        <w:t>products coming</w:t>
      </w:r>
      <w:r w:rsidR="00593334" w:rsidRPr="007C1494">
        <w:rPr>
          <w:rFonts w:eastAsia="Times New Roman" w:cs="Times New Roman"/>
          <w:noProof/>
          <w:szCs w:val="24"/>
        </w:rPr>
        <w:t xml:space="preserve"> from supply chains associated with deforestation or forest degradation</w:t>
      </w:r>
      <w:r w:rsidR="4CB399AD" w:rsidRPr="007C1494">
        <w:rPr>
          <w:rFonts w:eastAsia="Times New Roman" w:cs="Times New Roman"/>
          <w:noProof/>
          <w:szCs w:val="24"/>
        </w:rPr>
        <w:t>.</w:t>
      </w:r>
    </w:p>
    <w:p w14:paraId="2348D52C" w14:textId="103CF8E0" w:rsidR="00244E6A" w:rsidRPr="007C1494" w:rsidRDefault="4CB399AD">
      <w:pPr>
        <w:pStyle w:val="ListParagraph"/>
        <w:numPr>
          <w:ilvl w:val="0"/>
          <w:numId w:val="6"/>
        </w:numPr>
        <w:jc w:val="both"/>
        <w:rPr>
          <w:rFonts w:eastAsiaTheme="minorEastAsia"/>
          <w:noProof/>
          <w:szCs w:val="24"/>
        </w:rPr>
      </w:pPr>
      <w:r w:rsidRPr="007C1494">
        <w:rPr>
          <w:rFonts w:eastAsia="Times New Roman" w:cs="Times New Roman"/>
          <w:noProof/>
          <w:szCs w:val="24"/>
        </w:rPr>
        <w:t xml:space="preserve">Increase </w:t>
      </w:r>
      <w:r w:rsidR="000B202F" w:rsidRPr="007C1494">
        <w:rPr>
          <w:rFonts w:eastAsia="Times New Roman" w:cs="Times New Roman"/>
          <w:noProof/>
          <w:szCs w:val="24"/>
        </w:rPr>
        <w:t xml:space="preserve">EU </w:t>
      </w:r>
      <w:r w:rsidRPr="007C1494">
        <w:rPr>
          <w:rFonts w:eastAsia="Times New Roman" w:cs="Times New Roman"/>
          <w:noProof/>
          <w:szCs w:val="24"/>
        </w:rPr>
        <w:t xml:space="preserve">demand </w:t>
      </w:r>
      <w:r w:rsidR="00CE6C79" w:rsidRPr="007C1494">
        <w:rPr>
          <w:rFonts w:eastAsia="Times New Roman" w:cs="Times New Roman"/>
          <w:noProof/>
          <w:szCs w:val="24"/>
        </w:rPr>
        <w:t xml:space="preserve">for </w:t>
      </w:r>
      <w:r w:rsidR="00A31D4E">
        <w:rPr>
          <w:rFonts w:eastAsia="Times New Roman" w:cs="Times New Roman"/>
          <w:noProof/>
          <w:szCs w:val="24"/>
        </w:rPr>
        <w:t xml:space="preserve">and trade in legal and </w:t>
      </w:r>
      <w:r w:rsidR="00CE6C79" w:rsidRPr="007C1494">
        <w:rPr>
          <w:rFonts w:eastAsia="Times New Roman" w:cs="Times New Roman"/>
          <w:noProof/>
          <w:szCs w:val="24"/>
        </w:rPr>
        <w:t>‘deforestation</w:t>
      </w:r>
      <w:r w:rsidRPr="007C1494">
        <w:rPr>
          <w:rFonts w:eastAsia="Times New Roman" w:cs="Times New Roman"/>
          <w:noProof/>
          <w:szCs w:val="24"/>
        </w:rPr>
        <w:t xml:space="preserve"> free’ </w:t>
      </w:r>
      <w:r w:rsidR="00A31D4E">
        <w:rPr>
          <w:rFonts w:eastAsia="Times New Roman" w:cs="Times New Roman"/>
          <w:noProof/>
          <w:szCs w:val="24"/>
        </w:rPr>
        <w:t>commodities and products</w:t>
      </w:r>
      <w:r w:rsidR="005E30BD">
        <w:rPr>
          <w:rFonts w:eastAsia="Times New Roman" w:cs="Times New Roman"/>
          <w:noProof/>
          <w:szCs w:val="24"/>
        </w:rPr>
        <w:t>.</w:t>
      </w:r>
    </w:p>
    <w:p w14:paraId="04751495" w14:textId="6BCAAC03" w:rsidR="00F10A3F" w:rsidRDefault="00F10A3F">
      <w:pPr>
        <w:rPr>
          <w:rFonts w:eastAsiaTheme="minorEastAsia"/>
          <w:noProof/>
          <w:szCs w:val="24"/>
        </w:rPr>
      </w:pPr>
      <w:r>
        <w:rPr>
          <w:rFonts w:eastAsiaTheme="minorEastAsia"/>
          <w:noProof/>
          <w:szCs w:val="24"/>
        </w:rPr>
        <w:br w:type="page"/>
      </w:r>
    </w:p>
    <w:p w14:paraId="5935F1D7" w14:textId="77777777" w:rsidR="00244E6A" w:rsidRPr="007C1494" w:rsidRDefault="00244E6A" w:rsidP="003F7451">
      <w:pPr>
        <w:jc w:val="both"/>
        <w:rPr>
          <w:rFonts w:eastAsiaTheme="minorEastAsia"/>
          <w:noProof/>
          <w:szCs w:val="24"/>
        </w:rPr>
      </w:pPr>
    </w:p>
    <w:p w14:paraId="4776BBDE" w14:textId="420317A1" w:rsidR="00BD7476" w:rsidRPr="007C1494" w:rsidRDefault="00335526" w:rsidP="00335526">
      <w:pPr>
        <w:pStyle w:val="Heading2"/>
        <w:rPr>
          <w:noProof/>
        </w:rPr>
      </w:pPr>
      <w:bookmarkStart w:id="82" w:name="_Toc75542180"/>
      <w:bookmarkStart w:id="83" w:name="_Toc75543213"/>
      <w:bookmarkStart w:id="84" w:name="_Toc84591901"/>
      <w:bookmarkStart w:id="85" w:name="_Toc67074986"/>
      <w:r w:rsidRPr="00335526">
        <w:t>4.3</w:t>
      </w:r>
      <w:r w:rsidRPr="00335526">
        <w:tab/>
      </w:r>
      <w:r w:rsidR="00BD7476" w:rsidRPr="007C1494">
        <w:rPr>
          <w:noProof/>
        </w:rPr>
        <w:t>Intervention logic</w:t>
      </w:r>
      <w:bookmarkEnd w:id="82"/>
      <w:bookmarkEnd w:id="83"/>
      <w:bookmarkEnd w:id="84"/>
      <w:r w:rsidR="00BD7476" w:rsidRPr="007C1494">
        <w:rPr>
          <w:noProof/>
        </w:rPr>
        <w:t xml:space="preserve"> </w:t>
      </w:r>
      <w:bookmarkEnd w:id="85"/>
    </w:p>
    <w:p w14:paraId="137A3A84" w14:textId="0ADEDE0D" w:rsidR="00DC14C5" w:rsidRPr="007C1494" w:rsidRDefault="00EC7FA8" w:rsidP="00681AAC">
      <w:pPr>
        <w:jc w:val="both"/>
        <w:rPr>
          <w:rFonts w:eastAsia="Times New Roman" w:cs="Times New Roman"/>
          <w:noProof/>
          <w:szCs w:val="24"/>
        </w:rPr>
      </w:pPr>
      <w:r>
        <w:rPr>
          <w:rFonts w:eastAsia="Times New Roman" w:cs="Times New Roman"/>
          <w:noProof/>
          <w:szCs w:val="24"/>
          <w:lang w:eastAsia="en-GB"/>
        </w:rPr>
        <w:drawing>
          <wp:inline distT="0" distB="0" distL="0" distR="0" wp14:anchorId="60970D7B" wp14:editId="06AB6B33">
            <wp:extent cx="5467350" cy="42373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67350" cy="4237355"/>
                    </a:xfrm>
                    <a:prstGeom prst="rect">
                      <a:avLst/>
                    </a:prstGeom>
                    <a:noFill/>
                  </pic:spPr>
                </pic:pic>
              </a:graphicData>
            </a:graphic>
          </wp:inline>
        </w:drawing>
      </w:r>
    </w:p>
    <w:p w14:paraId="4B1F511A" w14:textId="1D6F54FA" w:rsidR="00244E6A" w:rsidRPr="007C1494" w:rsidRDefault="00793679" w:rsidP="00681AAC">
      <w:pPr>
        <w:jc w:val="both"/>
        <w:rPr>
          <w:rFonts w:eastAsia="Times New Roman" w:cs="Times New Roman"/>
          <w:noProof/>
          <w:szCs w:val="24"/>
        </w:rPr>
      </w:pPr>
      <w:r w:rsidRPr="007C1494">
        <w:rPr>
          <w:rFonts w:eastAsia="Times New Roman" w:cs="Times New Roman"/>
          <w:noProof/>
          <w:szCs w:val="24"/>
        </w:rPr>
        <w:t xml:space="preserve">The above figure captures the intervention logic of the initiative, </w:t>
      </w:r>
      <w:r w:rsidR="00E65D96" w:rsidRPr="007C1494">
        <w:rPr>
          <w:rFonts w:eastAsia="Times New Roman" w:cs="Times New Roman"/>
          <w:noProof/>
          <w:szCs w:val="24"/>
        </w:rPr>
        <w:t xml:space="preserve">linking the problems, their drivers and </w:t>
      </w:r>
      <w:r w:rsidR="00611B43">
        <w:rPr>
          <w:rFonts w:eastAsia="Times New Roman" w:cs="Times New Roman"/>
          <w:noProof/>
          <w:szCs w:val="24"/>
        </w:rPr>
        <w:t>the</w:t>
      </w:r>
      <w:r w:rsidR="00611B43" w:rsidRPr="007C1494">
        <w:rPr>
          <w:rFonts w:eastAsia="Times New Roman" w:cs="Times New Roman"/>
          <w:noProof/>
          <w:szCs w:val="24"/>
        </w:rPr>
        <w:t xml:space="preserve"> objectives</w:t>
      </w:r>
      <w:r w:rsidR="00E65D96" w:rsidRPr="007C1494">
        <w:rPr>
          <w:rFonts w:eastAsia="Times New Roman" w:cs="Times New Roman"/>
          <w:noProof/>
          <w:szCs w:val="24"/>
        </w:rPr>
        <w:t xml:space="preserve">. </w:t>
      </w:r>
      <w:r w:rsidR="009E2F4E">
        <w:rPr>
          <w:rFonts w:eastAsia="Times New Roman" w:cs="Times New Roman"/>
          <w:noProof/>
          <w:szCs w:val="24"/>
        </w:rPr>
        <w:t xml:space="preserve">The proposed legislative initiative will cover a range of products/commodities associated with deforestation and forest degradation and will be based on a definition of deforestation-free product/commodity. </w:t>
      </w:r>
      <w:r w:rsidR="00EC7FA8">
        <w:rPr>
          <w:rFonts w:eastAsia="Times New Roman" w:cs="Times New Roman"/>
          <w:noProof/>
          <w:szCs w:val="24"/>
        </w:rPr>
        <w:t>Through an expanded</w:t>
      </w:r>
      <w:r w:rsidR="009E2F4E">
        <w:rPr>
          <w:rFonts w:eastAsia="Times New Roman" w:cs="Times New Roman"/>
          <w:noProof/>
          <w:szCs w:val="24"/>
        </w:rPr>
        <w:t xml:space="preserve"> product scope and by </w:t>
      </w:r>
      <w:r w:rsidR="00EC7FA8">
        <w:rPr>
          <w:rFonts w:eastAsia="Times New Roman" w:cs="Times New Roman"/>
          <w:noProof/>
          <w:szCs w:val="24"/>
        </w:rPr>
        <w:t xml:space="preserve">adding the requirement of “deforestation free” to the current system based on legality, the proposed measures will address the main driver of deforestation, i.e. agricultural expansion, thereby reducing </w:t>
      </w:r>
      <w:r w:rsidR="006229D2">
        <w:rPr>
          <w:rFonts w:eastAsia="Times New Roman" w:cs="Times New Roman"/>
          <w:noProof/>
          <w:szCs w:val="24"/>
        </w:rPr>
        <w:t xml:space="preserve">the </w:t>
      </w:r>
      <w:r w:rsidR="00EC7FA8">
        <w:rPr>
          <w:rFonts w:eastAsia="Times New Roman" w:cs="Times New Roman"/>
          <w:noProof/>
          <w:szCs w:val="24"/>
        </w:rPr>
        <w:t>EU</w:t>
      </w:r>
      <w:r w:rsidR="006229D2">
        <w:rPr>
          <w:rFonts w:eastAsia="Times New Roman" w:cs="Times New Roman"/>
          <w:noProof/>
          <w:szCs w:val="24"/>
        </w:rPr>
        <w:t>’s</w:t>
      </w:r>
      <w:r w:rsidR="00EC7FA8">
        <w:rPr>
          <w:rFonts w:eastAsia="Times New Roman" w:cs="Times New Roman"/>
          <w:noProof/>
          <w:szCs w:val="24"/>
        </w:rPr>
        <w:t xml:space="preserve"> contribution to deforestation and forest degradation. </w:t>
      </w:r>
      <w:r w:rsidR="00BF0EEB" w:rsidRPr="007C1494">
        <w:rPr>
          <w:rFonts w:eastAsia="Times New Roman" w:cs="Times New Roman"/>
          <w:noProof/>
          <w:szCs w:val="24"/>
        </w:rPr>
        <w:t xml:space="preserve">The impact assessment analyses different </w:t>
      </w:r>
      <w:r w:rsidR="009E2F4E">
        <w:rPr>
          <w:rFonts w:eastAsia="Times New Roman" w:cs="Times New Roman"/>
          <w:noProof/>
          <w:szCs w:val="24"/>
        </w:rPr>
        <w:t>policy</w:t>
      </w:r>
      <w:r w:rsidR="00BF0EEB" w:rsidRPr="007C1494">
        <w:rPr>
          <w:rFonts w:eastAsia="Times New Roman" w:cs="Times New Roman"/>
          <w:noProof/>
          <w:szCs w:val="24"/>
        </w:rPr>
        <w:t xml:space="preserve"> options </w:t>
      </w:r>
      <w:r w:rsidR="00E15A0C" w:rsidRPr="007C1494">
        <w:rPr>
          <w:rFonts w:eastAsia="Times New Roman" w:cs="Times New Roman"/>
          <w:noProof/>
          <w:szCs w:val="24"/>
        </w:rPr>
        <w:t xml:space="preserve">for achieving </w:t>
      </w:r>
      <w:r w:rsidR="00BF0EEB" w:rsidRPr="007C1494">
        <w:rPr>
          <w:rFonts w:eastAsia="Times New Roman" w:cs="Times New Roman"/>
          <w:noProof/>
          <w:szCs w:val="24"/>
        </w:rPr>
        <w:t>th</w:t>
      </w:r>
      <w:r w:rsidR="00E15A0C" w:rsidRPr="007C1494">
        <w:rPr>
          <w:rFonts w:eastAsia="Times New Roman" w:cs="Times New Roman"/>
          <w:noProof/>
          <w:szCs w:val="24"/>
        </w:rPr>
        <w:t>ese objectives</w:t>
      </w:r>
      <w:r w:rsidR="002D54DA" w:rsidRPr="007C1494">
        <w:rPr>
          <w:rFonts w:eastAsia="Times New Roman" w:cs="Times New Roman"/>
          <w:noProof/>
          <w:szCs w:val="24"/>
        </w:rPr>
        <w:t xml:space="preserve">. </w:t>
      </w:r>
    </w:p>
    <w:p w14:paraId="14A486B9" w14:textId="77777777" w:rsidR="009E2F4E" w:rsidRPr="007C1494" w:rsidRDefault="009E2F4E" w:rsidP="00681AAC">
      <w:pPr>
        <w:jc w:val="both"/>
        <w:rPr>
          <w:rFonts w:eastAsia="Times New Roman" w:cs="Times New Roman"/>
          <w:noProof/>
          <w:szCs w:val="24"/>
        </w:rPr>
      </w:pPr>
    </w:p>
    <w:p w14:paraId="5A09C4A2" w14:textId="520918A3" w:rsidR="00E941F9" w:rsidRPr="007C1494" w:rsidRDefault="00335526" w:rsidP="00335526">
      <w:pPr>
        <w:pStyle w:val="Heading2"/>
        <w:rPr>
          <w:noProof/>
        </w:rPr>
      </w:pPr>
      <w:bookmarkStart w:id="86" w:name="_Toc67074987"/>
      <w:bookmarkStart w:id="87" w:name="_Toc75542181"/>
      <w:bookmarkStart w:id="88" w:name="_Toc75543214"/>
      <w:bookmarkStart w:id="89" w:name="_Toc84591902"/>
      <w:r w:rsidRPr="00335526">
        <w:t>4.4</w:t>
      </w:r>
      <w:r w:rsidRPr="00335526">
        <w:tab/>
      </w:r>
      <w:r w:rsidR="00E941F9" w:rsidRPr="007C1494">
        <w:rPr>
          <w:noProof/>
        </w:rPr>
        <w:t xml:space="preserve">Deforestation-free </w:t>
      </w:r>
      <w:r w:rsidR="006229D2">
        <w:rPr>
          <w:noProof/>
        </w:rPr>
        <w:t>definition</w:t>
      </w:r>
      <w:bookmarkEnd w:id="86"/>
      <w:bookmarkEnd w:id="87"/>
      <w:bookmarkEnd w:id="88"/>
      <w:bookmarkEnd w:id="89"/>
    </w:p>
    <w:p w14:paraId="199CE7CF" w14:textId="3DCC0BD1" w:rsidR="006E1935" w:rsidRDefault="00DA5559" w:rsidP="0065101E">
      <w:pPr>
        <w:jc w:val="both"/>
        <w:rPr>
          <w:rFonts w:eastAsia="Times New Roman" w:cs="Times New Roman"/>
          <w:noProof/>
          <w:szCs w:val="24"/>
        </w:rPr>
      </w:pPr>
      <w:r w:rsidRPr="007C1494">
        <w:rPr>
          <w:rFonts w:eastAsia="Times New Roman" w:cs="Times New Roman"/>
          <w:noProof/>
          <w:szCs w:val="24"/>
        </w:rPr>
        <w:t xml:space="preserve">In developing the </w:t>
      </w:r>
      <w:r w:rsidR="00275B52" w:rsidRPr="007C1494">
        <w:rPr>
          <w:rFonts w:eastAsia="Times New Roman" w:cs="Times New Roman"/>
          <w:noProof/>
          <w:szCs w:val="24"/>
        </w:rPr>
        <w:t>objectives</w:t>
      </w:r>
      <w:r w:rsidRPr="007C1494">
        <w:rPr>
          <w:rFonts w:eastAsia="Times New Roman" w:cs="Times New Roman"/>
          <w:noProof/>
          <w:szCs w:val="24"/>
        </w:rPr>
        <w:t xml:space="preserve"> that lin</w:t>
      </w:r>
      <w:r w:rsidR="00275B52" w:rsidRPr="007C1494">
        <w:rPr>
          <w:rFonts w:eastAsia="Times New Roman" w:cs="Times New Roman"/>
          <w:noProof/>
          <w:szCs w:val="24"/>
        </w:rPr>
        <w:t>k the analysis of the problem (</w:t>
      </w:r>
      <w:r w:rsidRPr="007C1494">
        <w:rPr>
          <w:rFonts w:eastAsia="Times New Roman" w:cs="Times New Roman"/>
          <w:noProof/>
          <w:szCs w:val="24"/>
        </w:rPr>
        <w:t xml:space="preserve">and </w:t>
      </w:r>
      <w:r w:rsidR="00E15A0C" w:rsidRPr="007C1494">
        <w:rPr>
          <w:rFonts w:eastAsia="Times New Roman" w:cs="Times New Roman"/>
          <w:noProof/>
          <w:szCs w:val="24"/>
        </w:rPr>
        <w:t xml:space="preserve">its </w:t>
      </w:r>
      <w:r w:rsidRPr="007C1494">
        <w:rPr>
          <w:rFonts w:eastAsia="Times New Roman" w:cs="Times New Roman"/>
          <w:noProof/>
          <w:szCs w:val="24"/>
        </w:rPr>
        <w:t xml:space="preserve">drivers) to the options for possible demand side measures, operational </w:t>
      </w:r>
      <w:r w:rsidR="008C3F8B">
        <w:rPr>
          <w:rFonts w:eastAsia="Times New Roman" w:cs="Times New Roman"/>
          <w:noProof/>
          <w:szCs w:val="24"/>
        </w:rPr>
        <w:t>definitions</w:t>
      </w:r>
      <w:r w:rsidR="0066010F">
        <w:rPr>
          <w:rFonts w:eastAsia="Times New Roman" w:cs="Times New Roman"/>
          <w:noProof/>
          <w:szCs w:val="24"/>
        </w:rPr>
        <w:t xml:space="preserve"> </w:t>
      </w:r>
      <w:r w:rsidR="00A45E78" w:rsidRPr="007C1494">
        <w:rPr>
          <w:rFonts w:eastAsia="Times New Roman" w:cs="Times New Roman"/>
          <w:noProof/>
          <w:szCs w:val="24"/>
        </w:rPr>
        <w:t>need to be developed</w:t>
      </w:r>
      <w:r w:rsidR="00A45E78" w:rsidRPr="007C1494" w:rsidDel="0066010F">
        <w:rPr>
          <w:rFonts w:eastAsia="Times New Roman" w:cs="Times New Roman"/>
          <w:noProof/>
          <w:szCs w:val="24"/>
        </w:rPr>
        <w:t xml:space="preserve"> </w:t>
      </w:r>
      <w:r w:rsidR="006229D2" w:rsidRPr="00A422BB">
        <w:rPr>
          <w:rFonts w:eastAsia="Times New Roman" w:cs="Times New Roman"/>
          <w:noProof/>
          <w:szCs w:val="24"/>
        </w:rPr>
        <w:t>against</w:t>
      </w:r>
      <w:r w:rsidR="0066010F">
        <w:rPr>
          <w:rFonts w:eastAsia="Times New Roman" w:cs="Times New Roman"/>
          <w:noProof/>
          <w:szCs w:val="24"/>
        </w:rPr>
        <w:t xml:space="preserve"> which the compliance of commodities and products under the scope of the policy tools will be measured.</w:t>
      </w:r>
    </w:p>
    <w:p w14:paraId="1F2BC1C9" w14:textId="40B121F4" w:rsidR="006E1935" w:rsidRDefault="006E1935" w:rsidP="0065101E">
      <w:pPr>
        <w:jc w:val="both"/>
        <w:rPr>
          <w:rFonts w:eastAsia="Times New Roman" w:cs="Times New Roman"/>
          <w:noProof/>
          <w:szCs w:val="24"/>
        </w:rPr>
      </w:pPr>
      <w:r>
        <w:rPr>
          <w:rFonts w:eastAsia="Times New Roman" w:cs="Times New Roman"/>
          <w:noProof/>
          <w:szCs w:val="24"/>
        </w:rPr>
        <w:t>As was the case under the EUTR and the FLEGT Regulation, t</w:t>
      </w:r>
      <w:r w:rsidR="001B30BF">
        <w:rPr>
          <w:rFonts w:eastAsia="Times New Roman" w:cs="Times New Roman"/>
          <w:noProof/>
          <w:szCs w:val="24"/>
        </w:rPr>
        <w:t xml:space="preserve">he </w:t>
      </w:r>
      <w:r>
        <w:rPr>
          <w:rFonts w:eastAsia="Times New Roman" w:cs="Times New Roman"/>
          <w:noProof/>
          <w:szCs w:val="24"/>
        </w:rPr>
        <w:t xml:space="preserve">policy </w:t>
      </w:r>
      <w:r w:rsidR="001B30BF">
        <w:rPr>
          <w:rFonts w:eastAsia="Times New Roman" w:cs="Times New Roman"/>
          <w:noProof/>
          <w:szCs w:val="24"/>
        </w:rPr>
        <w:t>option</w:t>
      </w:r>
      <w:r w:rsidR="000C10DD">
        <w:rPr>
          <w:rFonts w:eastAsia="Times New Roman" w:cs="Times New Roman"/>
          <w:noProof/>
          <w:szCs w:val="24"/>
        </w:rPr>
        <w:t>s</w:t>
      </w:r>
      <w:r w:rsidR="001B30BF">
        <w:rPr>
          <w:rFonts w:eastAsia="Times New Roman" w:cs="Times New Roman"/>
          <w:noProof/>
          <w:szCs w:val="24"/>
        </w:rPr>
        <w:t xml:space="preserve"> </w:t>
      </w:r>
      <w:r w:rsidR="0060145D">
        <w:rPr>
          <w:rFonts w:eastAsia="Times New Roman" w:cs="Times New Roman"/>
          <w:noProof/>
          <w:szCs w:val="24"/>
        </w:rPr>
        <w:t xml:space="preserve">in this impact assessment </w:t>
      </w:r>
      <w:r w:rsidR="001B30BF">
        <w:rPr>
          <w:rFonts w:eastAsia="Times New Roman" w:cs="Times New Roman"/>
          <w:noProof/>
          <w:szCs w:val="24"/>
        </w:rPr>
        <w:t>will continue</w:t>
      </w:r>
      <w:r>
        <w:rPr>
          <w:rFonts w:eastAsia="Times New Roman" w:cs="Times New Roman"/>
          <w:noProof/>
          <w:szCs w:val="24"/>
        </w:rPr>
        <w:t xml:space="preserve"> </w:t>
      </w:r>
      <w:r w:rsidR="001B30BF">
        <w:rPr>
          <w:rFonts w:eastAsia="Times New Roman" w:cs="Times New Roman"/>
          <w:noProof/>
          <w:szCs w:val="24"/>
        </w:rPr>
        <w:t xml:space="preserve">to require </w:t>
      </w:r>
      <w:r w:rsidR="0060145D">
        <w:rPr>
          <w:rFonts w:eastAsia="Times New Roman" w:cs="Times New Roman"/>
          <w:noProof/>
          <w:szCs w:val="24"/>
        </w:rPr>
        <w:t>the compliance of products with the rules of the country of production — in other words</w:t>
      </w:r>
      <w:r>
        <w:rPr>
          <w:rFonts w:eastAsia="Times New Roman" w:cs="Times New Roman"/>
          <w:noProof/>
          <w:szCs w:val="24"/>
        </w:rPr>
        <w:t>, they</w:t>
      </w:r>
      <w:r w:rsidR="0060145D">
        <w:rPr>
          <w:rFonts w:eastAsia="Times New Roman" w:cs="Times New Roman"/>
          <w:noProof/>
          <w:szCs w:val="24"/>
        </w:rPr>
        <w:t xml:space="preserve"> will cover </w:t>
      </w:r>
      <w:r>
        <w:rPr>
          <w:rFonts w:eastAsia="Times New Roman" w:cs="Times New Roman"/>
          <w:noProof/>
          <w:szCs w:val="24"/>
        </w:rPr>
        <w:t>their</w:t>
      </w:r>
      <w:r w:rsidR="0060145D">
        <w:rPr>
          <w:rFonts w:eastAsia="Times New Roman" w:cs="Times New Roman"/>
          <w:noProof/>
          <w:szCs w:val="24"/>
        </w:rPr>
        <w:t xml:space="preserve"> </w:t>
      </w:r>
      <w:r w:rsidR="001B30BF">
        <w:rPr>
          <w:rFonts w:eastAsia="Times New Roman" w:cs="Times New Roman"/>
          <w:noProof/>
          <w:szCs w:val="24"/>
        </w:rPr>
        <w:t>legality</w:t>
      </w:r>
      <w:r>
        <w:rPr>
          <w:rFonts w:eastAsia="Times New Roman" w:cs="Times New Roman"/>
          <w:noProof/>
          <w:szCs w:val="24"/>
        </w:rPr>
        <w:t>. However, they</w:t>
      </w:r>
      <w:r w:rsidR="0060145D">
        <w:rPr>
          <w:rFonts w:eastAsia="Times New Roman" w:cs="Times New Roman"/>
          <w:noProof/>
          <w:szCs w:val="24"/>
        </w:rPr>
        <w:t xml:space="preserve"> will </w:t>
      </w:r>
      <w:r>
        <w:rPr>
          <w:rFonts w:eastAsia="Times New Roman" w:cs="Times New Roman"/>
          <w:noProof/>
          <w:szCs w:val="24"/>
        </w:rPr>
        <w:t xml:space="preserve">also </w:t>
      </w:r>
      <w:r w:rsidR="0060145D">
        <w:rPr>
          <w:rFonts w:eastAsia="Times New Roman" w:cs="Times New Roman"/>
          <w:noProof/>
          <w:szCs w:val="24"/>
        </w:rPr>
        <w:t xml:space="preserve">go beyond that to </w:t>
      </w:r>
      <w:r>
        <w:rPr>
          <w:rFonts w:eastAsia="Times New Roman" w:cs="Times New Roman"/>
          <w:noProof/>
          <w:szCs w:val="24"/>
        </w:rPr>
        <w:t>assess whether products are</w:t>
      </w:r>
      <w:r w:rsidR="00712820">
        <w:rPr>
          <w:rFonts w:eastAsia="Times New Roman" w:cs="Times New Roman"/>
          <w:noProof/>
          <w:szCs w:val="24"/>
        </w:rPr>
        <w:t xml:space="preserve"> deforestation and forest degradation free</w:t>
      </w:r>
      <w:r w:rsidR="001B30BF" w:rsidRPr="007C1494">
        <w:rPr>
          <w:rFonts w:eastAsia="Times New Roman" w:cs="Times New Roman"/>
          <w:noProof/>
          <w:szCs w:val="24"/>
        </w:rPr>
        <w:t>.</w:t>
      </w:r>
      <w:r>
        <w:rPr>
          <w:rFonts w:eastAsia="Times New Roman" w:cs="Times New Roman"/>
          <w:noProof/>
          <w:szCs w:val="24"/>
        </w:rPr>
        <w:t xml:space="preserve"> </w:t>
      </w:r>
      <w:r w:rsidRPr="007C1494">
        <w:rPr>
          <w:rFonts w:eastAsia="Times New Roman" w:cs="Times New Roman"/>
          <w:noProof/>
          <w:szCs w:val="24"/>
        </w:rPr>
        <w:t xml:space="preserve">To meet the ambition of the initiative, </w:t>
      </w:r>
      <w:r w:rsidR="008C3F8B">
        <w:rPr>
          <w:rFonts w:eastAsia="Times New Roman" w:cs="Times New Roman"/>
          <w:noProof/>
          <w:szCs w:val="24"/>
        </w:rPr>
        <w:t xml:space="preserve">the definition of </w:t>
      </w:r>
      <w:r w:rsidRPr="007C1494">
        <w:rPr>
          <w:rFonts w:eastAsia="Times New Roman" w:cs="Times New Roman"/>
          <w:noProof/>
          <w:szCs w:val="24"/>
        </w:rPr>
        <w:t>deforestation and forest degradation</w:t>
      </w:r>
      <w:r w:rsidR="008C3F8B">
        <w:rPr>
          <w:rFonts w:eastAsia="Times New Roman" w:cs="Times New Roman"/>
          <w:noProof/>
          <w:szCs w:val="24"/>
        </w:rPr>
        <w:t xml:space="preserve"> </w:t>
      </w:r>
      <w:r>
        <w:rPr>
          <w:rFonts w:eastAsia="Times New Roman" w:cs="Times New Roman"/>
          <w:noProof/>
          <w:szCs w:val="24"/>
        </w:rPr>
        <w:t xml:space="preserve">should rely as much as possible on internationally-backed </w:t>
      </w:r>
      <w:r w:rsidR="008C3F8B">
        <w:rPr>
          <w:rFonts w:eastAsia="Times New Roman" w:cs="Times New Roman"/>
          <w:noProof/>
          <w:szCs w:val="24"/>
        </w:rPr>
        <w:t>criteria</w:t>
      </w:r>
      <w:r>
        <w:rPr>
          <w:rFonts w:eastAsia="Times New Roman" w:cs="Times New Roman"/>
          <w:noProof/>
          <w:szCs w:val="24"/>
        </w:rPr>
        <w:t xml:space="preserve">, </w:t>
      </w:r>
      <w:r w:rsidRPr="007C1494">
        <w:rPr>
          <w:rFonts w:eastAsia="Times New Roman" w:cs="Times New Roman"/>
          <w:noProof/>
          <w:szCs w:val="24"/>
        </w:rPr>
        <w:t>should ensure legal clarity, and should be measurable</w:t>
      </w:r>
      <w:r w:rsidR="006229D2">
        <w:rPr>
          <w:rFonts w:eastAsia="Times New Roman" w:cs="Times New Roman"/>
          <w:noProof/>
          <w:szCs w:val="24"/>
        </w:rPr>
        <w:t>,</w:t>
      </w:r>
      <w:r w:rsidRPr="007C1494">
        <w:rPr>
          <w:rFonts w:eastAsia="Times New Roman" w:cs="Times New Roman"/>
          <w:noProof/>
          <w:szCs w:val="24"/>
        </w:rPr>
        <w:t xml:space="preserve"> based on quantitative, objective data.</w:t>
      </w:r>
    </w:p>
    <w:p w14:paraId="1830C902" w14:textId="55767CFA" w:rsidR="0060145D" w:rsidRDefault="0060145D" w:rsidP="0065101E">
      <w:pPr>
        <w:jc w:val="both"/>
        <w:rPr>
          <w:rFonts w:eastAsia="Times New Roman" w:cs="Times New Roman"/>
          <w:noProof/>
          <w:szCs w:val="24"/>
        </w:rPr>
      </w:pPr>
      <w:r>
        <w:rPr>
          <w:rFonts w:eastAsia="Times New Roman" w:cs="Times New Roman"/>
          <w:noProof/>
          <w:szCs w:val="24"/>
        </w:rPr>
        <w:t>All available evidence and the inputs from stakeholders</w:t>
      </w:r>
      <w:r w:rsidR="001D4087">
        <w:rPr>
          <w:rFonts w:eastAsia="Times New Roman" w:cs="Times New Roman"/>
          <w:noProof/>
          <w:szCs w:val="24"/>
        </w:rPr>
        <w:t xml:space="preserve"> suggest this is the right decision to attain the desired goals of this initiative.</w:t>
      </w:r>
    </w:p>
    <w:p w14:paraId="7B259540" w14:textId="2EE03BA1" w:rsidR="00DB78B3" w:rsidRDefault="00DB78B3" w:rsidP="00F238CE">
      <w:pPr>
        <w:jc w:val="both"/>
        <w:rPr>
          <w:rFonts w:eastAsia="Times New Roman" w:cs="Times New Roman"/>
          <w:noProof/>
          <w:szCs w:val="24"/>
        </w:rPr>
      </w:pPr>
      <w:r>
        <w:rPr>
          <w:rFonts w:eastAsia="Times New Roman" w:cs="Times New Roman"/>
          <w:noProof/>
          <w:szCs w:val="24"/>
        </w:rPr>
        <w:t>First, available reports confirm that a sizable part of ongoing deforestation is legal</w:t>
      </w:r>
      <w:r w:rsidR="0058153B">
        <w:rPr>
          <w:rFonts w:eastAsia="Times New Roman" w:cs="Times New Roman"/>
          <w:noProof/>
          <w:szCs w:val="24"/>
        </w:rPr>
        <w:t xml:space="preserve"> according to the law</w:t>
      </w:r>
      <w:r w:rsidR="00DF1F41">
        <w:rPr>
          <w:rFonts w:eastAsia="Times New Roman" w:cs="Times New Roman"/>
          <w:noProof/>
          <w:szCs w:val="24"/>
        </w:rPr>
        <w:t>s</w:t>
      </w:r>
      <w:r w:rsidR="0058153B">
        <w:rPr>
          <w:rFonts w:eastAsia="Times New Roman" w:cs="Times New Roman"/>
          <w:noProof/>
          <w:szCs w:val="24"/>
        </w:rPr>
        <w:t xml:space="preserve"> of the country of production. Forest Trends</w:t>
      </w:r>
      <w:r w:rsidR="00F238CE">
        <w:rPr>
          <w:rStyle w:val="FootnoteReference"/>
          <w:rFonts w:eastAsia="Times New Roman" w:cs="Times New Roman"/>
          <w:noProof/>
          <w:szCs w:val="24"/>
        </w:rPr>
        <w:footnoteReference w:id="74"/>
      </w:r>
      <w:r w:rsidR="0058153B">
        <w:rPr>
          <w:rFonts w:eastAsia="Times New Roman" w:cs="Times New Roman"/>
          <w:noProof/>
          <w:szCs w:val="24"/>
        </w:rPr>
        <w:t xml:space="preserve"> estimated in 2014 that </w:t>
      </w:r>
      <w:r w:rsidR="00F238CE" w:rsidRPr="00F238CE">
        <w:rPr>
          <w:rFonts w:eastAsia="Times New Roman" w:cs="Times New Roman"/>
          <w:noProof/>
          <w:szCs w:val="24"/>
        </w:rPr>
        <w:t>almost half of all tropical deforestation between 2000</w:t>
      </w:r>
      <w:r w:rsidR="00F238CE">
        <w:rPr>
          <w:rFonts w:eastAsia="Times New Roman" w:cs="Times New Roman"/>
          <w:noProof/>
          <w:szCs w:val="24"/>
        </w:rPr>
        <w:t xml:space="preserve"> </w:t>
      </w:r>
      <w:r w:rsidR="00F238CE" w:rsidRPr="00F238CE">
        <w:rPr>
          <w:rFonts w:eastAsia="Times New Roman" w:cs="Times New Roman"/>
          <w:noProof/>
          <w:szCs w:val="24"/>
        </w:rPr>
        <w:t>and 2012 was driven by the illegal conversion of forest l</w:t>
      </w:r>
      <w:r w:rsidR="00F238CE">
        <w:rPr>
          <w:rFonts w:eastAsia="Times New Roman" w:cs="Times New Roman"/>
          <w:noProof/>
          <w:szCs w:val="24"/>
        </w:rPr>
        <w:t>ands for commercial agriculture</w:t>
      </w:r>
      <w:r w:rsidR="0058153B">
        <w:rPr>
          <w:rFonts w:eastAsia="Times New Roman" w:cs="Times New Roman"/>
          <w:noProof/>
          <w:szCs w:val="24"/>
        </w:rPr>
        <w:t xml:space="preserve">. </w:t>
      </w:r>
      <w:r w:rsidR="00F238CE">
        <w:rPr>
          <w:rFonts w:eastAsia="Times New Roman" w:cs="Times New Roman"/>
          <w:noProof/>
          <w:szCs w:val="24"/>
        </w:rPr>
        <w:t>The same organization estimates that between 2013 and 2019, around 69% of deforestation destined to commercial agriculture in tr</w:t>
      </w:r>
      <w:r w:rsidR="00DF1F41">
        <w:rPr>
          <w:rFonts w:eastAsia="Times New Roman" w:cs="Times New Roman"/>
          <w:noProof/>
          <w:szCs w:val="24"/>
        </w:rPr>
        <w:t>opical countries</w:t>
      </w:r>
      <w:r w:rsidR="00F238CE">
        <w:rPr>
          <w:rFonts w:eastAsia="Times New Roman" w:cs="Times New Roman"/>
          <w:noProof/>
          <w:szCs w:val="24"/>
        </w:rPr>
        <w:t xml:space="preserve"> was illegal. These reports tend to focus on countries with weak governance — the global share of deforestation that is illegal might be lower —, but already provide </w:t>
      </w:r>
      <w:r w:rsidR="00A33953">
        <w:rPr>
          <w:rFonts w:eastAsia="Times New Roman" w:cs="Times New Roman"/>
          <w:noProof/>
          <w:szCs w:val="24"/>
        </w:rPr>
        <w:t>clear data signalling that leaving out deforestation that is legal in the country of production would undermine the effectiveness of the policy measures.</w:t>
      </w:r>
    </w:p>
    <w:p w14:paraId="06AE6CA2" w14:textId="2A3C6FD3" w:rsidR="00A33953" w:rsidRDefault="00A33953" w:rsidP="0065101E">
      <w:pPr>
        <w:jc w:val="both"/>
        <w:rPr>
          <w:noProof/>
        </w:rPr>
      </w:pPr>
      <w:r>
        <w:rPr>
          <w:rFonts w:eastAsia="Times New Roman" w:cs="Times New Roman"/>
          <w:noProof/>
          <w:szCs w:val="24"/>
        </w:rPr>
        <w:t xml:space="preserve">Second, </w:t>
      </w:r>
      <w:r w:rsidR="001B30BF" w:rsidRPr="007C1494">
        <w:rPr>
          <w:rFonts w:eastAsia="Times New Roman" w:cs="Times New Roman"/>
          <w:noProof/>
          <w:szCs w:val="24"/>
        </w:rPr>
        <w:t>focusing only on legality</w:t>
      </w:r>
      <w:r>
        <w:rPr>
          <w:rFonts w:eastAsia="Times New Roman" w:cs="Times New Roman"/>
          <w:noProof/>
          <w:szCs w:val="24"/>
        </w:rPr>
        <w:t xml:space="preserve"> would make</w:t>
      </w:r>
      <w:r w:rsidR="001B30BF" w:rsidRPr="007C1494">
        <w:rPr>
          <w:rFonts w:eastAsia="Times New Roman" w:cs="Times New Roman"/>
          <w:noProof/>
          <w:szCs w:val="24"/>
        </w:rPr>
        <w:t xml:space="preserve"> the intervention rely on the stringency of non-EU countries</w:t>
      </w:r>
      <w:r w:rsidR="006229D2">
        <w:rPr>
          <w:rFonts w:eastAsia="Times New Roman" w:cs="Times New Roman"/>
          <w:noProof/>
          <w:szCs w:val="24"/>
        </w:rPr>
        <w:t>’</w:t>
      </w:r>
      <w:r w:rsidR="001B30BF" w:rsidRPr="007C1494">
        <w:rPr>
          <w:rFonts w:eastAsia="Times New Roman" w:cs="Times New Roman"/>
          <w:noProof/>
          <w:szCs w:val="24"/>
        </w:rPr>
        <w:t xml:space="preserve"> requirements and their enforcement.</w:t>
      </w:r>
      <w:r w:rsidR="001B30BF">
        <w:rPr>
          <w:rFonts w:eastAsia="Times New Roman" w:cs="Times New Roman"/>
          <w:noProof/>
          <w:szCs w:val="24"/>
        </w:rPr>
        <w:t xml:space="preserve"> </w:t>
      </w:r>
      <w:r w:rsidR="00E15A0C" w:rsidRPr="007C1494">
        <w:rPr>
          <w:noProof/>
          <w:szCs w:val="24"/>
        </w:rPr>
        <w:t>This would make it depend</w:t>
      </w:r>
      <w:r w:rsidR="00227382" w:rsidRPr="007C1494">
        <w:rPr>
          <w:noProof/>
          <w:szCs w:val="24"/>
        </w:rPr>
        <w:t>e</w:t>
      </w:r>
      <w:r w:rsidR="00E15A0C" w:rsidRPr="007C1494">
        <w:rPr>
          <w:noProof/>
          <w:szCs w:val="24"/>
        </w:rPr>
        <w:t xml:space="preserve">nt on the decisions taken in third countries </w:t>
      </w:r>
      <w:r>
        <w:rPr>
          <w:noProof/>
          <w:szCs w:val="24"/>
        </w:rPr>
        <w:t xml:space="preserve">and their potential political turns. This could also potentially encourage a race to the bottom in countries highly dependent on agricultural exports that may be tempted to lower their environmental protection with </w:t>
      </w:r>
      <w:r w:rsidR="006229D2">
        <w:rPr>
          <w:noProof/>
          <w:szCs w:val="24"/>
        </w:rPr>
        <w:t xml:space="preserve">a </w:t>
      </w:r>
      <w:r>
        <w:rPr>
          <w:noProof/>
          <w:szCs w:val="24"/>
        </w:rPr>
        <w:t>view to facilitating the access of t</w:t>
      </w:r>
      <w:r w:rsidR="008C3F8B">
        <w:rPr>
          <w:noProof/>
          <w:szCs w:val="24"/>
        </w:rPr>
        <w:t xml:space="preserve">heir products to the EU market. </w:t>
      </w:r>
      <w:r w:rsidR="00712820">
        <w:rPr>
          <w:noProof/>
          <w:szCs w:val="24"/>
        </w:rPr>
        <w:t>E</w:t>
      </w:r>
      <w:r w:rsidR="00766E6E" w:rsidRPr="00766E6E">
        <w:rPr>
          <w:noProof/>
          <w:szCs w:val="24"/>
        </w:rPr>
        <w:t xml:space="preserve">xports from a country with stricter environmental controls could </w:t>
      </w:r>
      <w:r w:rsidR="00712820">
        <w:rPr>
          <w:noProof/>
          <w:szCs w:val="24"/>
        </w:rPr>
        <w:t xml:space="preserve">therefore </w:t>
      </w:r>
      <w:r w:rsidR="00766E6E" w:rsidRPr="00766E6E">
        <w:rPr>
          <w:noProof/>
          <w:szCs w:val="24"/>
        </w:rPr>
        <w:t>be</w:t>
      </w:r>
      <w:r w:rsidR="00766E6E">
        <w:rPr>
          <w:noProof/>
          <w:szCs w:val="24"/>
        </w:rPr>
        <w:t xml:space="preserve"> </w:t>
      </w:r>
      <w:r w:rsidR="00766E6E" w:rsidRPr="00766E6E">
        <w:rPr>
          <w:noProof/>
          <w:szCs w:val="24"/>
        </w:rPr>
        <w:t>adversely affected when compared to those of countries with less demanding controls,</w:t>
      </w:r>
      <w:r w:rsidR="00766E6E">
        <w:rPr>
          <w:noProof/>
          <w:szCs w:val="24"/>
        </w:rPr>
        <w:t xml:space="preserve"> </w:t>
      </w:r>
      <w:r w:rsidR="00766E6E" w:rsidRPr="00766E6E">
        <w:rPr>
          <w:noProof/>
          <w:szCs w:val="24"/>
        </w:rPr>
        <w:t xml:space="preserve">regardless of whether the latter presents a higher risk in terms of deforestation. </w:t>
      </w:r>
      <w:r w:rsidR="000A4F05">
        <w:rPr>
          <w:noProof/>
          <w:szCs w:val="24"/>
        </w:rPr>
        <w:t>T</w:t>
      </w:r>
      <w:r w:rsidR="00766E6E" w:rsidRPr="00766E6E">
        <w:rPr>
          <w:noProof/>
          <w:szCs w:val="24"/>
        </w:rPr>
        <w:t xml:space="preserve">his type of requirement could </w:t>
      </w:r>
      <w:r w:rsidR="000A4F05">
        <w:rPr>
          <w:noProof/>
          <w:szCs w:val="24"/>
        </w:rPr>
        <w:t xml:space="preserve">therefore </w:t>
      </w:r>
      <w:r w:rsidR="00766E6E" w:rsidRPr="00766E6E">
        <w:rPr>
          <w:noProof/>
          <w:szCs w:val="24"/>
        </w:rPr>
        <w:t>discourage the adoption of more effective environmental</w:t>
      </w:r>
      <w:r w:rsidR="00766E6E">
        <w:rPr>
          <w:noProof/>
          <w:szCs w:val="24"/>
        </w:rPr>
        <w:t xml:space="preserve"> </w:t>
      </w:r>
      <w:r w:rsidR="00766E6E" w:rsidRPr="00766E6E">
        <w:rPr>
          <w:noProof/>
          <w:szCs w:val="24"/>
        </w:rPr>
        <w:t>controls</w:t>
      </w:r>
      <w:r w:rsidR="008C3F8B">
        <w:rPr>
          <w:noProof/>
          <w:szCs w:val="24"/>
        </w:rPr>
        <w:t>.</w:t>
      </w:r>
    </w:p>
    <w:p w14:paraId="6ED1E3FD" w14:textId="1DAB85CB" w:rsidR="00766E6E" w:rsidRDefault="00766E6E" w:rsidP="0065101E">
      <w:pPr>
        <w:jc w:val="both"/>
        <w:rPr>
          <w:rFonts w:eastAsia="Times New Roman" w:cs="Times New Roman"/>
          <w:noProof/>
          <w:szCs w:val="24"/>
        </w:rPr>
      </w:pPr>
      <w:r>
        <w:rPr>
          <w:rFonts w:eastAsia="Times New Roman" w:cs="Times New Roman"/>
          <w:noProof/>
          <w:szCs w:val="24"/>
        </w:rPr>
        <w:t xml:space="preserve">Third, </w:t>
      </w:r>
      <w:r w:rsidR="002473A1">
        <w:rPr>
          <w:rFonts w:eastAsia="Times New Roman" w:cs="Times New Roman"/>
          <w:noProof/>
          <w:szCs w:val="24"/>
        </w:rPr>
        <w:t xml:space="preserve">establishing </w:t>
      </w:r>
      <w:r w:rsidR="008C3F8B">
        <w:rPr>
          <w:rFonts w:eastAsia="Times New Roman" w:cs="Times New Roman"/>
          <w:noProof/>
          <w:szCs w:val="24"/>
        </w:rPr>
        <w:t xml:space="preserve">a </w:t>
      </w:r>
      <w:r w:rsidR="002473A1">
        <w:rPr>
          <w:rFonts w:eastAsia="Times New Roman" w:cs="Times New Roman"/>
          <w:noProof/>
          <w:szCs w:val="24"/>
        </w:rPr>
        <w:t xml:space="preserve">deforestation </w:t>
      </w:r>
      <w:r w:rsidR="00D16D05">
        <w:rPr>
          <w:rFonts w:eastAsia="Times New Roman" w:cs="Times New Roman"/>
          <w:noProof/>
          <w:szCs w:val="24"/>
        </w:rPr>
        <w:t>definition</w:t>
      </w:r>
      <w:r w:rsidR="002473A1">
        <w:rPr>
          <w:rFonts w:eastAsia="Times New Roman" w:cs="Times New Roman"/>
          <w:noProof/>
          <w:szCs w:val="24"/>
        </w:rPr>
        <w:t xml:space="preserve"> could facilitate the implementation of the measures. </w:t>
      </w:r>
      <w:r w:rsidR="00F33BD9">
        <w:rPr>
          <w:rFonts w:eastAsia="Times New Roman" w:cs="Times New Roman"/>
          <w:noProof/>
          <w:szCs w:val="24"/>
        </w:rPr>
        <w:t>Results from</w:t>
      </w:r>
      <w:r w:rsidR="002473A1">
        <w:rPr>
          <w:rFonts w:eastAsia="Times New Roman" w:cs="Times New Roman"/>
          <w:noProof/>
          <w:szCs w:val="24"/>
        </w:rPr>
        <w:t xml:space="preserve"> the Fitness Check </w:t>
      </w:r>
      <w:r w:rsidR="00F33BD9">
        <w:rPr>
          <w:rFonts w:eastAsia="Times New Roman" w:cs="Times New Roman"/>
          <w:noProof/>
          <w:szCs w:val="24"/>
        </w:rPr>
        <w:t xml:space="preserve">that looked at the due diligence implemented under </w:t>
      </w:r>
      <w:r w:rsidR="002473A1">
        <w:rPr>
          <w:rFonts w:eastAsia="Times New Roman" w:cs="Times New Roman"/>
          <w:noProof/>
          <w:szCs w:val="24"/>
        </w:rPr>
        <w:t xml:space="preserve">the EUTR suggests that due diligence obligations </w:t>
      </w:r>
      <w:r w:rsidR="00712820">
        <w:rPr>
          <w:rFonts w:eastAsia="Times New Roman" w:cs="Times New Roman"/>
          <w:noProof/>
          <w:szCs w:val="24"/>
        </w:rPr>
        <w:t xml:space="preserve">only </w:t>
      </w:r>
      <w:r w:rsidR="002473A1">
        <w:rPr>
          <w:rFonts w:eastAsia="Times New Roman" w:cs="Times New Roman"/>
          <w:noProof/>
          <w:szCs w:val="24"/>
        </w:rPr>
        <w:t xml:space="preserve">relying on the laws of the country of origin are sometimes difficult to </w:t>
      </w:r>
      <w:r w:rsidR="00113289">
        <w:rPr>
          <w:rFonts w:eastAsia="Times New Roman" w:cs="Times New Roman"/>
          <w:noProof/>
          <w:szCs w:val="24"/>
        </w:rPr>
        <w:t>implement, as companies</w:t>
      </w:r>
      <w:r w:rsidR="009E049F">
        <w:rPr>
          <w:rFonts w:eastAsia="Times New Roman" w:cs="Times New Roman"/>
          <w:noProof/>
          <w:szCs w:val="24"/>
        </w:rPr>
        <w:t xml:space="preserve"> and public authorities in charge of enforcement</w:t>
      </w:r>
      <w:r w:rsidR="00113289">
        <w:rPr>
          <w:rFonts w:eastAsia="Times New Roman" w:cs="Times New Roman"/>
          <w:noProof/>
          <w:szCs w:val="24"/>
        </w:rPr>
        <w:t xml:space="preserve"> need to find their way among foreign documents, certificates and laws, written in foreign languages, and sometimes produced in countries with high levels of corruption where ascertaining the reliability of documents may </w:t>
      </w:r>
      <w:r w:rsidR="00892A30">
        <w:rPr>
          <w:rFonts w:eastAsia="Times New Roman" w:cs="Times New Roman"/>
          <w:noProof/>
          <w:szCs w:val="24"/>
        </w:rPr>
        <w:t xml:space="preserve">also </w:t>
      </w:r>
      <w:r w:rsidR="00113289">
        <w:rPr>
          <w:rFonts w:eastAsia="Times New Roman" w:cs="Times New Roman"/>
          <w:noProof/>
          <w:szCs w:val="24"/>
        </w:rPr>
        <w:t xml:space="preserve">be </w:t>
      </w:r>
      <w:r w:rsidR="00892A30">
        <w:rPr>
          <w:rFonts w:eastAsia="Times New Roman" w:cs="Times New Roman"/>
          <w:noProof/>
          <w:szCs w:val="24"/>
        </w:rPr>
        <w:t xml:space="preserve">very </w:t>
      </w:r>
      <w:r w:rsidR="00113289">
        <w:rPr>
          <w:rFonts w:eastAsia="Times New Roman" w:cs="Times New Roman"/>
          <w:noProof/>
          <w:szCs w:val="24"/>
        </w:rPr>
        <w:t xml:space="preserve">difficult. </w:t>
      </w:r>
      <w:r w:rsidR="000A4F05">
        <w:rPr>
          <w:rFonts w:eastAsia="Times New Roman" w:cs="Times New Roman"/>
          <w:noProof/>
          <w:szCs w:val="24"/>
        </w:rPr>
        <w:t>A d</w:t>
      </w:r>
      <w:r w:rsidR="00113289">
        <w:rPr>
          <w:rFonts w:eastAsia="Times New Roman" w:cs="Times New Roman"/>
          <w:noProof/>
          <w:szCs w:val="24"/>
        </w:rPr>
        <w:t xml:space="preserve">eforestation-free </w:t>
      </w:r>
      <w:r w:rsidR="008C3F8B">
        <w:rPr>
          <w:rFonts w:eastAsia="Times New Roman" w:cs="Times New Roman"/>
          <w:noProof/>
          <w:szCs w:val="24"/>
        </w:rPr>
        <w:t>definition</w:t>
      </w:r>
      <w:r w:rsidR="00113289">
        <w:rPr>
          <w:rFonts w:eastAsia="Times New Roman" w:cs="Times New Roman"/>
          <w:noProof/>
          <w:szCs w:val="24"/>
        </w:rPr>
        <w:t xml:space="preserve"> open</w:t>
      </w:r>
      <w:r w:rsidR="000A4F05">
        <w:rPr>
          <w:rFonts w:eastAsia="Times New Roman" w:cs="Times New Roman"/>
          <w:noProof/>
          <w:szCs w:val="24"/>
        </w:rPr>
        <w:t>s a</w:t>
      </w:r>
      <w:r w:rsidR="00113289">
        <w:rPr>
          <w:rFonts w:eastAsia="Times New Roman" w:cs="Times New Roman"/>
          <w:noProof/>
          <w:szCs w:val="24"/>
        </w:rPr>
        <w:t xml:space="preserve"> new, more straightforward way of checking compliance, whereby an operator or a public authority could check whether a product is deforestation-free by resorting to widely-available satellite monitoring tools (provided that the exact area of production can also be ascertained)</w:t>
      </w:r>
      <w:r w:rsidR="006229D2">
        <w:rPr>
          <w:rFonts w:eastAsia="Times New Roman" w:cs="Times New Roman"/>
          <w:noProof/>
          <w:szCs w:val="24"/>
        </w:rPr>
        <w:t>.</w:t>
      </w:r>
    </w:p>
    <w:p w14:paraId="62E9195B" w14:textId="7449CA22" w:rsidR="002B0950" w:rsidRPr="004C7105" w:rsidRDefault="0089424A" w:rsidP="002B0950">
      <w:pPr>
        <w:jc w:val="both"/>
        <w:rPr>
          <w:rFonts w:eastAsia="Times New Roman" w:cs="Times New Roman"/>
          <w:noProof/>
          <w:szCs w:val="24"/>
        </w:rPr>
      </w:pPr>
      <w:r>
        <w:rPr>
          <w:rFonts w:eastAsia="Times New Roman" w:cs="Times New Roman"/>
          <w:noProof/>
          <w:szCs w:val="24"/>
        </w:rPr>
        <w:t xml:space="preserve">Fourth, the overwhelming majority </w:t>
      </w:r>
      <w:r w:rsidR="00701772" w:rsidRPr="007C1494">
        <w:rPr>
          <w:rFonts w:eastAsia="Times New Roman" w:cs="Times New Roman"/>
          <w:noProof/>
          <w:szCs w:val="24"/>
        </w:rPr>
        <w:t xml:space="preserve">of respondents (88%) to the </w:t>
      </w:r>
      <w:r w:rsidR="004B61C6" w:rsidRPr="007C1494">
        <w:rPr>
          <w:rFonts w:eastAsia="Times New Roman" w:cs="Times New Roman"/>
          <w:noProof/>
          <w:szCs w:val="24"/>
        </w:rPr>
        <w:t>online public consultation (</w:t>
      </w:r>
      <w:r w:rsidR="00701772" w:rsidRPr="007C1494">
        <w:rPr>
          <w:rFonts w:eastAsia="Times New Roman" w:cs="Times New Roman"/>
          <w:noProof/>
          <w:szCs w:val="24"/>
        </w:rPr>
        <w:t>OPC</w:t>
      </w:r>
      <w:r w:rsidR="004B61C6" w:rsidRPr="007C1494">
        <w:rPr>
          <w:rFonts w:eastAsia="Times New Roman" w:cs="Times New Roman"/>
          <w:noProof/>
          <w:szCs w:val="24"/>
        </w:rPr>
        <w:t>)</w:t>
      </w:r>
      <w:r w:rsidR="00701772" w:rsidRPr="007C1494">
        <w:rPr>
          <w:rFonts w:eastAsia="Times New Roman" w:cs="Times New Roman"/>
          <w:noProof/>
          <w:szCs w:val="24"/>
        </w:rPr>
        <w:t xml:space="preserve"> carried out </w:t>
      </w:r>
      <w:r w:rsidR="004B61C6" w:rsidRPr="007C1494">
        <w:rPr>
          <w:rFonts w:eastAsia="Times New Roman" w:cs="Times New Roman"/>
          <w:noProof/>
          <w:szCs w:val="24"/>
        </w:rPr>
        <w:t>for this initiative</w:t>
      </w:r>
      <w:r w:rsidR="004C7105">
        <w:rPr>
          <w:rStyle w:val="FootnoteReference"/>
          <w:rFonts w:eastAsia="Times New Roman" w:cs="Times New Roman"/>
          <w:noProof/>
          <w:szCs w:val="24"/>
        </w:rPr>
        <w:footnoteReference w:id="75"/>
      </w:r>
      <w:r w:rsidR="004C7105">
        <w:rPr>
          <w:rFonts w:eastAsia="Times New Roman" w:cs="Times New Roman"/>
          <w:noProof/>
          <w:szCs w:val="24"/>
        </w:rPr>
        <w:t xml:space="preserve"> (see Annex 2) </w:t>
      </w:r>
      <w:r w:rsidR="00701772" w:rsidRPr="007C1494">
        <w:rPr>
          <w:rFonts w:eastAsia="Times New Roman" w:cs="Times New Roman"/>
          <w:noProof/>
          <w:szCs w:val="24"/>
        </w:rPr>
        <w:t xml:space="preserve">indicated their preference for </w:t>
      </w:r>
      <w:r w:rsidR="002B0950">
        <w:rPr>
          <w:rFonts w:eastAsia="Times New Roman" w:cs="Times New Roman"/>
          <w:noProof/>
          <w:szCs w:val="24"/>
        </w:rPr>
        <w:t>assessing</w:t>
      </w:r>
      <w:r w:rsidR="002B0950" w:rsidRPr="007C1494">
        <w:rPr>
          <w:rFonts w:eastAsia="Times New Roman" w:cs="Times New Roman"/>
          <w:noProof/>
          <w:szCs w:val="24"/>
        </w:rPr>
        <w:t xml:space="preserve"> </w:t>
      </w:r>
      <w:r w:rsidR="00701772" w:rsidRPr="007C1494">
        <w:rPr>
          <w:rFonts w:eastAsia="Times New Roman" w:cs="Times New Roman"/>
          <w:noProof/>
          <w:szCs w:val="24"/>
        </w:rPr>
        <w:t xml:space="preserve">products based on an EU definition of deforestation-free, rather than </w:t>
      </w:r>
      <w:r w:rsidR="002B0950">
        <w:rPr>
          <w:rFonts w:eastAsia="Times New Roman" w:cs="Times New Roman"/>
          <w:noProof/>
          <w:szCs w:val="24"/>
        </w:rPr>
        <w:t>only</w:t>
      </w:r>
      <w:r w:rsidR="002B0950" w:rsidRPr="007C1494">
        <w:rPr>
          <w:rFonts w:eastAsia="Times New Roman" w:cs="Times New Roman"/>
          <w:noProof/>
          <w:szCs w:val="24"/>
        </w:rPr>
        <w:t xml:space="preserve"> </w:t>
      </w:r>
      <w:r w:rsidR="00701772" w:rsidRPr="007C1494">
        <w:rPr>
          <w:rFonts w:eastAsia="Times New Roman" w:cs="Times New Roman"/>
          <w:noProof/>
          <w:szCs w:val="24"/>
        </w:rPr>
        <w:t>the</w:t>
      </w:r>
      <w:r w:rsidR="007C15EC">
        <w:rPr>
          <w:rFonts w:eastAsia="Times New Roman" w:cs="Times New Roman"/>
          <w:noProof/>
          <w:szCs w:val="24"/>
        </w:rPr>
        <w:t>ir</w:t>
      </w:r>
      <w:r w:rsidR="00701772" w:rsidRPr="007C1494">
        <w:rPr>
          <w:rFonts w:eastAsia="Times New Roman" w:cs="Times New Roman"/>
          <w:noProof/>
          <w:szCs w:val="24"/>
        </w:rPr>
        <w:t xml:space="preserve"> legality</w:t>
      </w:r>
      <w:r w:rsidR="000D66AE" w:rsidRPr="007C1494">
        <w:rPr>
          <w:rFonts w:eastAsia="Times New Roman" w:cs="Times New Roman"/>
          <w:noProof/>
          <w:szCs w:val="24"/>
        </w:rPr>
        <w:t xml:space="preserve"> </w:t>
      </w:r>
      <w:r w:rsidR="002B0950">
        <w:rPr>
          <w:rFonts w:eastAsia="Times New Roman" w:cs="Times New Roman"/>
          <w:noProof/>
          <w:szCs w:val="24"/>
        </w:rPr>
        <w:t xml:space="preserve">according to the laws of the country </w:t>
      </w:r>
      <w:r w:rsidR="000D66AE" w:rsidRPr="007C1494">
        <w:rPr>
          <w:rFonts w:eastAsia="Times New Roman" w:cs="Times New Roman"/>
          <w:noProof/>
          <w:szCs w:val="24"/>
        </w:rPr>
        <w:t>of harvest or prod</w:t>
      </w:r>
      <w:r w:rsidR="00696836" w:rsidRPr="007C1494">
        <w:rPr>
          <w:rFonts w:eastAsia="Times New Roman" w:cs="Times New Roman"/>
          <w:noProof/>
          <w:szCs w:val="24"/>
        </w:rPr>
        <w:t>uc</w:t>
      </w:r>
      <w:r w:rsidR="000D66AE" w:rsidRPr="007C1494">
        <w:rPr>
          <w:rFonts w:eastAsia="Times New Roman" w:cs="Times New Roman"/>
          <w:noProof/>
          <w:szCs w:val="24"/>
        </w:rPr>
        <w:t>tion</w:t>
      </w:r>
      <w:r w:rsidR="00701772" w:rsidRPr="007C1494">
        <w:rPr>
          <w:rFonts w:eastAsia="Times New Roman" w:cs="Times New Roman"/>
          <w:noProof/>
          <w:szCs w:val="24"/>
        </w:rPr>
        <w:t xml:space="preserve">. </w:t>
      </w:r>
      <w:r w:rsidR="000D66AE" w:rsidRPr="007C1494">
        <w:rPr>
          <w:rFonts w:eastAsia="Times New Roman" w:cs="Times New Roman"/>
          <w:noProof/>
          <w:szCs w:val="24"/>
        </w:rPr>
        <w:t>In addition</w:t>
      </w:r>
      <w:r w:rsidR="002B0950">
        <w:rPr>
          <w:rFonts w:eastAsia="Times New Roman" w:cs="Times New Roman"/>
          <w:noProof/>
          <w:szCs w:val="24"/>
        </w:rPr>
        <w:t>,</w:t>
      </w:r>
      <w:r w:rsidR="00701772" w:rsidRPr="007C1494">
        <w:rPr>
          <w:rFonts w:eastAsia="Times New Roman" w:cs="Times New Roman"/>
          <w:noProof/>
          <w:szCs w:val="24"/>
        </w:rPr>
        <w:t xml:space="preserve"> the OPC showed </w:t>
      </w:r>
      <w:r w:rsidR="008C3F8B">
        <w:rPr>
          <w:rFonts w:eastAsia="Times New Roman" w:cs="Times New Roman"/>
          <w:noProof/>
          <w:szCs w:val="24"/>
        </w:rPr>
        <w:t>strong support</w:t>
      </w:r>
      <w:r w:rsidR="00D07480">
        <w:rPr>
          <w:rFonts w:eastAsia="Times New Roman" w:cs="Times New Roman"/>
          <w:noProof/>
          <w:szCs w:val="24"/>
        </w:rPr>
        <w:t xml:space="preserve"> for </w:t>
      </w:r>
      <w:r w:rsidR="00701772" w:rsidRPr="007C1494">
        <w:rPr>
          <w:rFonts w:eastAsia="Times New Roman" w:cs="Times New Roman"/>
          <w:noProof/>
          <w:szCs w:val="24"/>
        </w:rPr>
        <w:t>a deforestation-free requirement or standard that products must comply with to be placed on the EU market.</w:t>
      </w:r>
    </w:p>
    <w:p w14:paraId="278E93F4" w14:textId="134EBB3B" w:rsidR="0058549A" w:rsidRDefault="00801AF8" w:rsidP="002D54DA">
      <w:pPr>
        <w:jc w:val="both"/>
        <w:rPr>
          <w:rFonts w:eastAsia="Times New Roman" w:cs="Times New Roman"/>
          <w:noProof/>
          <w:szCs w:val="24"/>
        </w:rPr>
      </w:pPr>
      <w:r w:rsidRPr="00D07B8C">
        <w:rPr>
          <w:rFonts w:eastAsia="Times New Roman" w:cs="Times New Roman"/>
          <w:noProof/>
          <w:color w:val="000000" w:themeColor="text1"/>
          <w:szCs w:val="24"/>
        </w:rPr>
        <w:t>For these reasons, a</w:t>
      </w:r>
      <w:r w:rsidR="007C15EC" w:rsidRPr="00362EF8">
        <w:rPr>
          <w:rFonts w:eastAsia="Times New Roman" w:cs="Times New Roman"/>
          <w:noProof/>
          <w:color w:val="000000" w:themeColor="text1"/>
          <w:szCs w:val="24"/>
        </w:rPr>
        <w:t xml:space="preserve">ll proposed policy options </w:t>
      </w:r>
      <w:r w:rsidR="001B30BF" w:rsidRPr="00706CD1">
        <w:rPr>
          <w:rFonts w:eastAsia="Times New Roman" w:cs="Times New Roman"/>
          <w:noProof/>
          <w:color w:val="000000" w:themeColor="text1"/>
          <w:szCs w:val="24"/>
        </w:rPr>
        <w:t>rel</w:t>
      </w:r>
      <w:r w:rsidR="007C15EC" w:rsidRPr="00706CD1">
        <w:rPr>
          <w:rFonts w:eastAsia="Times New Roman" w:cs="Times New Roman"/>
          <w:noProof/>
          <w:color w:val="000000" w:themeColor="text1"/>
          <w:szCs w:val="24"/>
        </w:rPr>
        <w:t>y</w:t>
      </w:r>
      <w:r w:rsidR="001B30BF" w:rsidRPr="00D07B8C">
        <w:rPr>
          <w:rFonts w:eastAsia="Times New Roman" w:cs="Times New Roman"/>
          <w:noProof/>
          <w:color w:val="000000" w:themeColor="text1"/>
          <w:szCs w:val="24"/>
        </w:rPr>
        <w:t xml:space="preserve"> </w:t>
      </w:r>
      <w:r w:rsidR="007C15EC" w:rsidRPr="00362EF8">
        <w:rPr>
          <w:rFonts w:eastAsia="Times New Roman" w:cs="Times New Roman"/>
          <w:noProof/>
          <w:color w:val="000000" w:themeColor="text1"/>
          <w:szCs w:val="24"/>
        </w:rPr>
        <w:t xml:space="preserve">on </w:t>
      </w:r>
      <w:r w:rsidR="001347FA">
        <w:rPr>
          <w:rFonts w:eastAsia="Times New Roman" w:cs="Times New Roman"/>
          <w:noProof/>
          <w:color w:val="000000" w:themeColor="text1"/>
          <w:szCs w:val="24"/>
        </w:rPr>
        <w:t xml:space="preserve">a single </w:t>
      </w:r>
      <w:r w:rsidR="008C3F8B" w:rsidRPr="00D07B8C">
        <w:rPr>
          <w:rFonts w:eastAsia="Times New Roman" w:cs="Times New Roman"/>
          <w:noProof/>
          <w:color w:val="000000" w:themeColor="text1"/>
          <w:szCs w:val="24"/>
        </w:rPr>
        <w:t>definition</w:t>
      </w:r>
      <w:r w:rsidR="000A4F05" w:rsidRPr="00362EF8">
        <w:rPr>
          <w:rFonts w:eastAsia="Times New Roman" w:cs="Times New Roman"/>
          <w:noProof/>
          <w:color w:val="000000" w:themeColor="text1"/>
          <w:szCs w:val="24"/>
        </w:rPr>
        <w:t xml:space="preserve"> </w:t>
      </w:r>
      <w:r w:rsidR="001347FA" w:rsidRPr="001347FA">
        <w:rPr>
          <w:rFonts w:eastAsia="Times New Roman" w:cs="Times New Roman"/>
          <w:noProof/>
          <w:color w:val="000000" w:themeColor="text1"/>
          <w:szCs w:val="24"/>
        </w:rPr>
        <w:t xml:space="preserve">of what is to be considered </w:t>
      </w:r>
      <w:r w:rsidR="001347FA">
        <w:rPr>
          <w:rFonts w:eastAsia="Times New Roman" w:cs="Times New Roman"/>
          <w:noProof/>
          <w:color w:val="000000" w:themeColor="text1"/>
          <w:szCs w:val="24"/>
        </w:rPr>
        <w:t xml:space="preserve">as </w:t>
      </w:r>
      <w:r w:rsidR="001347FA" w:rsidRPr="001347FA">
        <w:rPr>
          <w:rFonts w:eastAsia="Times New Roman" w:cs="Times New Roman"/>
          <w:noProof/>
          <w:color w:val="000000" w:themeColor="text1"/>
          <w:szCs w:val="24"/>
        </w:rPr>
        <w:t>deforestation-free</w:t>
      </w:r>
      <w:r w:rsidR="007C15EC" w:rsidRPr="00D07B8C">
        <w:rPr>
          <w:rFonts w:eastAsia="Times New Roman" w:cs="Times New Roman"/>
          <w:noProof/>
          <w:color w:val="000000" w:themeColor="text1"/>
          <w:szCs w:val="24"/>
        </w:rPr>
        <w:t xml:space="preserve">, </w:t>
      </w:r>
      <w:r w:rsidR="007C15EC" w:rsidRPr="001347FA">
        <w:rPr>
          <w:rFonts w:eastAsia="Times New Roman" w:cs="Times New Roman"/>
          <w:noProof/>
          <w:szCs w:val="24"/>
        </w:rPr>
        <w:t>as</w:t>
      </w:r>
      <w:r w:rsidR="007C15EC">
        <w:rPr>
          <w:rFonts w:eastAsia="Times New Roman" w:cs="Times New Roman"/>
          <w:noProof/>
          <w:szCs w:val="24"/>
        </w:rPr>
        <w:t xml:space="preserve"> well as </w:t>
      </w:r>
      <w:r>
        <w:rPr>
          <w:rFonts w:eastAsia="Times New Roman" w:cs="Times New Roman"/>
          <w:noProof/>
          <w:szCs w:val="24"/>
        </w:rPr>
        <w:t xml:space="preserve">on </w:t>
      </w:r>
      <w:r w:rsidR="007C15EC">
        <w:rPr>
          <w:rFonts w:eastAsia="Times New Roman" w:cs="Times New Roman"/>
          <w:noProof/>
          <w:szCs w:val="24"/>
        </w:rPr>
        <w:t>compliance with the laws of the country of production</w:t>
      </w:r>
      <w:r>
        <w:rPr>
          <w:rFonts w:eastAsia="Times New Roman" w:cs="Times New Roman"/>
          <w:noProof/>
          <w:szCs w:val="24"/>
        </w:rPr>
        <w:t>. T</w:t>
      </w:r>
      <w:r w:rsidR="001B30BF">
        <w:rPr>
          <w:rFonts w:eastAsia="Times New Roman" w:cs="Times New Roman"/>
          <w:noProof/>
          <w:szCs w:val="24"/>
        </w:rPr>
        <w:t xml:space="preserve">his will be the basis for </w:t>
      </w:r>
      <w:r w:rsidR="000D66AE" w:rsidRPr="007C1494">
        <w:rPr>
          <w:rFonts w:eastAsia="Times New Roman" w:cs="Times New Roman"/>
          <w:noProof/>
          <w:szCs w:val="24"/>
        </w:rPr>
        <w:t xml:space="preserve">the obligations </w:t>
      </w:r>
      <w:r w:rsidR="00686583" w:rsidRPr="007C1494">
        <w:rPr>
          <w:rFonts w:eastAsia="Times New Roman" w:cs="Times New Roman"/>
          <w:noProof/>
          <w:szCs w:val="24"/>
        </w:rPr>
        <w:t>for</w:t>
      </w:r>
      <w:r w:rsidR="0065101E" w:rsidRPr="007C1494">
        <w:rPr>
          <w:rFonts w:eastAsia="Times New Roman" w:cs="Times New Roman"/>
          <w:noProof/>
          <w:szCs w:val="24"/>
        </w:rPr>
        <w:t xml:space="preserve"> </w:t>
      </w:r>
      <w:r w:rsidR="000D66AE" w:rsidRPr="007C1494">
        <w:rPr>
          <w:rFonts w:eastAsia="Times New Roman" w:cs="Times New Roman"/>
          <w:noProof/>
          <w:szCs w:val="24"/>
        </w:rPr>
        <w:t xml:space="preserve">EU </w:t>
      </w:r>
      <w:r w:rsidR="0065101E" w:rsidRPr="007C1494">
        <w:rPr>
          <w:rFonts w:eastAsia="Times New Roman" w:cs="Times New Roman"/>
          <w:noProof/>
          <w:szCs w:val="24"/>
        </w:rPr>
        <w:t>stakeholders including companies</w:t>
      </w:r>
      <w:r w:rsidR="000D66AE" w:rsidRPr="007C1494">
        <w:rPr>
          <w:rFonts w:eastAsia="Times New Roman" w:cs="Times New Roman"/>
          <w:noProof/>
          <w:szCs w:val="24"/>
        </w:rPr>
        <w:t xml:space="preserve"> and EU </w:t>
      </w:r>
      <w:r w:rsidR="0065101E" w:rsidRPr="007C1494">
        <w:rPr>
          <w:rFonts w:eastAsia="Times New Roman" w:cs="Times New Roman"/>
          <w:noProof/>
          <w:szCs w:val="24"/>
        </w:rPr>
        <w:t>competent authorities</w:t>
      </w:r>
      <w:r w:rsidR="000D66AE" w:rsidRPr="007C1494">
        <w:rPr>
          <w:rFonts w:eastAsia="Times New Roman" w:cs="Times New Roman"/>
          <w:noProof/>
          <w:szCs w:val="24"/>
        </w:rPr>
        <w:t xml:space="preserve">. It will also be relevant for </w:t>
      </w:r>
      <w:r w:rsidR="0065101E" w:rsidRPr="007C1494">
        <w:rPr>
          <w:rFonts w:eastAsia="Times New Roman" w:cs="Times New Roman"/>
          <w:noProof/>
          <w:szCs w:val="24"/>
        </w:rPr>
        <w:t xml:space="preserve">stakeholders </w:t>
      </w:r>
      <w:r w:rsidR="000D66AE" w:rsidRPr="007C1494">
        <w:rPr>
          <w:rFonts w:eastAsia="Times New Roman" w:cs="Times New Roman"/>
          <w:noProof/>
          <w:szCs w:val="24"/>
        </w:rPr>
        <w:t xml:space="preserve">in </w:t>
      </w:r>
      <w:r w:rsidR="0065101E" w:rsidRPr="007C1494">
        <w:rPr>
          <w:rFonts w:eastAsia="Times New Roman" w:cs="Times New Roman"/>
          <w:noProof/>
          <w:szCs w:val="24"/>
        </w:rPr>
        <w:t>third countr</w:t>
      </w:r>
      <w:r w:rsidR="000D66AE" w:rsidRPr="007C1494">
        <w:rPr>
          <w:rFonts w:eastAsia="Times New Roman" w:cs="Times New Roman"/>
          <w:noProof/>
          <w:szCs w:val="24"/>
        </w:rPr>
        <w:t xml:space="preserve">ies that have commercial relations with the EU. </w:t>
      </w:r>
    </w:p>
    <w:p w14:paraId="43B48C1B" w14:textId="444E3716" w:rsidR="003A0DEE" w:rsidRPr="007C1494" w:rsidRDefault="00077428" w:rsidP="002D54DA">
      <w:pPr>
        <w:jc w:val="both"/>
        <w:rPr>
          <w:rFonts w:eastAsia="Times New Roman" w:cs="Times New Roman"/>
          <w:noProof/>
          <w:szCs w:val="24"/>
        </w:rPr>
      </w:pPr>
      <w:r>
        <w:rPr>
          <w:rFonts w:eastAsia="Times New Roman" w:cs="Times New Roman"/>
          <w:noProof/>
          <w:szCs w:val="24"/>
        </w:rPr>
        <w:t xml:space="preserve">A second </w:t>
      </w:r>
      <w:r w:rsidR="00A74A29">
        <w:rPr>
          <w:rFonts w:eastAsia="Times New Roman" w:cs="Times New Roman"/>
          <w:noProof/>
          <w:szCs w:val="24"/>
        </w:rPr>
        <w:t xml:space="preserve">question is which </w:t>
      </w:r>
      <w:r w:rsidR="00B17B5D">
        <w:rPr>
          <w:rFonts w:eastAsia="Times New Roman" w:cs="Times New Roman"/>
          <w:noProof/>
          <w:szCs w:val="24"/>
        </w:rPr>
        <w:t xml:space="preserve">particular </w:t>
      </w:r>
      <w:r w:rsidR="00712820">
        <w:rPr>
          <w:rFonts w:eastAsia="Times New Roman" w:cs="Times New Roman"/>
          <w:noProof/>
          <w:szCs w:val="24"/>
        </w:rPr>
        <w:t>definition</w:t>
      </w:r>
      <w:r w:rsidR="008C3F8B">
        <w:rPr>
          <w:rFonts w:eastAsia="Times New Roman" w:cs="Times New Roman"/>
          <w:noProof/>
          <w:szCs w:val="24"/>
        </w:rPr>
        <w:t xml:space="preserve"> </w:t>
      </w:r>
      <w:r w:rsidR="00A74A29">
        <w:rPr>
          <w:rFonts w:eastAsia="Times New Roman" w:cs="Times New Roman"/>
          <w:noProof/>
          <w:szCs w:val="24"/>
        </w:rPr>
        <w:t xml:space="preserve">— among the different options provided by </w:t>
      </w:r>
      <w:r w:rsidR="00DA3DD9">
        <w:rPr>
          <w:rFonts w:eastAsia="Times New Roman" w:cs="Times New Roman"/>
          <w:noProof/>
          <w:szCs w:val="24"/>
        </w:rPr>
        <w:t xml:space="preserve">the </w:t>
      </w:r>
      <w:r w:rsidR="00A74A29">
        <w:rPr>
          <w:rFonts w:eastAsia="Times New Roman" w:cs="Times New Roman"/>
          <w:noProof/>
          <w:szCs w:val="24"/>
        </w:rPr>
        <w:t xml:space="preserve">literature </w:t>
      </w:r>
      <w:r w:rsidR="00DA3DD9">
        <w:rPr>
          <w:rFonts w:eastAsia="Times New Roman" w:cs="Times New Roman"/>
          <w:noProof/>
          <w:szCs w:val="24"/>
        </w:rPr>
        <w:t>review and stakeholder consultation</w:t>
      </w:r>
      <w:r w:rsidR="00A74A29">
        <w:rPr>
          <w:rFonts w:eastAsia="Times New Roman" w:cs="Times New Roman"/>
          <w:noProof/>
          <w:szCs w:val="24"/>
        </w:rPr>
        <w:t xml:space="preserve"> — </w:t>
      </w:r>
      <w:r w:rsidR="00712820">
        <w:rPr>
          <w:rFonts w:eastAsia="Times New Roman" w:cs="Times New Roman"/>
          <w:noProof/>
          <w:szCs w:val="24"/>
        </w:rPr>
        <w:t xml:space="preserve">is best suited </w:t>
      </w:r>
      <w:r w:rsidR="00A74A29">
        <w:rPr>
          <w:rFonts w:eastAsia="Times New Roman" w:cs="Times New Roman"/>
          <w:noProof/>
          <w:szCs w:val="24"/>
        </w:rPr>
        <w:t xml:space="preserve">to fulfil the objectives of the policy </w:t>
      </w:r>
      <w:r w:rsidR="00780D87">
        <w:rPr>
          <w:rFonts w:eastAsia="Times New Roman" w:cs="Times New Roman"/>
          <w:noProof/>
          <w:szCs w:val="24"/>
        </w:rPr>
        <w:t>intervention</w:t>
      </w:r>
      <w:r w:rsidR="00A74A29">
        <w:rPr>
          <w:rFonts w:eastAsia="Times New Roman" w:cs="Times New Roman"/>
          <w:noProof/>
          <w:szCs w:val="24"/>
        </w:rPr>
        <w:t xml:space="preserve">. </w:t>
      </w:r>
      <w:r w:rsidR="00DA3DD9">
        <w:rPr>
          <w:rFonts w:eastAsia="Times New Roman" w:cs="Times New Roman"/>
          <w:noProof/>
          <w:szCs w:val="24"/>
        </w:rPr>
        <w:t xml:space="preserve">This impact assessment </w:t>
      </w:r>
      <w:r w:rsidR="006B1CAE">
        <w:rPr>
          <w:rFonts w:eastAsia="Times New Roman" w:cs="Times New Roman"/>
          <w:noProof/>
          <w:szCs w:val="24"/>
        </w:rPr>
        <w:t xml:space="preserve">supports the adoption of the </w:t>
      </w:r>
      <w:r w:rsidR="00712820">
        <w:rPr>
          <w:rFonts w:eastAsia="Times New Roman" w:cs="Times New Roman"/>
          <w:noProof/>
          <w:szCs w:val="24"/>
        </w:rPr>
        <w:t>definition</w:t>
      </w:r>
      <w:r w:rsidR="006B1CAE">
        <w:rPr>
          <w:rFonts w:eastAsia="Times New Roman" w:cs="Times New Roman"/>
          <w:noProof/>
          <w:szCs w:val="24"/>
        </w:rPr>
        <w:t xml:space="preserve"> </w:t>
      </w:r>
      <w:r w:rsidR="000A4F05">
        <w:rPr>
          <w:rFonts w:eastAsia="Times New Roman" w:cs="Times New Roman"/>
          <w:noProof/>
          <w:szCs w:val="24"/>
        </w:rPr>
        <w:t>explained</w:t>
      </w:r>
      <w:r w:rsidR="006B1CAE">
        <w:rPr>
          <w:rFonts w:eastAsia="Times New Roman" w:cs="Times New Roman"/>
          <w:noProof/>
          <w:szCs w:val="24"/>
        </w:rPr>
        <w:t xml:space="preserve"> below, which </w:t>
      </w:r>
      <w:r w:rsidR="000A4F05">
        <w:rPr>
          <w:rFonts w:eastAsia="Times New Roman" w:cs="Times New Roman"/>
          <w:noProof/>
          <w:szCs w:val="24"/>
        </w:rPr>
        <w:t>is</w:t>
      </w:r>
      <w:r w:rsidR="00814590">
        <w:rPr>
          <w:rFonts w:eastAsia="Times New Roman" w:cs="Times New Roman"/>
          <w:noProof/>
          <w:szCs w:val="24"/>
        </w:rPr>
        <w:t xml:space="preserve"> closely </w:t>
      </w:r>
      <w:r w:rsidR="006229D2">
        <w:rPr>
          <w:rFonts w:eastAsia="Times New Roman" w:cs="Times New Roman"/>
          <w:noProof/>
          <w:szCs w:val="24"/>
        </w:rPr>
        <w:t>related</w:t>
      </w:r>
      <w:r w:rsidR="00814590">
        <w:rPr>
          <w:rFonts w:eastAsia="Times New Roman" w:cs="Times New Roman"/>
          <w:noProof/>
          <w:szCs w:val="24"/>
        </w:rPr>
        <w:t xml:space="preserve"> to</w:t>
      </w:r>
      <w:r w:rsidR="006B1CAE">
        <w:rPr>
          <w:rFonts w:eastAsia="Times New Roman" w:cs="Times New Roman"/>
          <w:noProof/>
          <w:szCs w:val="24"/>
        </w:rPr>
        <w:t xml:space="preserve"> the definitions of forest and deforestation </w:t>
      </w:r>
      <w:r w:rsidR="000A4F05">
        <w:rPr>
          <w:rFonts w:eastAsia="Times New Roman" w:cs="Times New Roman"/>
          <w:noProof/>
          <w:szCs w:val="24"/>
        </w:rPr>
        <w:t>used</w:t>
      </w:r>
      <w:r w:rsidR="006B1CAE">
        <w:rPr>
          <w:rFonts w:eastAsia="Times New Roman" w:cs="Times New Roman"/>
          <w:noProof/>
          <w:szCs w:val="24"/>
        </w:rPr>
        <w:t xml:space="preserve"> by the members of the </w:t>
      </w:r>
      <w:r w:rsidR="0072540A" w:rsidRPr="007C1494">
        <w:rPr>
          <w:rFonts w:eastAsia="Times New Roman" w:cs="Times New Roman"/>
          <w:noProof/>
          <w:szCs w:val="24"/>
        </w:rPr>
        <w:t xml:space="preserve">Food and Agricultural </w:t>
      </w:r>
      <w:r w:rsidR="00083922" w:rsidRPr="007C1494">
        <w:rPr>
          <w:rFonts w:eastAsia="Times New Roman" w:cs="Times New Roman"/>
          <w:noProof/>
          <w:szCs w:val="24"/>
        </w:rPr>
        <w:t>Organisation (FAO)</w:t>
      </w:r>
      <w:r w:rsidR="00083922" w:rsidRPr="007C1494">
        <w:rPr>
          <w:rStyle w:val="FootnoteReference"/>
          <w:rFonts w:eastAsia="Times New Roman" w:cs="Times New Roman"/>
          <w:noProof/>
          <w:szCs w:val="24"/>
        </w:rPr>
        <w:footnoteReference w:id="76"/>
      </w:r>
      <w:r w:rsidR="006B1CAE">
        <w:rPr>
          <w:rFonts w:eastAsia="Times New Roman" w:cs="Times New Roman"/>
          <w:noProof/>
          <w:szCs w:val="24"/>
        </w:rPr>
        <w:t xml:space="preserve">. </w:t>
      </w:r>
    </w:p>
    <w:p w14:paraId="2CC7CCDA" w14:textId="77777777" w:rsidR="00582E08" w:rsidRDefault="00582E08" w:rsidP="00582E08">
      <w:pPr>
        <w:jc w:val="both"/>
        <w:rPr>
          <w:rFonts w:eastAsia="Times New Roman" w:cs="Times New Roman"/>
          <w:noProof/>
          <w:szCs w:val="24"/>
        </w:rPr>
      </w:pPr>
      <w:r>
        <w:rPr>
          <w:rFonts w:eastAsia="Times New Roman" w:cs="Times New Roman"/>
          <w:noProof/>
          <w:szCs w:val="24"/>
        </w:rPr>
        <w:t>All policy measures will rely on the following definitions:</w:t>
      </w:r>
    </w:p>
    <w:p w14:paraId="080AA156" w14:textId="0AE4CA57" w:rsidR="00582E08" w:rsidRDefault="00582E08" w:rsidP="00582E08">
      <w:pPr>
        <w:pStyle w:val="ListParagraph"/>
        <w:numPr>
          <w:ilvl w:val="0"/>
          <w:numId w:val="94"/>
        </w:numPr>
        <w:jc w:val="both"/>
        <w:rPr>
          <w:rFonts w:eastAsia="Times New Roman" w:cs="Times New Roman"/>
          <w:i/>
          <w:noProof/>
          <w:szCs w:val="24"/>
        </w:rPr>
      </w:pPr>
      <w:r>
        <w:rPr>
          <w:rFonts w:eastAsia="Times New Roman" w:cs="Times New Roman"/>
          <w:noProof/>
          <w:szCs w:val="24"/>
        </w:rPr>
        <w:t>Forest is defined as: “</w:t>
      </w:r>
      <w:r>
        <w:rPr>
          <w:rFonts w:eastAsia="Times New Roman" w:cs="Times New Roman"/>
          <w:i/>
          <w:iCs/>
          <w:noProof/>
          <w:szCs w:val="24"/>
        </w:rPr>
        <w:t>Land spanning more than 0.5 hectares with trees higher than 5 m and a canopy cover of more than 10% (land-cover criteria), or trees able to reach these thresholds in situ. It does not include land that is predominantly under agricultural or urban land use.</w:t>
      </w:r>
      <w:r>
        <w:rPr>
          <w:rFonts w:eastAsia="Times New Roman" w:cs="Times New Roman"/>
          <w:noProof/>
          <w:szCs w:val="24"/>
        </w:rPr>
        <w:t>” This is the definition used by the FAO</w:t>
      </w:r>
      <w:r>
        <w:rPr>
          <w:rStyle w:val="FootnoteReference"/>
          <w:noProof/>
          <w:szCs w:val="24"/>
        </w:rPr>
        <w:footnoteReference w:id="77"/>
      </w:r>
      <w:r>
        <w:rPr>
          <w:rFonts w:eastAsia="Times New Roman" w:cs="Times New Roman"/>
          <w:noProof/>
          <w:szCs w:val="24"/>
        </w:rPr>
        <w:t>. Some tree plantations are explicitly recognized as forests by the FAO in the explanatory notes of the forest definition, namely rubber-wood, cork oak and Christmas tree plantations</w:t>
      </w:r>
      <w:r>
        <w:rPr>
          <w:rStyle w:val="FootnoteReference"/>
          <w:noProof/>
          <w:szCs w:val="24"/>
        </w:rPr>
        <w:footnoteReference w:id="78"/>
      </w:r>
      <w:r>
        <w:rPr>
          <w:rFonts w:eastAsia="Times New Roman" w:cs="Times New Roman"/>
          <w:noProof/>
          <w:szCs w:val="24"/>
        </w:rPr>
        <w:t xml:space="preserve">. It is </w:t>
      </w:r>
      <w:r w:rsidR="00712820">
        <w:rPr>
          <w:rFonts w:eastAsia="Times New Roman" w:cs="Times New Roman"/>
          <w:noProof/>
          <w:szCs w:val="24"/>
        </w:rPr>
        <w:t>however</w:t>
      </w:r>
      <w:r>
        <w:rPr>
          <w:rFonts w:eastAsia="Times New Roman" w:cs="Times New Roman"/>
          <w:noProof/>
          <w:szCs w:val="24"/>
        </w:rPr>
        <w:t xml:space="preserve"> suggested that all plantations are excluded from the definition of forest or otherwise converting pristine forest into </w:t>
      </w:r>
      <w:r w:rsidR="004500C1">
        <w:rPr>
          <w:rFonts w:eastAsia="Times New Roman" w:cs="Times New Roman"/>
          <w:noProof/>
          <w:szCs w:val="24"/>
        </w:rPr>
        <w:t>some</w:t>
      </w:r>
      <w:r>
        <w:rPr>
          <w:rFonts w:eastAsia="Times New Roman" w:cs="Times New Roman"/>
          <w:noProof/>
          <w:szCs w:val="24"/>
        </w:rPr>
        <w:t xml:space="preserve"> kind</w:t>
      </w:r>
      <w:r w:rsidR="004500C1">
        <w:rPr>
          <w:rFonts w:eastAsia="Times New Roman" w:cs="Times New Roman"/>
          <w:noProof/>
          <w:szCs w:val="24"/>
        </w:rPr>
        <w:t>s</w:t>
      </w:r>
      <w:r>
        <w:rPr>
          <w:rFonts w:eastAsia="Times New Roman" w:cs="Times New Roman"/>
          <w:noProof/>
          <w:szCs w:val="24"/>
        </w:rPr>
        <w:t xml:space="preserve"> of plantation </w:t>
      </w:r>
      <w:r w:rsidR="00A545E8">
        <w:rPr>
          <w:rFonts w:eastAsia="Times New Roman" w:cs="Times New Roman"/>
          <w:noProof/>
          <w:szCs w:val="24"/>
        </w:rPr>
        <w:t>w</w:t>
      </w:r>
      <w:r>
        <w:rPr>
          <w:rFonts w:eastAsia="Times New Roman" w:cs="Times New Roman"/>
          <w:noProof/>
          <w:szCs w:val="24"/>
        </w:rPr>
        <w:t>ould not be considered deforestation. This is the only slight deviation from the FAO</w:t>
      </w:r>
      <w:r w:rsidR="00982E6D">
        <w:rPr>
          <w:rFonts w:eastAsia="Times New Roman" w:cs="Times New Roman"/>
          <w:noProof/>
          <w:szCs w:val="24"/>
        </w:rPr>
        <w:t xml:space="preserve"> approach</w:t>
      </w:r>
      <w:r>
        <w:rPr>
          <w:rFonts w:eastAsia="Times New Roman" w:cs="Times New Roman"/>
          <w:noProof/>
          <w:szCs w:val="24"/>
        </w:rPr>
        <w:t>.</w:t>
      </w:r>
    </w:p>
    <w:p w14:paraId="1ADC276D" w14:textId="77777777" w:rsidR="00582E08" w:rsidRDefault="00582E08" w:rsidP="00582E08">
      <w:pPr>
        <w:pStyle w:val="ListParagraph"/>
        <w:jc w:val="both"/>
        <w:rPr>
          <w:rFonts w:eastAsia="Times New Roman" w:cs="Times New Roman"/>
          <w:i/>
          <w:noProof/>
          <w:szCs w:val="24"/>
        </w:rPr>
      </w:pPr>
    </w:p>
    <w:p w14:paraId="0AE14982" w14:textId="3858F566" w:rsidR="00582E08" w:rsidRDefault="00582E08" w:rsidP="00582E08">
      <w:pPr>
        <w:pStyle w:val="ListParagraph"/>
        <w:numPr>
          <w:ilvl w:val="0"/>
          <w:numId w:val="94"/>
        </w:numPr>
        <w:jc w:val="both"/>
        <w:rPr>
          <w:rFonts w:eastAsia="Times New Roman" w:cs="Times New Roman"/>
          <w:i/>
          <w:noProof/>
          <w:szCs w:val="24"/>
        </w:rPr>
      </w:pPr>
      <w:r>
        <w:rPr>
          <w:rFonts w:eastAsia="Times New Roman" w:cs="Times New Roman"/>
          <w:noProof/>
          <w:szCs w:val="24"/>
        </w:rPr>
        <w:t>Deforestation is defined as: “</w:t>
      </w:r>
      <w:r>
        <w:rPr>
          <w:rFonts w:eastAsia="Times New Roman" w:cs="Times New Roman"/>
          <w:i/>
          <w:iCs/>
          <w:noProof/>
          <w:szCs w:val="24"/>
        </w:rPr>
        <w:t>the conversion of forest to other land use, including conversion to plantations, independently whether human-induced or not.</w:t>
      </w:r>
      <w:r>
        <w:rPr>
          <w:rFonts w:eastAsia="Times New Roman" w:cs="Times New Roman"/>
          <w:noProof/>
          <w:szCs w:val="24"/>
        </w:rPr>
        <w:t>” This is also the FAO definition, only slightly modified to cover conversion to all plantations.</w:t>
      </w:r>
    </w:p>
    <w:p w14:paraId="7FCDA995" w14:textId="77777777" w:rsidR="00582E08" w:rsidRDefault="00582E08" w:rsidP="00582E08">
      <w:pPr>
        <w:pStyle w:val="ListParagraph"/>
        <w:rPr>
          <w:rFonts w:eastAsia="Times New Roman" w:cs="Times New Roman"/>
          <w:noProof/>
          <w:szCs w:val="24"/>
        </w:rPr>
      </w:pPr>
    </w:p>
    <w:p w14:paraId="0FEFC386" w14:textId="7F9DDE1B" w:rsidR="00582E08" w:rsidRDefault="00582E08" w:rsidP="00582E08">
      <w:pPr>
        <w:pStyle w:val="ListParagraph"/>
        <w:numPr>
          <w:ilvl w:val="0"/>
          <w:numId w:val="94"/>
        </w:numPr>
        <w:jc w:val="both"/>
        <w:rPr>
          <w:rFonts w:eastAsia="Times New Roman" w:cs="Times New Roman"/>
          <w:i/>
          <w:noProof/>
          <w:szCs w:val="24"/>
        </w:rPr>
      </w:pPr>
      <w:r>
        <w:rPr>
          <w:rFonts w:eastAsia="Times New Roman" w:cs="Times New Roman"/>
          <w:noProof/>
          <w:szCs w:val="24"/>
        </w:rPr>
        <w:t xml:space="preserve">Forest degradation is defined as: </w:t>
      </w:r>
      <w:r>
        <w:rPr>
          <w:rFonts w:eastAsia="Times New Roman" w:cs="Times New Roman"/>
          <w:i/>
          <w:iCs/>
          <w:noProof/>
          <w:szCs w:val="24"/>
        </w:rPr>
        <w:t>“changes within a forest which negatively affect its species composition, structure, and/or function and reduce the capacity to supply products, support biodiversity, and/or deliver services.”</w:t>
      </w:r>
      <w:r>
        <w:rPr>
          <w:rFonts w:eastAsia="Times New Roman" w:cs="Times New Roman"/>
          <w:noProof/>
          <w:color w:val="333333"/>
          <w:shd w:val="clear" w:color="auto" w:fill="FFFFFF"/>
          <w:lang w:eastAsia="en-GB"/>
        </w:rPr>
        <w:t xml:space="preserve">, </w:t>
      </w:r>
      <w:r w:rsidR="008C3F8B">
        <w:rPr>
          <w:rFonts w:eastAsia="Times New Roman" w:cs="Times New Roman"/>
          <w:noProof/>
          <w:color w:val="333333"/>
          <w:shd w:val="clear" w:color="auto" w:fill="FFFFFF"/>
          <w:lang w:eastAsia="en-GB"/>
        </w:rPr>
        <w:t xml:space="preserve">While the FAO </w:t>
      </w:r>
      <w:r w:rsidR="009C11DE">
        <w:rPr>
          <w:rFonts w:eastAsia="Times New Roman" w:cs="Times New Roman"/>
          <w:noProof/>
          <w:color w:val="333333"/>
          <w:shd w:val="clear" w:color="auto" w:fill="FFFFFF"/>
          <w:lang w:eastAsia="en-GB"/>
        </w:rPr>
        <w:t xml:space="preserve">does not have a </w:t>
      </w:r>
      <w:r w:rsidR="003B4180">
        <w:rPr>
          <w:rFonts w:eastAsia="Times New Roman" w:cs="Times New Roman"/>
          <w:noProof/>
          <w:color w:val="333333"/>
          <w:shd w:val="clear" w:color="auto" w:fill="FFFFFF"/>
          <w:lang w:eastAsia="en-GB"/>
        </w:rPr>
        <w:t xml:space="preserve">definition </w:t>
      </w:r>
      <w:r w:rsidR="008C3F8B">
        <w:rPr>
          <w:rFonts w:eastAsia="Times New Roman" w:cs="Times New Roman"/>
          <w:noProof/>
          <w:color w:val="333333"/>
          <w:shd w:val="clear" w:color="auto" w:fill="FFFFFF"/>
          <w:lang w:eastAsia="en-GB"/>
        </w:rPr>
        <w:t xml:space="preserve">of </w:t>
      </w:r>
      <w:r w:rsidR="003B4180">
        <w:rPr>
          <w:rFonts w:eastAsia="Times New Roman" w:cs="Times New Roman"/>
          <w:noProof/>
          <w:color w:val="333333"/>
          <w:shd w:val="clear" w:color="auto" w:fill="FFFFFF"/>
          <w:lang w:eastAsia="en-GB"/>
        </w:rPr>
        <w:t>forest degradation</w:t>
      </w:r>
      <w:r w:rsidR="008C3F8B">
        <w:rPr>
          <w:rFonts w:eastAsia="Times New Roman" w:cs="Times New Roman"/>
          <w:noProof/>
          <w:color w:val="333333"/>
          <w:shd w:val="clear" w:color="auto" w:fill="FFFFFF"/>
          <w:lang w:eastAsia="en-GB"/>
        </w:rPr>
        <w:t>,</w:t>
      </w:r>
      <w:r w:rsidR="009613A1">
        <w:rPr>
          <w:rFonts w:eastAsia="Times New Roman" w:cs="Times New Roman"/>
          <w:noProof/>
          <w:color w:val="333333"/>
          <w:shd w:val="clear" w:color="auto" w:fill="FFFFFF"/>
          <w:lang w:eastAsia="en-GB"/>
        </w:rPr>
        <w:t xml:space="preserve"> </w:t>
      </w:r>
      <w:r w:rsidR="003B4180">
        <w:rPr>
          <w:rFonts w:eastAsia="Times New Roman" w:cs="Times New Roman"/>
          <w:noProof/>
          <w:color w:val="333333"/>
          <w:shd w:val="clear" w:color="auto" w:fill="FFFFFF"/>
          <w:lang w:eastAsia="en-GB"/>
        </w:rPr>
        <w:t xml:space="preserve">the proposed </w:t>
      </w:r>
      <w:r w:rsidR="008C3F8B">
        <w:rPr>
          <w:rFonts w:eastAsia="Times New Roman" w:cs="Times New Roman"/>
          <w:noProof/>
          <w:color w:val="333333"/>
          <w:shd w:val="clear" w:color="auto" w:fill="FFFFFF"/>
          <w:lang w:eastAsia="en-GB"/>
        </w:rPr>
        <w:t xml:space="preserve">definition is consistent with </w:t>
      </w:r>
      <w:r w:rsidR="003B4180">
        <w:rPr>
          <w:rFonts w:eastAsia="Times New Roman" w:cs="Times New Roman"/>
          <w:noProof/>
          <w:color w:val="333333"/>
          <w:shd w:val="clear" w:color="auto" w:fill="FFFFFF"/>
          <w:lang w:eastAsia="en-GB"/>
        </w:rPr>
        <w:t>descriptions</w:t>
      </w:r>
      <w:r w:rsidR="008C3F8B">
        <w:rPr>
          <w:rFonts w:eastAsia="Times New Roman" w:cs="Times New Roman"/>
          <w:noProof/>
          <w:color w:val="333333"/>
          <w:shd w:val="clear" w:color="auto" w:fill="FFFFFF"/>
          <w:lang w:eastAsia="en-GB"/>
        </w:rPr>
        <w:t xml:space="preserve"> in FAO reports, </w:t>
      </w:r>
      <w:r w:rsidR="000A4F05">
        <w:rPr>
          <w:rFonts w:eastAsia="Times New Roman" w:cs="Times New Roman"/>
          <w:noProof/>
          <w:color w:val="333333"/>
          <w:shd w:val="clear" w:color="auto" w:fill="FFFFFF"/>
          <w:lang w:eastAsia="en-GB"/>
        </w:rPr>
        <w:t>which say that</w:t>
      </w:r>
      <w:r w:rsidR="008C3F8B">
        <w:rPr>
          <w:rFonts w:eastAsia="Times New Roman" w:cs="Times New Roman"/>
          <w:noProof/>
          <w:color w:val="333333"/>
          <w:shd w:val="clear" w:color="auto" w:fill="FFFFFF"/>
          <w:lang w:eastAsia="en-GB"/>
        </w:rPr>
        <w:t xml:space="preserve">, </w:t>
      </w:r>
      <w:r w:rsidR="003B4180">
        <w:rPr>
          <w:rFonts w:eastAsia="Times New Roman" w:cs="Times New Roman"/>
          <w:noProof/>
          <w:color w:val="333333"/>
          <w:shd w:val="clear" w:color="auto" w:fill="FFFFFF"/>
          <w:lang w:eastAsia="en-GB"/>
        </w:rPr>
        <w:t>“</w:t>
      </w:r>
      <w:r w:rsidR="008C3F8B" w:rsidRPr="00282E59">
        <w:rPr>
          <w:rFonts w:eastAsia="Times New Roman" w:cs="Times New Roman"/>
          <w:noProof/>
          <w:color w:val="333333"/>
          <w:shd w:val="clear" w:color="auto" w:fill="FFFFFF"/>
          <w:lang w:eastAsia="en-GB"/>
        </w:rPr>
        <w:t>forest degradation entails a reduction or loss of the biological or economic productivity and complexity of forest ecosystems resulting in the long-term reduction of the overall supply of benefits from forest, which includes wood, biodiversity and other products or services.</w:t>
      </w:r>
      <w:r w:rsidR="003B4180">
        <w:rPr>
          <w:rStyle w:val="FootnoteReference"/>
          <w:rFonts w:eastAsia="Times New Roman" w:cs="Times New Roman"/>
          <w:noProof/>
          <w:color w:val="333333"/>
          <w:shd w:val="clear" w:color="auto" w:fill="FFFFFF"/>
          <w:lang w:eastAsia="en-GB"/>
        </w:rPr>
        <w:footnoteReference w:id="79"/>
      </w:r>
      <w:r w:rsidR="008C3F8B" w:rsidRPr="00282E59">
        <w:rPr>
          <w:rFonts w:eastAsia="Times New Roman" w:cs="Times New Roman"/>
          <w:noProof/>
          <w:color w:val="333333"/>
          <w:shd w:val="clear" w:color="auto" w:fill="FFFFFF"/>
          <w:lang w:eastAsia="en-GB"/>
        </w:rPr>
        <w:t>”</w:t>
      </w:r>
      <w:r>
        <w:rPr>
          <w:rFonts w:eastAsia="Times New Roman" w:cs="Times New Roman"/>
          <w:noProof/>
          <w:color w:val="333333"/>
          <w:shd w:val="clear" w:color="auto" w:fill="FFFFFF"/>
          <w:lang w:eastAsia="en-GB"/>
        </w:rPr>
        <w:t xml:space="preserve"> </w:t>
      </w:r>
    </w:p>
    <w:p w14:paraId="7C2CB209" w14:textId="77777777" w:rsidR="00582E08" w:rsidRDefault="00582E08" w:rsidP="00582E08">
      <w:pPr>
        <w:pStyle w:val="ListParagraph"/>
        <w:rPr>
          <w:rFonts w:eastAsia="Times New Roman" w:cs="Times New Roman"/>
          <w:noProof/>
          <w:szCs w:val="24"/>
        </w:rPr>
      </w:pPr>
    </w:p>
    <w:p w14:paraId="59B6F29D" w14:textId="2B3A4BD0" w:rsidR="00582E08" w:rsidRDefault="00582E08" w:rsidP="00582E08">
      <w:pPr>
        <w:pStyle w:val="ListParagraph"/>
        <w:numPr>
          <w:ilvl w:val="0"/>
          <w:numId w:val="94"/>
        </w:numPr>
        <w:jc w:val="both"/>
        <w:rPr>
          <w:rFonts w:eastAsia="Times New Roman" w:cs="Times New Roman"/>
          <w:i/>
          <w:noProof/>
          <w:szCs w:val="24"/>
        </w:rPr>
      </w:pPr>
      <w:r>
        <w:rPr>
          <w:rFonts w:eastAsia="Times New Roman" w:cs="Times New Roman"/>
          <w:noProof/>
          <w:szCs w:val="24"/>
        </w:rPr>
        <w:t>‘Deforestation-free’: “</w:t>
      </w:r>
      <w:r>
        <w:rPr>
          <w:rFonts w:eastAsia="Times New Roman" w:cs="Times New Roman"/>
          <w:i/>
          <w:noProof/>
          <w:szCs w:val="24"/>
        </w:rPr>
        <w:t xml:space="preserve">A product/commodity that has neither caused nor contributed towards deforestation or forest degradation.” </w:t>
      </w:r>
    </w:p>
    <w:p w14:paraId="5A8647E0" w14:textId="21E4E919" w:rsidR="00582E08" w:rsidRDefault="000C7A73" w:rsidP="00D07B8C">
      <w:pPr>
        <w:jc w:val="both"/>
        <w:rPr>
          <w:rFonts w:eastAsia="Times New Roman" w:cs="Times New Roman"/>
          <w:noProof/>
          <w:szCs w:val="24"/>
        </w:rPr>
      </w:pPr>
      <w:r>
        <w:rPr>
          <w:rFonts w:eastAsia="Times New Roman" w:cs="Times New Roman"/>
          <w:noProof/>
          <w:szCs w:val="24"/>
        </w:rPr>
        <w:t>This</w:t>
      </w:r>
      <w:r w:rsidR="00582E08">
        <w:rPr>
          <w:rFonts w:eastAsia="Times New Roman" w:cs="Times New Roman"/>
          <w:noProof/>
          <w:szCs w:val="24"/>
        </w:rPr>
        <w:t xml:space="preserve"> choice of definitions </w:t>
      </w:r>
      <w:r w:rsidR="00282E59">
        <w:rPr>
          <w:rFonts w:eastAsia="Times New Roman" w:cs="Times New Roman"/>
          <w:noProof/>
          <w:szCs w:val="24"/>
        </w:rPr>
        <w:t>has</w:t>
      </w:r>
      <w:r w:rsidR="00582E08">
        <w:rPr>
          <w:rFonts w:eastAsia="Times New Roman" w:cs="Times New Roman"/>
          <w:noProof/>
          <w:szCs w:val="24"/>
        </w:rPr>
        <w:t xml:space="preserve"> several advantages. First, they rely on internationally</w:t>
      </w:r>
      <w:r w:rsidR="000A4F05">
        <w:rPr>
          <w:rFonts w:eastAsia="Times New Roman" w:cs="Times New Roman"/>
          <w:noProof/>
          <w:szCs w:val="24"/>
        </w:rPr>
        <w:t xml:space="preserve"> used</w:t>
      </w:r>
      <w:r w:rsidR="00582E08">
        <w:rPr>
          <w:rFonts w:eastAsia="Times New Roman" w:cs="Times New Roman"/>
          <w:noProof/>
          <w:szCs w:val="24"/>
        </w:rPr>
        <w:t xml:space="preserve"> definitions, meaning they have already been discussed and a</w:t>
      </w:r>
      <w:r w:rsidR="00282E59">
        <w:rPr>
          <w:rFonts w:eastAsia="Times New Roman" w:cs="Times New Roman"/>
          <w:noProof/>
          <w:szCs w:val="24"/>
        </w:rPr>
        <w:t xml:space="preserve">re used </w:t>
      </w:r>
      <w:r w:rsidR="00582E08">
        <w:rPr>
          <w:rFonts w:eastAsia="Times New Roman" w:cs="Times New Roman"/>
          <w:noProof/>
          <w:szCs w:val="24"/>
        </w:rPr>
        <w:t xml:space="preserve">among members of the </w:t>
      </w:r>
      <w:r w:rsidR="000A4F05">
        <w:rPr>
          <w:rFonts w:eastAsia="Times New Roman" w:cs="Times New Roman"/>
          <w:noProof/>
          <w:szCs w:val="24"/>
        </w:rPr>
        <w:t>FAO</w:t>
      </w:r>
      <w:r w:rsidR="00582E08">
        <w:rPr>
          <w:rFonts w:eastAsia="Times New Roman" w:cs="Times New Roman"/>
          <w:noProof/>
          <w:szCs w:val="24"/>
        </w:rPr>
        <w:t>. Second, the concept</w:t>
      </w:r>
      <w:r w:rsidR="00282E59">
        <w:rPr>
          <w:rFonts w:eastAsia="Times New Roman" w:cs="Times New Roman"/>
          <w:noProof/>
          <w:szCs w:val="24"/>
        </w:rPr>
        <w:t>s</w:t>
      </w:r>
      <w:r w:rsidR="00582E08">
        <w:rPr>
          <w:rFonts w:eastAsia="Times New Roman" w:cs="Times New Roman"/>
          <w:noProof/>
          <w:szCs w:val="24"/>
        </w:rPr>
        <w:t xml:space="preserve"> of forest and </w:t>
      </w:r>
      <w:r w:rsidR="004500C1">
        <w:rPr>
          <w:rFonts w:eastAsia="Times New Roman" w:cs="Times New Roman"/>
          <w:noProof/>
          <w:szCs w:val="24"/>
        </w:rPr>
        <w:t xml:space="preserve">deforestation rely on precise physical characteristics and thresholds that can be measured, often with remote technical tools such as satellite images. Third, </w:t>
      </w:r>
      <w:r w:rsidR="00815D94">
        <w:rPr>
          <w:rFonts w:eastAsia="Times New Roman" w:cs="Times New Roman"/>
          <w:noProof/>
          <w:szCs w:val="24"/>
        </w:rPr>
        <w:t>these</w:t>
      </w:r>
      <w:r w:rsidR="004500C1">
        <w:rPr>
          <w:rFonts w:eastAsia="Times New Roman" w:cs="Times New Roman"/>
          <w:noProof/>
          <w:szCs w:val="24"/>
        </w:rPr>
        <w:t xml:space="preserve"> </w:t>
      </w:r>
      <w:r w:rsidR="00982E6D">
        <w:rPr>
          <w:rFonts w:eastAsia="Times New Roman" w:cs="Times New Roman"/>
          <w:noProof/>
          <w:szCs w:val="24"/>
        </w:rPr>
        <w:t>definitions</w:t>
      </w:r>
      <w:r w:rsidR="004500C1">
        <w:rPr>
          <w:rFonts w:eastAsia="Times New Roman" w:cs="Times New Roman"/>
          <w:noProof/>
          <w:szCs w:val="24"/>
        </w:rPr>
        <w:t xml:space="preserve"> </w:t>
      </w:r>
      <w:r w:rsidR="00815D94">
        <w:rPr>
          <w:rFonts w:eastAsia="Times New Roman" w:cs="Times New Roman"/>
          <w:noProof/>
          <w:szCs w:val="24"/>
        </w:rPr>
        <w:t xml:space="preserve">are relatively simple, and </w:t>
      </w:r>
      <w:r w:rsidR="004500C1">
        <w:rPr>
          <w:rFonts w:eastAsia="Times New Roman" w:cs="Times New Roman"/>
          <w:noProof/>
          <w:szCs w:val="24"/>
        </w:rPr>
        <w:t>can be uniformly implemented across the globe</w:t>
      </w:r>
      <w:r w:rsidR="00815D94">
        <w:rPr>
          <w:rFonts w:eastAsia="Times New Roman" w:cs="Times New Roman"/>
          <w:noProof/>
          <w:szCs w:val="24"/>
        </w:rPr>
        <w:t>, as they don’t rely on national particularities, easing implementation and enforcement</w:t>
      </w:r>
      <w:r w:rsidR="004500C1">
        <w:rPr>
          <w:rFonts w:eastAsia="Times New Roman" w:cs="Times New Roman"/>
          <w:noProof/>
          <w:szCs w:val="24"/>
        </w:rPr>
        <w:t>.</w:t>
      </w:r>
    </w:p>
    <w:p w14:paraId="7035F24B" w14:textId="5B96CEF1" w:rsidR="00780D87" w:rsidRDefault="00BC38B8" w:rsidP="00362EF8">
      <w:pPr>
        <w:jc w:val="both"/>
        <w:rPr>
          <w:rFonts w:eastAsia="Times New Roman" w:cs="Times New Roman"/>
          <w:noProof/>
          <w:szCs w:val="24"/>
        </w:rPr>
      </w:pPr>
      <w:r>
        <w:rPr>
          <w:rFonts w:eastAsia="Times New Roman" w:cs="Times New Roman"/>
          <w:noProof/>
          <w:szCs w:val="24"/>
        </w:rPr>
        <w:t xml:space="preserve">Several </w:t>
      </w:r>
      <w:r w:rsidR="000C7A73">
        <w:rPr>
          <w:rFonts w:eastAsia="Times New Roman" w:cs="Times New Roman"/>
          <w:noProof/>
          <w:szCs w:val="24"/>
        </w:rPr>
        <w:t xml:space="preserve">other options were ruled out. </w:t>
      </w:r>
      <w:r w:rsidR="00144B90">
        <w:rPr>
          <w:rFonts w:eastAsia="Times New Roman" w:cs="Times New Roman"/>
          <w:noProof/>
          <w:szCs w:val="24"/>
        </w:rPr>
        <w:t>The p</w:t>
      </w:r>
      <w:r w:rsidR="00144B90" w:rsidRPr="00144B90">
        <w:rPr>
          <w:rFonts w:eastAsia="Times New Roman" w:cs="Times New Roman"/>
          <w:noProof/>
          <w:szCs w:val="24"/>
        </w:rPr>
        <w:t xml:space="preserve">arties to the United Nations Framework Convention on Climate Change </w:t>
      </w:r>
      <w:r w:rsidR="00144B90">
        <w:rPr>
          <w:rFonts w:eastAsia="Times New Roman" w:cs="Times New Roman"/>
          <w:noProof/>
          <w:szCs w:val="24"/>
        </w:rPr>
        <w:t>(</w:t>
      </w:r>
      <w:r w:rsidR="00144B90" w:rsidRPr="00144B90">
        <w:rPr>
          <w:rFonts w:eastAsia="Times New Roman" w:cs="Times New Roman"/>
          <w:noProof/>
          <w:szCs w:val="24"/>
        </w:rPr>
        <w:t>UNFCCC</w:t>
      </w:r>
      <w:r w:rsidR="00144B90">
        <w:rPr>
          <w:rFonts w:eastAsia="Times New Roman" w:cs="Times New Roman"/>
          <w:noProof/>
          <w:szCs w:val="24"/>
        </w:rPr>
        <w:t>)</w:t>
      </w:r>
      <w:r w:rsidR="00B97954">
        <w:rPr>
          <w:rFonts w:eastAsia="Times New Roman" w:cs="Times New Roman"/>
          <w:noProof/>
          <w:szCs w:val="24"/>
        </w:rPr>
        <w:t xml:space="preserve">, building on work </w:t>
      </w:r>
      <w:r w:rsidR="000A4F05">
        <w:rPr>
          <w:rFonts w:eastAsia="Times New Roman" w:cs="Times New Roman"/>
          <w:noProof/>
          <w:szCs w:val="24"/>
        </w:rPr>
        <w:t>of</w:t>
      </w:r>
      <w:r w:rsidR="00B97954">
        <w:rPr>
          <w:rFonts w:eastAsia="Times New Roman" w:cs="Times New Roman"/>
          <w:noProof/>
          <w:szCs w:val="24"/>
        </w:rPr>
        <w:t xml:space="preserve"> the FAO,</w:t>
      </w:r>
      <w:r w:rsidR="00144B90">
        <w:rPr>
          <w:rFonts w:eastAsia="Times New Roman" w:cs="Times New Roman"/>
          <w:noProof/>
          <w:szCs w:val="24"/>
        </w:rPr>
        <w:t xml:space="preserve"> </w:t>
      </w:r>
      <w:r w:rsidR="00B97954">
        <w:rPr>
          <w:rFonts w:eastAsia="Times New Roman" w:cs="Times New Roman"/>
          <w:noProof/>
          <w:szCs w:val="24"/>
        </w:rPr>
        <w:t>agreed</w:t>
      </w:r>
      <w:r w:rsidR="00B97954">
        <w:rPr>
          <w:rStyle w:val="FootnoteReference"/>
          <w:rFonts w:eastAsia="Times New Roman" w:cs="Times New Roman"/>
          <w:noProof/>
          <w:szCs w:val="24"/>
        </w:rPr>
        <w:footnoteReference w:id="80"/>
      </w:r>
      <w:r w:rsidR="00B97954">
        <w:rPr>
          <w:rFonts w:eastAsia="Times New Roman" w:cs="Times New Roman"/>
          <w:noProof/>
          <w:szCs w:val="24"/>
        </w:rPr>
        <w:t xml:space="preserve"> on a definition of forests </w:t>
      </w:r>
      <w:r w:rsidR="00322656">
        <w:rPr>
          <w:rFonts w:eastAsia="Times New Roman" w:cs="Times New Roman"/>
          <w:noProof/>
          <w:szCs w:val="24"/>
        </w:rPr>
        <w:t xml:space="preserve">that involved a </w:t>
      </w:r>
      <w:r w:rsidR="00B97954">
        <w:rPr>
          <w:rFonts w:eastAsia="Times New Roman" w:cs="Times New Roman"/>
          <w:noProof/>
          <w:szCs w:val="24"/>
        </w:rPr>
        <w:t xml:space="preserve">range of </w:t>
      </w:r>
      <w:r w:rsidR="00BE5596">
        <w:rPr>
          <w:rFonts w:eastAsia="Times New Roman" w:cs="Times New Roman"/>
          <w:noProof/>
          <w:szCs w:val="24"/>
        </w:rPr>
        <w:t xml:space="preserve">thresholds, for example tree canopy </w:t>
      </w:r>
      <w:r w:rsidR="003514BB">
        <w:rPr>
          <w:rFonts w:eastAsia="Times New Roman" w:cs="Times New Roman"/>
          <w:noProof/>
          <w:szCs w:val="24"/>
        </w:rPr>
        <w:t>between</w:t>
      </w:r>
      <w:r w:rsidR="00BE5596">
        <w:rPr>
          <w:rFonts w:eastAsia="Times New Roman" w:cs="Times New Roman"/>
          <w:noProof/>
          <w:szCs w:val="24"/>
        </w:rPr>
        <w:t xml:space="preserve"> 10% </w:t>
      </w:r>
      <w:r w:rsidR="003514BB">
        <w:rPr>
          <w:rFonts w:eastAsia="Times New Roman" w:cs="Times New Roman"/>
          <w:noProof/>
          <w:szCs w:val="24"/>
        </w:rPr>
        <w:t>and</w:t>
      </w:r>
      <w:r w:rsidR="00BE5596">
        <w:rPr>
          <w:rFonts w:eastAsia="Times New Roman" w:cs="Times New Roman"/>
          <w:noProof/>
          <w:szCs w:val="24"/>
        </w:rPr>
        <w:t xml:space="preserve"> 30%,</w:t>
      </w:r>
      <w:r w:rsidR="00B97954">
        <w:rPr>
          <w:rFonts w:eastAsia="Times New Roman" w:cs="Times New Roman"/>
          <w:noProof/>
          <w:szCs w:val="24"/>
        </w:rPr>
        <w:t xml:space="preserve"> </w:t>
      </w:r>
      <w:r w:rsidR="00322656">
        <w:rPr>
          <w:rFonts w:eastAsia="Times New Roman" w:cs="Times New Roman"/>
          <w:noProof/>
          <w:szCs w:val="24"/>
        </w:rPr>
        <w:t>leaving</w:t>
      </w:r>
      <w:r w:rsidR="00BE5596">
        <w:rPr>
          <w:rFonts w:eastAsia="Times New Roman" w:cs="Times New Roman"/>
          <w:noProof/>
          <w:szCs w:val="24"/>
        </w:rPr>
        <w:t xml:space="preserve"> countries leeway to select their precise definition. This flexibility was </w:t>
      </w:r>
      <w:r w:rsidR="00821159">
        <w:rPr>
          <w:rFonts w:eastAsia="Times New Roman" w:cs="Times New Roman"/>
          <w:noProof/>
          <w:szCs w:val="24"/>
        </w:rPr>
        <w:t xml:space="preserve">considered </w:t>
      </w:r>
      <w:r w:rsidR="003514BB">
        <w:rPr>
          <w:rFonts w:eastAsia="Times New Roman" w:cs="Times New Roman"/>
          <w:noProof/>
          <w:szCs w:val="24"/>
        </w:rPr>
        <w:t>in</w:t>
      </w:r>
      <w:r w:rsidR="00821159">
        <w:rPr>
          <w:rFonts w:eastAsia="Times New Roman" w:cs="Times New Roman"/>
          <w:noProof/>
          <w:szCs w:val="24"/>
        </w:rPr>
        <w:t xml:space="preserve">appropriate </w:t>
      </w:r>
      <w:r w:rsidR="00BD5FDE">
        <w:rPr>
          <w:rFonts w:eastAsia="Times New Roman" w:cs="Times New Roman"/>
          <w:noProof/>
          <w:szCs w:val="24"/>
        </w:rPr>
        <w:t>for th</w:t>
      </w:r>
      <w:r w:rsidR="00282E59">
        <w:rPr>
          <w:rFonts w:eastAsia="Times New Roman" w:cs="Times New Roman"/>
          <w:noProof/>
          <w:szCs w:val="24"/>
        </w:rPr>
        <w:t>is initiative</w:t>
      </w:r>
      <w:r w:rsidR="00BD5FDE">
        <w:rPr>
          <w:rFonts w:eastAsia="Times New Roman" w:cs="Times New Roman"/>
          <w:noProof/>
          <w:szCs w:val="24"/>
        </w:rPr>
        <w:t xml:space="preserve"> </w:t>
      </w:r>
      <w:r w:rsidR="000A4F05">
        <w:rPr>
          <w:rFonts w:eastAsia="Times New Roman" w:cs="Times New Roman"/>
          <w:noProof/>
          <w:szCs w:val="24"/>
        </w:rPr>
        <w:t>as</w:t>
      </w:r>
      <w:r w:rsidR="00BE5596">
        <w:rPr>
          <w:rFonts w:eastAsia="Times New Roman" w:cs="Times New Roman"/>
          <w:noProof/>
          <w:szCs w:val="24"/>
        </w:rPr>
        <w:t xml:space="preserve"> </w:t>
      </w:r>
      <w:r w:rsidR="003514BB">
        <w:rPr>
          <w:rFonts w:eastAsia="Times New Roman" w:cs="Times New Roman"/>
          <w:noProof/>
          <w:szCs w:val="24"/>
        </w:rPr>
        <w:t xml:space="preserve">it would lead to uneven implementation (products from some countries would be subject to a different standard than products from other countries) and </w:t>
      </w:r>
      <w:r w:rsidR="00282E59">
        <w:rPr>
          <w:rFonts w:eastAsia="Times New Roman" w:cs="Times New Roman"/>
          <w:noProof/>
          <w:szCs w:val="24"/>
        </w:rPr>
        <w:t xml:space="preserve">would have made </w:t>
      </w:r>
      <w:r w:rsidR="003514BB">
        <w:rPr>
          <w:rFonts w:eastAsia="Times New Roman" w:cs="Times New Roman"/>
          <w:noProof/>
          <w:szCs w:val="24"/>
        </w:rPr>
        <w:t xml:space="preserve">monitoring with remote </w:t>
      </w:r>
      <w:r w:rsidR="000A4F05">
        <w:rPr>
          <w:rFonts w:eastAsia="Times New Roman" w:cs="Times New Roman"/>
          <w:noProof/>
          <w:szCs w:val="24"/>
        </w:rPr>
        <w:t xml:space="preserve">sensing </w:t>
      </w:r>
      <w:r w:rsidR="003514BB">
        <w:rPr>
          <w:rFonts w:eastAsia="Times New Roman" w:cs="Times New Roman"/>
          <w:noProof/>
          <w:szCs w:val="24"/>
        </w:rPr>
        <w:t>tools</w:t>
      </w:r>
      <w:r w:rsidR="00282E59">
        <w:rPr>
          <w:rFonts w:eastAsia="Times New Roman" w:cs="Times New Roman"/>
          <w:noProof/>
          <w:szCs w:val="24"/>
        </w:rPr>
        <w:t xml:space="preserve"> more difficult</w:t>
      </w:r>
      <w:r w:rsidR="003514BB">
        <w:rPr>
          <w:rFonts w:eastAsia="Times New Roman" w:cs="Times New Roman"/>
          <w:noProof/>
          <w:szCs w:val="24"/>
        </w:rPr>
        <w:t xml:space="preserve">. </w:t>
      </w:r>
      <w:r w:rsidR="00C56D49">
        <w:rPr>
          <w:rFonts w:eastAsia="Times New Roman" w:cs="Times New Roman"/>
          <w:noProof/>
          <w:szCs w:val="24"/>
        </w:rPr>
        <w:t xml:space="preserve">It is to be noted, however, that the chosen definition falls within the range </w:t>
      </w:r>
      <w:r w:rsidR="000A4F05">
        <w:rPr>
          <w:rFonts w:eastAsia="Times New Roman" w:cs="Times New Roman"/>
          <w:noProof/>
          <w:szCs w:val="24"/>
        </w:rPr>
        <w:t>agreed by</w:t>
      </w:r>
      <w:r w:rsidR="00C56D49">
        <w:rPr>
          <w:rFonts w:eastAsia="Times New Roman" w:cs="Times New Roman"/>
          <w:noProof/>
          <w:szCs w:val="24"/>
        </w:rPr>
        <w:t xml:space="preserve"> the UNFCCC and that national particularities will be taken on board in the preferred policy option by requiring that products </w:t>
      </w:r>
      <w:r w:rsidR="006229D2" w:rsidRPr="00A422BB">
        <w:rPr>
          <w:rFonts w:eastAsia="Times New Roman" w:cs="Times New Roman"/>
          <w:noProof/>
          <w:szCs w:val="24"/>
        </w:rPr>
        <w:t>also</w:t>
      </w:r>
      <w:r w:rsidR="006229D2">
        <w:rPr>
          <w:rFonts w:eastAsia="Times New Roman" w:cs="Times New Roman"/>
          <w:noProof/>
          <w:szCs w:val="24"/>
        </w:rPr>
        <w:t xml:space="preserve"> </w:t>
      </w:r>
      <w:r w:rsidR="00C56D49">
        <w:rPr>
          <w:rFonts w:eastAsia="Times New Roman" w:cs="Times New Roman"/>
          <w:noProof/>
          <w:szCs w:val="24"/>
        </w:rPr>
        <w:t xml:space="preserve">be compliant with the laws of the country of production. </w:t>
      </w:r>
    </w:p>
    <w:p w14:paraId="1ADB9842" w14:textId="32B60F74" w:rsidR="00BC38B8" w:rsidRDefault="00C56D49" w:rsidP="00362EF8">
      <w:pPr>
        <w:jc w:val="both"/>
        <w:rPr>
          <w:rFonts w:eastAsia="Times New Roman" w:cs="Times New Roman"/>
          <w:noProof/>
          <w:szCs w:val="24"/>
        </w:rPr>
      </w:pPr>
      <w:r>
        <w:rPr>
          <w:rFonts w:eastAsia="Times New Roman" w:cs="Times New Roman"/>
          <w:noProof/>
          <w:szCs w:val="24"/>
        </w:rPr>
        <w:t xml:space="preserve">Other options ruled out were based on </w:t>
      </w:r>
      <w:r w:rsidR="00144B90">
        <w:rPr>
          <w:rFonts w:eastAsia="Times New Roman" w:cs="Times New Roman"/>
          <w:noProof/>
          <w:szCs w:val="24"/>
        </w:rPr>
        <w:t xml:space="preserve">systems like </w:t>
      </w:r>
      <w:r>
        <w:rPr>
          <w:rFonts w:eastAsia="Times New Roman" w:cs="Times New Roman"/>
          <w:noProof/>
          <w:szCs w:val="24"/>
        </w:rPr>
        <w:t xml:space="preserve">the </w:t>
      </w:r>
      <w:r w:rsidR="00144B90" w:rsidRPr="00144B90">
        <w:rPr>
          <w:rFonts w:eastAsia="Times New Roman" w:cs="Times New Roman"/>
          <w:noProof/>
          <w:szCs w:val="24"/>
        </w:rPr>
        <w:t>High Carbon Stock Approach</w:t>
      </w:r>
      <w:r w:rsidR="00144B90">
        <w:rPr>
          <w:rFonts w:eastAsia="Times New Roman" w:cs="Times New Roman"/>
          <w:noProof/>
          <w:szCs w:val="24"/>
        </w:rPr>
        <w:t xml:space="preserve">, </w:t>
      </w:r>
      <w:r>
        <w:rPr>
          <w:rFonts w:eastAsia="Times New Roman" w:cs="Times New Roman"/>
          <w:noProof/>
          <w:szCs w:val="24"/>
        </w:rPr>
        <w:t xml:space="preserve">which try to categorise different </w:t>
      </w:r>
      <w:r w:rsidR="00002FCC">
        <w:rPr>
          <w:rFonts w:eastAsia="Times New Roman" w:cs="Times New Roman"/>
          <w:noProof/>
          <w:szCs w:val="24"/>
        </w:rPr>
        <w:t>types</w:t>
      </w:r>
      <w:r>
        <w:rPr>
          <w:rFonts w:eastAsia="Times New Roman" w:cs="Times New Roman"/>
          <w:noProof/>
          <w:szCs w:val="24"/>
        </w:rPr>
        <w:t xml:space="preserve"> of forests according to their environmental value</w:t>
      </w:r>
      <w:r w:rsidR="00002FCC">
        <w:rPr>
          <w:rFonts w:eastAsia="Times New Roman" w:cs="Times New Roman"/>
          <w:noProof/>
          <w:szCs w:val="24"/>
        </w:rPr>
        <w:t>, which then could be used</w:t>
      </w:r>
      <w:r w:rsidR="005D56EF">
        <w:rPr>
          <w:rFonts w:eastAsia="Times New Roman" w:cs="Times New Roman"/>
          <w:noProof/>
          <w:szCs w:val="24"/>
        </w:rPr>
        <w:t xml:space="preserve"> to better assess degradation</w:t>
      </w:r>
      <w:r w:rsidR="00144B90">
        <w:rPr>
          <w:rFonts w:eastAsia="Times New Roman" w:cs="Times New Roman"/>
          <w:noProof/>
          <w:szCs w:val="24"/>
        </w:rPr>
        <w:t>.</w:t>
      </w:r>
      <w:r w:rsidR="005D56EF">
        <w:rPr>
          <w:rFonts w:eastAsia="Times New Roman" w:cs="Times New Roman"/>
          <w:noProof/>
          <w:szCs w:val="24"/>
        </w:rPr>
        <w:t xml:space="preserve"> These sophisticated systems were rejected on </w:t>
      </w:r>
      <w:r w:rsidR="00E9301F">
        <w:rPr>
          <w:rFonts w:eastAsia="Times New Roman" w:cs="Times New Roman"/>
          <w:noProof/>
          <w:szCs w:val="24"/>
        </w:rPr>
        <w:t xml:space="preserve">the </w:t>
      </w:r>
      <w:r w:rsidR="005D56EF">
        <w:rPr>
          <w:rFonts w:eastAsia="Times New Roman" w:cs="Times New Roman"/>
          <w:noProof/>
          <w:szCs w:val="24"/>
        </w:rPr>
        <w:t xml:space="preserve">grounds that they are not available worldwide, </w:t>
      </w:r>
      <w:r w:rsidR="000A4F05">
        <w:rPr>
          <w:rFonts w:eastAsia="Times New Roman" w:cs="Times New Roman"/>
          <w:noProof/>
          <w:szCs w:val="24"/>
        </w:rPr>
        <w:t xml:space="preserve">thus </w:t>
      </w:r>
      <w:r w:rsidR="005D56EF">
        <w:rPr>
          <w:rFonts w:eastAsia="Times New Roman" w:cs="Times New Roman"/>
          <w:noProof/>
          <w:szCs w:val="24"/>
        </w:rPr>
        <w:t xml:space="preserve">jeopardising equal treatment of all products regardless of their origin, and that many times they rely on on-the-ground monitoring, </w:t>
      </w:r>
      <w:r w:rsidR="00546AEE">
        <w:rPr>
          <w:rFonts w:eastAsia="Times New Roman" w:cs="Times New Roman"/>
          <w:noProof/>
          <w:szCs w:val="24"/>
        </w:rPr>
        <w:t>hampering the possibility of remote monitoring with satellite images.</w:t>
      </w:r>
    </w:p>
    <w:p w14:paraId="6687D1D0" w14:textId="772E9B4F" w:rsidR="00621669" w:rsidRPr="007C1494" w:rsidRDefault="00335526" w:rsidP="00335526">
      <w:pPr>
        <w:pStyle w:val="Heading2"/>
        <w:rPr>
          <w:noProof/>
        </w:rPr>
      </w:pPr>
      <w:bookmarkStart w:id="90" w:name="_Toc75542182"/>
      <w:bookmarkStart w:id="91" w:name="_Toc75543215"/>
      <w:bookmarkStart w:id="92" w:name="_Toc84591903"/>
      <w:r w:rsidRPr="00335526">
        <w:t>4.5</w:t>
      </w:r>
      <w:r w:rsidRPr="00335526">
        <w:tab/>
      </w:r>
      <w:r w:rsidR="00621669">
        <w:rPr>
          <w:noProof/>
        </w:rPr>
        <w:t>Cut-off date</w:t>
      </w:r>
      <w:bookmarkEnd w:id="90"/>
      <w:bookmarkEnd w:id="91"/>
      <w:bookmarkEnd w:id="92"/>
    </w:p>
    <w:p w14:paraId="348A8B8E" w14:textId="7A64A135" w:rsidR="009B7DC7" w:rsidRDefault="00FA3B3A" w:rsidP="00FA3B3A">
      <w:pPr>
        <w:jc w:val="both"/>
        <w:rPr>
          <w:rFonts w:eastAsia="Times New Roman" w:cs="Times New Roman"/>
          <w:noProof/>
          <w:szCs w:val="24"/>
        </w:rPr>
      </w:pPr>
      <w:r w:rsidRPr="00FA3B3A">
        <w:rPr>
          <w:rFonts w:eastAsia="Times New Roman" w:cs="Times New Roman"/>
          <w:noProof/>
          <w:szCs w:val="24"/>
        </w:rPr>
        <w:t xml:space="preserve">Another essential decision, in relation </w:t>
      </w:r>
      <w:r w:rsidR="00E9301F">
        <w:rPr>
          <w:rFonts w:eastAsia="Times New Roman" w:cs="Times New Roman"/>
          <w:noProof/>
          <w:szCs w:val="24"/>
        </w:rPr>
        <w:t>to</w:t>
      </w:r>
      <w:r w:rsidRPr="00FA3B3A">
        <w:rPr>
          <w:rFonts w:eastAsia="Times New Roman" w:cs="Times New Roman"/>
          <w:noProof/>
          <w:szCs w:val="24"/>
        </w:rPr>
        <w:t xml:space="preserve"> the deforestation-free </w:t>
      </w:r>
      <w:r w:rsidR="0034593A">
        <w:rPr>
          <w:rFonts w:eastAsia="Times New Roman" w:cs="Times New Roman"/>
          <w:noProof/>
          <w:szCs w:val="24"/>
        </w:rPr>
        <w:t>definition</w:t>
      </w:r>
      <w:r w:rsidRPr="00FA3B3A">
        <w:rPr>
          <w:rFonts w:eastAsia="Times New Roman" w:cs="Times New Roman"/>
          <w:noProof/>
          <w:szCs w:val="24"/>
        </w:rPr>
        <w:t xml:space="preserve">, is the cut-off date. This means </w:t>
      </w:r>
      <w:r w:rsidR="00F50B57">
        <w:rPr>
          <w:rFonts w:eastAsia="Times New Roman" w:cs="Times New Roman"/>
          <w:noProof/>
          <w:szCs w:val="24"/>
        </w:rPr>
        <w:t xml:space="preserve">a specific point in time </w:t>
      </w:r>
      <w:r w:rsidR="00DE1318">
        <w:rPr>
          <w:rFonts w:eastAsia="Times New Roman" w:cs="Times New Roman"/>
          <w:noProof/>
          <w:szCs w:val="24"/>
        </w:rPr>
        <w:t xml:space="preserve">from which </w:t>
      </w:r>
      <w:r w:rsidR="009B7DC7">
        <w:rPr>
          <w:rFonts w:eastAsia="Times New Roman" w:cs="Times New Roman"/>
          <w:noProof/>
          <w:szCs w:val="24"/>
        </w:rPr>
        <w:t xml:space="preserve">the products </w:t>
      </w:r>
      <w:r w:rsidR="0088589E">
        <w:rPr>
          <w:rFonts w:eastAsia="Times New Roman" w:cs="Times New Roman"/>
          <w:noProof/>
          <w:szCs w:val="24"/>
        </w:rPr>
        <w:t xml:space="preserve">issued from </w:t>
      </w:r>
      <w:r w:rsidR="009B7DC7">
        <w:rPr>
          <w:rFonts w:eastAsia="Times New Roman" w:cs="Times New Roman"/>
          <w:noProof/>
          <w:szCs w:val="24"/>
        </w:rPr>
        <w:t xml:space="preserve">newly </w:t>
      </w:r>
      <w:r w:rsidR="00DE1318">
        <w:rPr>
          <w:rFonts w:eastAsia="Times New Roman" w:cs="Times New Roman"/>
          <w:noProof/>
          <w:szCs w:val="24"/>
        </w:rPr>
        <w:t xml:space="preserve">deforested or degraded </w:t>
      </w:r>
      <w:r w:rsidR="00282E59">
        <w:rPr>
          <w:rFonts w:eastAsia="Times New Roman" w:cs="Times New Roman"/>
          <w:noProof/>
          <w:szCs w:val="24"/>
        </w:rPr>
        <w:t xml:space="preserve">land </w:t>
      </w:r>
      <w:r w:rsidR="00F50B57">
        <w:rPr>
          <w:rFonts w:eastAsia="Times New Roman" w:cs="Times New Roman"/>
          <w:noProof/>
          <w:szCs w:val="24"/>
        </w:rPr>
        <w:t xml:space="preserve">will be </w:t>
      </w:r>
      <w:r w:rsidR="00DE1318">
        <w:rPr>
          <w:rFonts w:eastAsia="Times New Roman" w:cs="Times New Roman"/>
          <w:noProof/>
          <w:szCs w:val="24"/>
        </w:rPr>
        <w:t>penalised by</w:t>
      </w:r>
      <w:r w:rsidR="00F50B57">
        <w:rPr>
          <w:rFonts w:eastAsia="Times New Roman" w:cs="Times New Roman"/>
          <w:noProof/>
          <w:szCs w:val="24"/>
        </w:rPr>
        <w:t xml:space="preserve"> the policy interven</w:t>
      </w:r>
      <w:r w:rsidR="0014080E">
        <w:rPr>
          <w:rFonts w:eastAsia="Times New Roman" w:cs="Times New Roman"/>
          <w:noProof/>
          <w:szCs w:val="24"/>
        </w:rPr>
        <w:t>tion</w:t>
      </w:r>
      <w:r w:rsidR="00DE1318">
        <w:rPr>
          <w:rFonts w:eastAsia="Times New Roman" w:cs="Times New Roman"/>
          <w:noProof/>
          <w:szCs w:val="24"/>
        </w:rPr>
        <w:t xml:space="preserve"> — essentially with a prohibition of placing on the EU market, which is </w:t>
      </w:r>
      <w:r w:rsidR="009613A1">
        <w:rPr>
          <w:rFonts w:eastAsia="Times New Roman" w:cs="Times New Roman"/>
          <w:noProof/>
          <w:szCs w:val="24"/>
        </w:rPr>
        <w:t xml:space="preserve">a </w:t>
      </w:r>
      <w:r w:rsidR="00DE1318">
        <w:rPr>
          <w:rFonts w:eastAsia="Times New Roman" w:cs="Times New Roman"/>
          <w:noProof/>
          <w:szCs w:val="24"/>
        </w:rPr>
        <w:t>common measure to all proposed policy options</w:t>
      </w:r>
      <w:r w:rsidR="0014080E">
        <w:rPr>
          <w:rFonts w:eastAsia="Times New Roman" w:cs="Times New Roman"/>
          <w:noProof/>
          <w:szCs w:val="24"/>
        </w:rPr>
        <w:t>.</w:t>
      </w:r>
    </w:p>
    <w:p w14:paraId="10CA5D55" w14:textId="0CB63A6A" w:rsidR="0014080E" w:rsidRDefault="0014080E" w:rsidP="00FA3B3A">
      <w:pPr>
        <w:jc w:val="both"/>
        <w:rPr>
          <w:rFonts w:eastAsia="Times New Roman" w:cs="Times New Roman"/>
          <w:noProof/>
          <w:szCs w:val="24"/>
        </w:rPr>
      </w:pPr>
      <w:r>
        <w:rPr>
          <w:rFonts w:eastAsia="Times New Roman" w:cs="Times New Roman"/>
          <w:noProof/>
          <w:szCs w:val="24"/>
        </w:rPr>
        <w:t xml:space="preserve">The cut-off date needs to be uniform for all commodities and products covered </w:t>
      </w:r>
      <w:r w:rsidR="00282E59">
        <w:rPr>
          <w:rFonts w:eastAsia="Times New Roman" w:cs="Times New Roman"/>
          <w:noProof/>
          <w:szCs w:val="24"/>
        </w:rPr>
        <w:t>by the instrument</w:t>
      </w:r>
      <w:r>
        <w:rPr>
          <w:rFonts w:eastAsia="Times New Roman" w:cs="Times New Roman"/>
          <w:noProof/>
          <w:szCs w:val="24"/>
        </w:rPr>
        <w:t>, in order to facilitate implementation and monitoring. The same cut-off date set in the initial intervention needs to be maintained for future revisions and updates of the product scope</w:t>
      </w:r>
      <w:r w:rsidR="00BC1FE7">
        <w:rPr>
          <w:rFonts w:eastAsia="Times New Roman" w:cs="Times New Roman"/>
          <w:noProof/>
          <w:szCs w:val="24"/>
        </w:rPr>
        <w:t>, again, in order to facilitate implementation</w:t>
      </w:r>
      <w:r>
        <w:rPr>
          <w:rFonts w:eastAsia="Times New Roman" w:cs="Times New Roman"/>
          <w:noProof/>
          <w:szCs w:val="24"/>
        </w:rPr>
        <w:t xml:space="preserve">; otherwise, companies </w:t>
      </w:r>
      <w:r w:rsidR="00BC1FE7">
        <w:rPr>
          <w:rFonts w:eastAsia="Times New Roman" w:cs="Times New Roman"/>
          <w:noProof/>
          <w:szCs w:val="24"/>
        </w:rPr>
        <w:t xml:space="preserve">might be faced with the task of dealing with similar products covered by different cut-off dates and having to adapt their supply chains to each of them. </w:t>
      </w:r>
    </w:p>
    <w:p w14:paraId="5E37F9A7" w14:textId="72DCB57D" w:rsidR="0014080E" w:rsidRDefault="009B7DC7" w:rsidP="00FA3B3A">
      <w:pPr>
        <w:jc w:val="both"/>
        <w:rPr>
          <w:rFonts w:eastAsia="Times New Roman" w:cs="Times New Roman"/>
          <w:noProof/>
          <w:szCs w:val="24"/>
        </w:rPr>
      </w:pPr>
      <w:r>
        <w:rPr>
          <w:rFonts w:eastAsia="Times New Roman" w:cs="Times New Roman"/>
          <w:noProof/>
          <w:szCs w:val="24"/>
        </w:rPr>
        <w:t xml:space="preserve">There </w:t>
      </w:r>
      <w:r w:rsidR="00282E59">
        <w:rPr>
          <w:rFonts w:eastAsia="Times New Roman" w:cs="Times New Roman"/>
          <w:noProof/>
          <w:szCs w:val="24"/>
        </w:rPr>
        <w:t>is</w:t>
      </w:r>
      <w:r>
        <w:rPr>
          <w:rFonts w:eastAsia="Times New Roman" w:cs="Times New Roman"/>
          <w:noProof/>
          <w:szCs w:val="24"/>
        </w:rPr>
        <w:t xml:space="preserve"> consensus in the literature and among </w:t>
      </w:r>
      <w:r w:rsidR="003029D3">
        <w:rPr>
          <w:rFonts w:eastAsia="Times New Roman" w:cs="Times New Roman"/>
          <w:noProof/>
          <w:szCs w:val="24"/>
        </w:rPr>
        <w:t xml:space="preserve">many </w:t>
      </w:r>
      <w:r>
        <w:rPr>
          <w:rFonts w:eastAsia="Times New Roman" w:cs="Times New Roman"/>
          <w:noProof/>
          <w:szCs w:val="24"/>
        </w:rPr>
        <w:t xml:space="preserve">stakeholders that </w:t>
      </w:r>
      <w:r w:rsidR="0014080E">
        <w:rPr>
          <w:rFonts w:eastAsia="Times New Roman" w:cs="Times New Roman"/>
          <w:noProof/>
          <w:szCs w:val="24"/>
        </w:rPr>
        <w:t xml:space="preserve">the cut-off date </w:t>
      </w:r>
      <w:r w:rsidR="00282E59">
        <w:rPr>
          <w:rFonts w:eastAsia="Times New Roman" w:cs="Times New Roman"/>
          <w:noProof/>
          <w:szCs w:val="24"/>
        </w:rPr>
        <w:t>sh</w:t>
      </w:r>
      <w:r>
        <w:rPr>
          <w:rFonts w:eastAsia="Times New Roman" w:cs="Times New Roman"/>
          <w:noProof/>
          <w:szCs w:val="24"/>
        </w:rPr>
        <w:t xml:space="preserve">ould not lie in the future, as this could risk triggering a </w:t>
      </w:r>
      <w:r w:rsidR="003029D3">
        <w:rPr>
          <w:rFonts w:eastAsia="Times New Roman" w:cs="Times New Roman"/>
          <w:noProof/>
          <w:szCs w:val="24"/>
        </w:rPr>
        <w:t>“</w:t>
      </w:r>
      <w:r>
        <w:rPr>
          <w:rFonts w:eastAsia="Times New Roman" w:cs="Times New Roman"/>
          <w:noProof/>
          <w:szCs w:val="24"/>
        </w:rPr>
        <w:t>deforestation rush</w:t>
      </w:r>
      <w:r w:rsidR="003029D3">
        <w:rPr>
          <w:rFonts w:eastAsia="Times New Roman" w:cs="Times New Roman"/>
          <w:noProof/>
          <w:szCs w:val="24"/>
        </w:rPr>
        <w:t>” in countries</w:t>
      </w:r>
      <w:r w:rsidR="008006C7">
        <w:rPr>
          <w:rFonts w:eastAsia="Times New Roman" w:cs="Times New Roman"/>
          <w:noProof/>
          <w:szCs w:val="24"/>
        </w:rPr>
        <w:t>,</w:t>
      </w:r>
      <w:r w:rsidR="003029D3">
        <w:rPr>
          <w:rFonts w:eastAsia="Times New Roman" w:cs="Times New Roman"/>
          <w:noProof/>
          <w:szCs w:val="24"/>
        </w:rPr>
        <w:t xml:space="preserve"> which may be tempted to clear forests quickly</w:t>
      </w:r>
      <w:r w:rsidR="008006C7">
        <w:rPr>
          <w:rFonts w:eastAsia="Times New Roman" w:cs="Times New Roman"/>
          <w:noProof/>
          <w:szCs w:val="24"/>
        </w:rPr>
        <w:t xml:space="preserve"> —</w:t>
      </w:r>
      <w:r w:rsidR="003029D3">
        <w:rPr>
          <w:rFonts w:eastAsia="Times New Roman" w:cs="Times New Roman"/>
          <w:noProof/>
          <w:szCs w:val="24"/>
        </w:rPr>
        <w:t xml:space="preserve"> </w:t>
      </w:r>
      <w:r w:rsidR="006F4156">
        <w:rPr>
          <w:rFonts w:eastAsia="Times New Roman" w:cs="Times New Roman"/>
          <w:noProof/>
          <w:szCs w:val="24"/>
        </w:rPr>
        <w:t xml:space="preserve">and </w:t>
      </w:r>
      <w:r w:rsidR="003029D3">
        <w:rPr>
          <w:rFonts w:eastAsia="Times New Roman" w:cs="Times New Roman"/>
          <w:noProof/>
          <w:szCs w:val="24"/>
        </w:rPr>
        <w:t xml:space="preserve">essentially achieving the opposite </w:t>
      </w:r>
      <w:r w:rsidR="008006C7">
        <w:rPr>
          <w:rFonts w:eastAsia="Times New Roman" w:cs="Times New Roman"/>
          <w:noProof/>
          <w:szCs w:val="24"/>
        </w:rPr>
        <w:t xml:space="preserve">objective </w:t>
      </w:r>
      <w:r w:rsidR="003029D3">
        <w:rPr>
          <w:rFonts w:eastAsia="Times New Roman" w:cs="Times New Roman"/>
          <w:noProof/>
          <w:szCs w:val="24"/>
        </w:rPr>
        <w:t>of what is sought with the EU intervention.</w:t>
      </w:r>
      <w:r w:rsidR="008006C7">
        <w:rPr>
          <w:rFonts w:eastAsia="Times New Roman" w:cs="Times New Roman"/>
          <w:noProof/>
          <w:szCs w:val="24"/>
        </w:rPr>
        <w:t xml:space="preserve"> </w:t>
      </w:r>
    </w:p>
    <w:p w14:paraId="000EA4BA" w14:textId="77A3B3DC" w:rsidR="008006C7" w:rsidRDefault="003029D3" w:rsidP="00FA3B3A">
      <w:pPr>
        <w:jc w:val="both"/>
        <w:rPr>
          <w:rFonts w:eastAsia="Times New Roman" w:cs="Times New Roman"/>
          <w:noProof/>
          <w:szCs w:val="24"/>
        </w:rPr>
      </w:pPr>
      <w:r>
        <w:rPr>
          <w:rFonts w:eastAsia="Times New Roman" w:cs="Times New Roman"/>
          <w:noProof/>
          <w:szCs w:val="24"/>
        </w:rPr>
        <w:t xml:space="preserve">Beyond that general consensus, the positions among institutions and stakeholders varied widely. </w:t>
      </w:r>
    </w:p>
    <w:p w14:paraId="0101B33C" w14:textId="245BE8CF" w:rsidR="003029D3" w:rsidRDefault="003029D3" w:rsidP="00FF0FB8">
      <w:pPr>
        <w:jc w:val="both"/>
        <w:rPr>
          <w:rFonts w:eastAsia="Times New Roman" w:cs="Times New Roman"/>
          <w:noProof/>
          <w:szCs w:val="24"/>
        </w:rPr>
      </w:pPr>
      <w:r>
        <w:rPr>
          <w:rFonts w:eastAsia="Times New Roman" w:cs="Times New Roman"/>
          <w:noProof/>
          <w:szCs w:val="24"/>
        </w:rPr>
        <w:t xml:space="preserve">The European Parliament, in its resolution </w:t>
      </w:r>
      <w:r w:rsidRPr="003029D3">
        <w:rPr>
          <w:rFonts w:eastAsia="Times New Roman" w:cs="Times New Roman"/>
          <w:noProof/>
          <w:szCs w:val="24"/>
        </w:rPr>
        <w:t>with recommendations to the Commission on an EU legal framework to halt and reverse EU-driven global deforestation</w:t>
      </w:r>
      <w:r>
        <w:rPr>
          <w:rStyle w:val="FootnoteReference"/>
          <w:rFonts w:eastAsia="Times New Roman" w:cs="Times New Roman"/>
          <w:noProof/>
          <w:szCs w:val="24"/>
        </w:rPr>
        <w:footnoteReference w:id="81"/>
      </w:r>
      <w:r>
        <w:rPr>
          <w:rFonts w:eastAsia="Times New Roman" w:cs="Times New Roman"/>
          <w:noProof/>
          <w:szCs w:val="24"/>
        </w:rPr>
        <w:t>, proposed “no later than 2015.”</w:t>
      </w:r>
      <w:r w:rsidR="008006C7">
        <w:rPr>
          <w:rFonts w:eastAsia="Times New Roman" w:cs="Times New Roman"/>
          <w:noProof/>
          <w:szCs w:val="24"/>
        </w:rPr>
        <w:t xml:space="preserve"> The </w:t>
      </w:r>
      <w:r w:rsidR="008006C7" w:rsidRPr="008006C7">
        <w:rPr>
          <w:rFonts w:eastAsia="Times New Roman" w:cs="Times New Roman"/>
          <w:noProof/>
          <w:szCs w:val="24"/>
        </w:rPr>
        <w:t>Renewable Energy Directive</w:t>
      </w:r>
      <w:r w:rsidR="008006C7">
        <w:rPr>
          <w:rStyle w:val="FootnoteReference"/>
          <w:rFonts w:eastAsia="Times New Roman" w:cs="Times New Roman"/>
          <w:noProof/>
          <w:szCs w:val="24"/>
        </w:rPr>
        <w:footnoteReference w:id="82"/>
      </w:r>
      <w:r w:rsidR="008006C7">
        <w:rPr>
          <w:rFonts w:eastAsia="Times New Roman" w:cs="Times New Roman"/>
          <w:noProof/>
          <w:szCs w:val="24"/>
        </w:rPr>
        <w:t xml:space="preserve"> uses 2008 as the date </w:t>
      </w:r>
      <w:r w:rsidR="00282E59">
        <w:rPr>
          <w:rFonts w:eastAsia="Times New Roman" w:cs="Times New Roman"/>
          <w:noProof/>
          <w:szCs w:val="24"/>
        </w:rPr>
        <w:t>by</w:t>
      </w:r>
      <w:r w:rsidR="008006C7">
        <w:rPr>
          <w:rFonts w:eastAsia="Times New Roman" w:cs="Times New Roman"/>
          <w:noProof/>
          <w:szCs w:val="24"/>
        </w:rPr>
        <w:t xml:space="preserve"> which risk fuels are identified according to land expansion criteria. Voluntary </w:t>
      </w:r>
      <w:r w:rsidR="0016785F">
        <w:rPr>
          <w:rFonts w:eastAsia="Times New Roman" w:cs="Times New Roman"/>
          <w:noProof/>
          <w:szCs w:val="24"/>
        </w:rPr>
        <w:t xml:space="preserve">certification </w:t>
      </w:r>
      <w:r w:rsidR="008006C7">
        <w:rPr>
          <w:rFonts w:eastAsia="Times New Roman" w:cs="Times New Roman"/>
          <w:noProof/>
          <w:szCs w:val="24"/>
        </w:rPr>
        <w:t xml:space="preserve">schemes for different commodities have set different cut-off dates and advocate for </w:t>
      </w:r>
      <w:r w:rsidR="0014080E">
        <w:rPr>
          <w:rFonts w:eastAsia="Times New Roman" w:cs="Times New Roman"/>
          <w:noProof/>
          <w:szCs w:val="24"/>
        </w:rPr>
        <w:t>EU</w:t>
      </w:r>
      <w:r w:rsidR="0016785F">
        <w:rPr>
          <w:rFonts w:eastAsia="Times New Roman" w:cs="Times New Roman"/>
          <w:noProof/>
          <w:szCs w:val="24"/>
        </w:rPr>
        <w:t xml:space="preserve"> legislation</w:t>
      </w:r>
      <w:r w:rsidR="00DE19C8">
        <w:rPr>
          <w:rFonts w:eastAsia="Times New Roman" w:cs="Times New Roman"/>
          <w:noProof/>
          <w:szCs w:val="24"/>
        </w:rPr>
        <w:t xml:space="preserve"> to use their own</w:t>
      </w:r>
      <w:r w:rsidR="0016785F">
        <w:rPr>
          <w:rFonts w:eastAsia="Times New Roman" w:cs="Times New Roman"/>
          <w:noProof/>
          <w:szCs w:val="24"/>
        </w:rPr>
        <w:t xml:space="preserve">. </w:t>
      </w:r>
      <w:r w:rsidR="0014080E">
        <w:rPr>
          <w:rFonts w:eastAsia="Times New Roman" w:cs="Times New Roman"/>
          <w:noProof/>
          <w:szCs w:val="24"/>
        </w:rPr>
        <w:t xml:space="preserve">The Forest Stewardship Council </w:t>
      </w:r>
      <w:r w:rsidR="006F4156">
        <w:rPr>
          <w:rFonts w:eastAsia="Times New Roman" w:cs="Times New Roman"/>
          <w:noProof/>
          <w:szCs w:val="24"/>
        </w:rPr>
        <w:t>initially set</w:t>
      </w:r>
      <w:r w:rsidR="0014080E" w:rsidRPr="0014080E">
        <w:rPr>
          <w:rFonts w:eastAsia="Times New Roman" w:cs="Times New Roman"/>
          <w:noProof/>
          <w:szCs w:val="24"/>
        </w:rPr>
        <w:t xml:space="preserve"> </w:t>
      </w:r>
      <w:r w:rsidR="0014080E">
        <w:rPr>
          <w:rFonts w:eastAsia="Times New Roman" w:cs="Times New Roman"/>
          <w:noProof/>
          <w:szCs w:val="24"/>
        </w:rPr>
        <w:t>1994</w:t>
      </w:r>
      <w:r w:rsidR="0014080E" w:rsidRPr="0014080E">
        <w:rPr>
          <w:rFonts w:eastAsia="Times New Roman" w:cs="Times New Roman"/>
          <w:noProof/>
          <w:szCs w:val="24"/>
        </w:rPr>
        <w:t xml:space="preserve"> </w:t>
      </w:r>
      <w:r w:rsidR="0014080E">
        <w:rPr>
          <w:rFonts w:eastAsia="Times New Roman" w:cs="Times New Roman"/>
          <w:noProof/>
          <w:szCs w:val="24"/>
        </w:rPr>
        <w:t xml:space="preserve">as the date after which </w:t>
      </w:r>
      <w:r w:rsidR="0014080E" w:rsidRPr="0014080E">
        <w:rPr>
          <w:rFonts w:eastAsia="Times New Roman" w:cs="Times New Roman"/>
          <w:noProof/>
          <w:szCs w:val="24"/>
        </w:rPr>
        <w:t xml:space="preserve">plantations converted from natural forest </w:t>
      </w:r>
      <w:r w:rsidR="006F4156">
        <w:rPr>
          <w:rFonts w:eastAsia="Times New Roman" w:cs="Times New Roman"/>
          <w:noProof/>
          <w:szCs w:val="24"/>
        </w:rPr>
        <w:t>were</w:t>
      </w:r>
      <w:r w:rsidR="0014080E" w:rsidRPr="0014080E">
        <w:rPr>
          <w:rFonts w:eastAsia="Times New Roman" w:cs="Times New Roman"/>
          <w:noProof/>
          <w:szCs w:val="24"/>
        </w:rPr>
        <w:t xml:space="preserve"> not qualified for FSC certification</w:t>
      </w:r>
      <w:r w:rsidR="0014080E">
        <w:rPr>
          <w:rFonts w:eastAsia="Times New Roman" w:cs="Times New Roman"/>
          <w:noProof/>
          <w:szCs w:val="24"/>
        </w:rPr>
        <w:t xml:space="preserve">. </w:t>
      </w:r>
      <w:r w:rsidR="006F4156">
        <w:rPr>
          <w:rFonts w:eastAsia="Times New Roman" w:cs="Times New Roman"/>
          <w:noProof/>
          <w:szCs w:val="24"/>
        </w:rPr>
        <w:t>The Rainforest Alliance sets 2014</w:t>
      </w:r>
      <w:r w:rsidR="006F4156">
        <w:rPr>
          <w:rStyle w:val="FootnoteReference"/>
          <w:rFonts w:eastAsia="Times New Roman" w:cs="Times New Roman"/>
          <w:noProof/>
          <w:szCs w:val="24"/>
        </w:rPr>
        <w:footnoteReference w:id="83"/>
      </w:r>
      <w:r w:rsidR="006F4156">
        <w:rPr>
          <w:rFonts w:eastAsia="Times New Roman" w:cs="Times New Roman"/>
          <w:noProof/>
          <w:szCs w:val="24"/>
        </w:rPr>
        <w:t xml:space="preserve">. </w:t>
      </w:r>
      <w:r w:rsidR="00FF0FB8">
        <w:rPr>
          <w:rFonts w:eastAsia="Times New Roman" w:cs="Times New Roman"/>
          <w:noProof/>
          <w:szCs w:val="24"/>
        </w:rPr>
        <w:t xml:space="preserve">The </w:t>
      </w:r>
      <w:r w:rsidR="00FF0FB8" w:rsidRPr="00FF0FB8">
        <w:rPr>
          <w:rFonts w:eastAsia="Times New Roman" w:cs="Times New Roman"/>
          <w:noProof/>
          <w:szCs w:val="24"/>
        </w:rPr>
        <w:t>Roundtable on Sustainable Palm Oil</w:t>
      </w:r>
      <w:r w:rsidR="00FF0FB8">
        <w:rPr>
          <w:rFonts w:eastAsia="Times New Roman" w:cs="Times New Roman"/>
          <w:noProof/>
          <w:szCs w:val="24"/>
        </w:rPr>
        <w:t xml:space="preserve"> sets a requirement to protect natural forests </w:t>
      </w:r>
      <w:r w:rsidR="00FF0FB8" w:rsidRPr="00FF0FB8">
        <w:rPr>
          <w:rFonts w:eastAsia="Times New Roman" w:cs="Times New Roman"/>
          <w:noProof/>
          <w:szCs w:val="24"/>
        </w:rPr>
        <w:t>with a cut-off date of 2018</w:t>
      </w:r>
      <w:r w:rsidR="00FF0FB8">
        <w:rPr>
          <w:rStyle w:val="FootnoteReference"/>
          <w:rFonts w:eastAsia="Times New Roman" w:cs="Times New Roman"/>
          <w:noProof/>
          <w:szCs w:val="24"/>
        </w:rPr>
        <w:footnoteReference w:id="84"/>
      </w:r>
      <w:r w:rsidR="00FF0FB8">
        <w:rPr>
          <w:rFonts w:eastAsia="Times New Roman" w:cs="Times New Roman"/>
          <w:noProof/>
          <w:szCs w:val="24"/>
        </w:rPr>
        <w:t xml:space="preserve">. </w:t>
      </w:r>
      <w:r w:rsidR="007D5EDE">
        <w:rPr>
          <w:rFonts w:eastAsia="Times New Roman" w:cs="Times New Roman"/>
          <w:noProof/>
          <w:szCs w:val="24"/>
        </w:rPr>
        <w:t>In addition,</w:t>
      </w:r>
      <w:r w:rsidR="00FF0FB8">
        <w:rPr>
          <w:rFonts w:eastAsia="Times New Roman" w:cs="Times New Roman"/>
          <w:noProof/>
          <w:szCs w:val="24"/>
        </w:rPr>
        <w:t xml:space="preserve"> the same discrepancies are present in the industry. </w:t>
      </w:r>
      <w:r w:rsidR="00FF0FB8" w:rsidRPr="00FF0FB8">
        <w:rPr>
          <w:rFonts w:eastAsia="Times New Roman" w:cs="Times New Roman"/>
          <w:noProof/>
          <w:szCs w:val="24"/>
        </w:rPr>
        <w:t>FEFAC’s</w:t>
      </w:r>
      <w:r w:rsidR="00FF0FB8">
        <w:rPr>
          <w:rFonts w:eastAsia="Times New Roman" w:cs="Times New Roman"/>
          <w:noProof/>
          <w:szCs w:val="24"/>
        </w:rPr>
        <w:t xml:space="preserve"> </w:t>
      </w:r>
      <w:r w:rsidR="00FF0FB8" w:rsidRPr="00FF0FB8">
        <w:rPr>
          <w:rFonts w:eastAsia="Times New Roman" w:cs="Times New Roman"/>
          <w:noProof/>
          <w:szCs w:val="24"/>
        </w:rPr>
        <w:t>Soy Sourcing Guidelines include</w:t>
      </w:r>
      <w:r w:rsidR="00FF0FB8">
        <w:rPr>
          <w:rFonts w:eastAsia="Times New Roman" w:cs="Times New Roman"/>
          <w:noProof/>
          <w:szCs w:val="24"/>
        </w:rPr>
        <w:t>s</w:t>
      </w:r>
      <w:r w:rsidR="00FF0FB8" w:rsidRPr="00FF0FB8">
        <w:rPr>
          <w:rFonts w:eastAsia="Times New Roman" w:cs="Times New Roman"/>
          <w:noProof/>
          <w:szCs w:val="24"/>
        </w:rPr>
        <w:t xml:space="preserve"> a cut-off date of no later than 2020</w:t>
      </w:r>
      <w:r w:rsidR="00FF0FB8">
        <w:rPr>
          <w:rStyle w:val="FootnoteReference"/>
          <w:rFonts w:eastAsia="Times New Roman" w:cs="Times New Roman"/>
          <w:noProof/>
          <w:szCs w:val="24"/>
        </w:rPr>
        <w:footnoteReference w:id="85"/>
      </w:r>
      <w:r w:rsidR="00FF0FB8">
        <w:rPr>
          <w:rFonts w:eastAsia="Times New Roman" w:cs="Times New Roman"/>
          <w:noProof/>
          <w:szCs w:val="24"/>
        </w:rPr>
        <w:t>. The European Cocoa Association, in a letter addressed to the Commission, has defended 2018.</w:t>
      </w:r>
    </w:p>
    <w:p w14:paraId="5F7328DC" w14:textId="665EA14D" w:rsidR="00CC67B6" w:rsidRDefault="00CC67B6" w:rsidP="00FF0FB8">
      <w:pPr>
        <w:jc w:val="both"/>
        <w:rPr>
          <w:rFonts w:eastAsia="Times New Roman" w:cs="Times New Roman"/>
          <w:noProof/>
          <w:szCs w:val="24"/>
        </w:rPr>
      </w:pPr>
      <w:r>
        <w:rPr>
          <w:rFonts w:eastAsia="Times New Roman" w:cs="Times New Roman"/>
          <w:noProof/>
          <w:szCs w:val="24"/>
        </w:rPr>
        <w:t>Another factor to be taken into account is technology. Satellite monitoring tools, which are essential for monitoring, are improving rapidly — increasing the available resolution of their images and their capabilities —, especially in recent years. For instance, Global Forest Watch data is available since 2000 but the methodology has changed and improved since 2013 due to better technology</w:t>
      </w:r>
      <w:r>
        <w:rPr>
          <w:rStyle w:val="FootnoteReference"/>
          <w:rFonts w:eastAsia="Times New Roman" w:cs="Times New Roman"/>
          <w:noProof/>
          <w:szCs w:val="24"/>
        </w:rPr>
        <w:footnoteReference w:id="86"/>
      </w:r>
      <w:r>
        <w:rPr>
          <w:rFonts w:eastAsia="Times New Roman" w:cs="Times New Roman"/>
          <w:noProof/>
          <w:szCs w:val="24"/>
        </w:rPr>
        <w:t>.</w:t>
      </w:r>
      <w:r w:rsidR="004D4772">
        <w:rPr>
          <w:rFonts w:eastAsia="Times New Roman" w:cs="Times New Roman"/>
          <w:noProof/>
          <w:szCs w:val="24"/>
        </w:rPr>
        <w:t xml:space="preserve"> In this sense, the more recent the date, the more tools will be available to monitor </w:t>
      </w:r>
      <w:r w:rsidR="00DE19C8">
        <w:rPr>
          <w:rFonts w:eastAsia="Times New Roman" w:cs="Times New Roman"/>
          <w:noProof/>
          <w:szCs w:val="24"/>
        </w:rPr>
        <w:t>the implementation of the measures</w:t>
      </w:r>
      <w:r w:rsidR="004D4772">
        <w:rPr>
          <w:rFonts w:eastAsia="Times New Roman" w:cs="Times New Roman"/>
          <w:noProof/>
          <w:szCs w:val="24"/>
        </w:rPr>
        <w:t>.</w:t>
      </w:r>
    </w:p>
    <w:p w14:paraId="0EC445C5" w14:textId="74FF1A4C" w:rsidR="004D4772" w:rsidRDefault="002F3199" w:rsidP="00FA3B3A">
      <w:pPr>
        <w:jc w:val="both"/>
        <w:rPr>
          <w:rFonts w:eastAsia="Times New Roman" w:cs="Times New Roman"/>
          <w:noProof/>
          <w:szCs w:val="24"/>
        </w:rPr>
      </w:pPr>
      <w:r>
        <w:rPr>
          <w:rFonts w:eastAsia="Times New Roman" w:cs="Times New Roman"/>
          <w:noProof/>
          <w:szCs w:val="24"/>
        </w:rPr>
        <w:t xml:space="preserve">These factors and the conflicting proposals of different stakeholders were taken into account. Several potential dates were analysed. </w:t>
      </w:r>
      <w:r w:rsidR="00FF0FB8">
        <w:rPr>
          <w:rFonts w:eastAsia="Times New Roman" w:cs="Times New Roman"/>
          <w:noProof/>
          <w:szCs w:val="24"/>
        </w:rPr>
        <w:t xml:space="preserve">This impact assessment </w:t>
      </w:r>
      <w:r w:rsidR="004D4772">
        <w:rPr>
          <w:rFonts w:eastAsia="Times New Roman" w:cs="Times New Roman"/>
          <w:noProof/>
          <w:szCs w:val="24"/>
        </w:rPr>
        <w:t>considers 2020 as the preferable option</w:t>
      </w:r>
      <w:r w:rsidR="00D7246D">
        <w:rPr>
          <w:rFonts w:eastAsia="Times New Roman" w:cs="Times New Roman"/>
          <w:noProof/>
          <w:szCs w:val="24"/>
        </w:rPr>
        <w:t xml:space="preserve"> for a cut-off date</w:t>
      </w:r>
      <w:r w:rsidR="004D4772">
        <w:rPr>
          <w:rFonts w:eastAsia="Times New Roman" w:cs="Times New Roman"/>
          <w:noProof/>
          <w:szCs w:val="24"/>
        </w:rPr>
        <w:t>.</w:t>
      </w:r>
      <w:r w:rsidR="00D7246D">
        <w:rPr>
          <w:rFonts w:eastAsia="Times New Roman" w:cs="Times New Roman"/>
          <w:noProof/>
          <w:szCs w:val="24"/>
        </w:rPr>
        <w:t xml:space="preserve"> The </w:t>
      </w:r>
      <w:r w:rsidR="00282E59">
        <w:rPr>
          <w:rFonts w:eastAsia="Times New Roman" w:cs="Times New Roman"/>
          <w:noProof/>
          <w:szCs w:val="24"/>
        </w:rPr>
        <w:t>main</w:t>
      </w:r>
      <w:r w:rsidR="00D7246D">
        <w:rPr>
          <w:rFonts w:eastAsia="Times New Roman" w:cs="Times New Roman"/>
          <w:noProof/>
          <w:szCs w:val="24"/>
        </w:rPr>
        <w:t xml:space="preserve"> </w:t>
      </w:r>
      <w:r w:rsidR="00DE1318">
        <w:rPr>
          <w:rFonts w:eastAsia="Times New Roman" w:cs="Times New Roman"/>
          <w:noProof/>
          <w:szCs w:val="24"/>
        </w:rPr>
        <w:t>reasons are</w:t>
      </w:r>
      <w:r w:rsidR="00D7246D">
        <w:rPr>
          <w:rFonts w:eastAsia="Times New Roman" w:cs="Times New Roman"/>
          <w:noProof/>
          <w:szCs w:val="24"/>
        </w:rPr>
        <w:t>:</w:t>
      </w:r>
    </w:p>
    <w:p w14:paraId="72E9D7AB" w14:textId="575EEB9A" w:rsidR="00511775" w:rsidRDefault="00D7246D" w:rsidP="00D7246D">
      <w:pPr>
        <w:jc w:val="both"/>
        <w:rPr>
          <w:rFonts w:eastAsia="Times New Roman" w:cs="Times New Roman"/>
          <w:noProof/>
          <w:szCs w:val="24"/>
        </w:rPr>
      </w:pPr>
      <w:r>
        <w:rPr>
          <w:rFonts w:eastAsia="Times New Roman" w:cs="Times New Roman"/>
          <w:noProof/>
          <w:szCs w:val="24"/>
        </w:rPr>
        <w:t>1. It w</w:t>
      </w:r>
      <w:r w:rsidR="00282E59">
        <w:rPr>
          <w:rFonts w:eastAsia="Times New Roman" w:cs="Times New Roman"/>
          <w:noProof/>
          <w:szCs w:val="24"/>
        </w:rPr>
        <w:t>ould</w:t>
      </w:r>
      <w:r>
        <w:rPr>
          <w:rFonts w:eastAsia="Times New Roman" w:cs="Times New Roman"/>
          <w:noProof/>
          <w:szCs w:val="24"/>
        </w:rPr>
        <w:t xml:space="preserve"> align the cut-off date to the </w:t>
      </w:r>
      <w:r w:rsidR="00282E59" w:rsidRPr="00FA3B3A">
        <w:rPr>
          <w:rFonts w:eastAsia="Times New Roman" w:cs="Times New Roman"/>
          <w:noProof/>
          <w:szCs w:val="24"/>
        </w:rPr>
        <w:t>UN Sustainable Development Goals’</w:t>
      </w:r>
      <w:r w:rsidR="00282E59">
        <w:rPr>
          <w:rFonts w:eastAsia="Times New Roman" w:cs="Times New Roman"/>
          <w:noProof/>
          <w:szCs w:val="24"/>
        </w:rPr>
        <w:t xml:space="preserve">, </w:t>
      </w:r>
      <w:r w:rsidR="00C85BF8" w:rsidRPr="00C85BF8">
        <w:rPr>
          <w:rFonts w:eastAsia="Times New Roman" w:cs="Times New Roman"/>
          <w:noProof/>
          <w:szCs w:val="24"/>
        </w:rPr>
        <w:t xml:space="preserve">whereby </w:t>
      </w:r>
      <w:r w:rsidR="00E9301F" w:rsidRPr="00C85BF8">
        <w:rPr>
          <w:rFonts w:eastAsia="Times New Roman" w:cs="Times New Roman"/>
          <w:noProof/>
          <w:szCs w:val="24"/>
        </w:rPr>
        <w:t xml:space="preserve">countries around the world have committed </w:t>
      </w:r>
      <w:r w:rsidR="00282E59" w:rsidRPr="00C85BF8">
        <w:rPr>
          <w:rFonts w:eastAsia="Times New Roman" w:cs="Times New Roman"/>
          <w:noProof/>
          <w:szCs w:val="24"/>
        </w:rPr>
        <w:t>to halt</w:t>
      </w:r>
      <w:r w:rsidR="00E9301F" w:rsidRPr="00C85BF8">
        <w:rPr>
          <w:rFonts w:eastAsia="Times New Roman" w:cs="Times New Roman"/>
          <w:noProof/>
          <w:szCs w:val="24"/>
        </w:rPr>
        <w:t>ing</w:t>
      </w:r>
      <w:r w:rsidR="00282E59">
        <w:rPr>
          <w:rFonts w:eastAsia="Times New Roman" w:cs="Times New Roman"/>
          <w:noProof/>
          <w:szCs w:val="24"/>
        </w:rPr>
        <w:t xml:space="preserve"> deforestation by</w:t>
      </w:r>
      <w:r w:rsidR="00282E59" w:rsidRPr="00FA3B3A">
        <w:rPr>
          <w:rFonts w:eastAsia="Times New Roman" w:cs="Times New Roman"/>
          <w:noProof/>
          <w:szCs w:val="24"/>
        </w:rPr>
        <w:t xml:space="preserve"> 2020</w:t>
      </w:r>
      <w:r w:rsidR="00282E59">
        <w:rPr>
          <w:rStyle w:val="FootnoteReference"/>
          <w:rFonts w:eastAsia="Times New Roman" w:cs="Times New Roman"/>
          <w:noProof/>
          <w:szCs w:val="24"/>
        </w:rPr>
        <w:footnoteReference w:id="87"/>
      </w:r>
      <w:r w:rsidR="00DE1318">
        <w:rPr>
          <w:rFonts w:eastAsia="Times New Roman" w:cs="Times New Roman"/>
          <w:noProof/>
          <w:szCs w:val="24"/>
        </w:rPr>
        <w:t xml:space="preserve">, </w:t>
      </w:r>
      <w:r w:rsidR="00282E59">
        <w:rPr>
          <w:rFonts w:eastAsia="Times New Roman" w:cs="Times New Roman"/>
          <w:noProof/>
          <w:szCs w:val="24"/>
        </w:rPr>
        <w:t xml:space="preserve">and </w:t>
      </w:r>
      <w:r>
        <w:rPr>
          <w:rFonts w:eastAsia="Times New Roman" w:cs="Times New Roman"/>
          <w:noProof/>
          <w:szCs w:val="24"/>
        </w:rPr>
        <w:t xml:space="preserve"> the </w:t>
      </w:r>
      <w:r w:rsidR="00FA3B3A" w:rsidRPr="00FA3B3A">
        <w:rPr>
          <w:rFonts w:eastAsia="Times New Roman" w:cs="Times New Roman"/>
          <w:noProof/>
          <w:szCs w:val="24"/>
        </w:rPr>
        <w:t>New York Declaration on Forests</w:t>
      </w:r>
      <w:r w:rsidR="00511775">
        <w:rPr>
          <w:rFonts w:eastAsia="Times New Roman" w:cs="Times New Roman"/>
          <w:noProof/>
          <w:szCs w:val="24"/>
        </w:rPr>
        <w:t>, aiming at</w:t>
      </w:r>
      <w:r>
        <w:rPr>
          <w:rFonts w:eastAsia="Times New Roman" w:cs="Times New Roman"/>
          <w:noProof/>
          <w:szCs w:val="24"/>
        </w:rPr>
        <w:t xml:space="preserve"> </w:t>
      </w:r>
      <w:r w:rsidRPr="00D7246D">
        <w:rPr>
          <w:rFonts w:eastAsia="Times New Roman" w:cs="Times New Roman"/>
          <w:noProof/>
          <w:szCs w:val="24"/>
        </w:rPr>
        <w:t>cut</w:t>
      </w:r>
      <w:r w:rsidR="00511775">
        <w:rPr>
          <w:rFonts w:eastAsia="Times New Roman" w:cs="Times New Roman"/>
          <w:noProof/>
          <w:szCs w:val="24"/>
        </w:rPr>
        <w:t>ting</w:t>
      </w:r>
      <w:r w:rsidRPr="00D7246D">
        <w:rPr>
          <w:rFonts w:eastAsia="Times New Roman" w:cs="Times New Roman"/>
          <w:noProof/>
          <w:szCs w:val="24"/>
        </w:rPr>
        <w:t xml:space="preserve"> natural</w:t>
      </w:r>
      <w:r>
        <w:rPr>
          <w:rFonts w:eastAsia="Times New Roman" w:cs="Times New Roman"/>
          <w:noProof/>
          <w:szCs w:val="24"/>
        </w:rPr>
        <w:t xml:space="preserve"> </w:t>
      </w:r>
      <w:r w:rsidRPr="00D7246D">
        <w:rPr>
          <w:rFonts w:eastAsia="Times New Roman" w:cs="Times New Roman"/>
          <w:noProof/>
          <w:szCs w:val="24"/>
        </w:rPr>
        <w:t xml:space="preserve">forest loss </w:t>
      </w:r>
      <w:r w:rsidR="00511775">
        <w:rPr>
          <w:rFonts w:eastAsia="Times New Roman" w:cs="Times New Roman"/>
          <w:noProof/>
          <w:szCs w:val="24"/>
        </w:rPr>
        <w:t>by</w:t>
      </w:r>
      <w:r w:rsidRPr="00D7246D">
        <w:rPr>
          <w:rFonts w:eastAsia="Times New Roman" w:cs="Times New Roman"/>
          <w:noProof/>
          <w:szCs w:val="24"/>
        </w:rPr>
        <w:t xml:space="preserve"> half by 2020</w:t>
      </w:r>
      <w:r w:rsidR="00511775">
        <w:rPr>
          <w:rStyle w:val="FootnoteReference"/>
          <w:rFonts w:eastAsia="Times New Roman" w:cs="Times New Roman"/>
          <w:noProof/>
          <w:szCs w:val="24"/>
        </w:rPr>
        <w:footnoteReference w:id="88"/>
      </w:r>
      <w:r w:rsidR="00FA3B3A" w:rsidRPr="00FA3B3A">
        <w:rPr>
          <w:rFonts w:eastAsia="Times New Roman" w:cs="Times New Roman"/>
          <w:noProof/>
          <w:szCs w:val="24"/>
        </w:rPr>
        <w:t xml:space="preserve">. </w:t>
      </w:r>
    </w:p>
    <w:p w14:paraId="6C9608BC" w14:textId="197F9391" w:rsidR="000A0A75" w:rsidRDefault="00511775" w:rsidP="00D7246D">
      <w:pPr>
        <w:jc w:val="both"/>
        <w:rPr>
          <w:rFonts w:eastAsia="Times New Roman" w:cs="Times New Roman"/>
          <w:noProof/>
          <w:szCs w:val="24"/>
        </w:rPr>
      </w:pPr>
      <w:r>
        <w:rPr>
          <w:rFonts w:eastAsia="Times New Roman" w:cs="Times New Roman"/>
          <w:noProof/>
          <w:szCs w:val="24"/>
        </w:rPr>
        <w:t xml:space="preserve">2. </w:t>
      </w:r>
      <w:r w:rsidR="000A0A75">
        <w:rPr>
          <w:rFonts w:eastAsia="Times New Roman" w:cs="Times New Roman"/>
          <w:noProof/>
          <w:szCs w:val="24"/>
        </w:rPr>
        <w:t xml:space="preserve">It </w:t>
      </w:r>
      <w:r w:rsidR="00282E59">
        <w:rPr>
          <w:rFonts w:eastAsia="Times New Roman" w:cs="Times New Roman"/>
          <w:noProof/>
          <w:szCs w:val="24"/>
        </w:rPr>
        <w:t>will</w:t>
      </w:r>
      <w:r w:rsidR="000A0A75">
        <w:rPr>
          <w:rFonts w:eastAsia="Times New Roman" w:cs="Times New Roman"/>
          <w:noProof/>
          <w:szCs w:val="24"/>
        </w:rPr>
        <w:t xml:space="preserve"> mitigate potential</w:t>
      </w:r>
      <w:r w:rsidR="00AA5544">
        <w:rPr>
          <w:rFonts w:eastAsia="Times New Roman" w:cs="Times New Roman"/>
          <w:noProof/>
          <w:szCs w:val="24"/>
        </w:rPr>
        <w:t>ly</w:t>
      </w:r>
      <w:r w:rsidR="000A0A75">
        <w:rPr>
          <w:rFonts w:eastAsia="Times New Roman" w:cs="Times New Roman"/>
          <w:noProof/>
          <w:szCs w:val="24"/>
        </w:rPr>
        <w:t xml:space="preserve"> negative social and economic impacts in partner countries, limiting the amount of smallholders that would be caught working on land whose products cannot be sold to the EU, and ensuring that nearly all current commodity production from </w:t>
      </w:r>
      <w:r w:rsidR="00282E59">
        <w:rPr>
          <w:rFonts w:eastAsia="Times New Roman" w:cs="Times New Roman"/>
          <w:noProof/>
          <w:szCs w:val="24"/>
        </w:rPr>
        <w:t>producing</w:t>
      </w:r>
      <w:r w:rsidR="000A0A75">
        <w:rPr>
          <w:rFonts w:eastAsia="Times New Roman" w:cs="Times New Roman"/>
          <w:noProof/>
          <w:szCs w:val="24"/>
        </w:rPr>
        <w:t xml:space="preserve"> countries can still make the cut.</w:t>
      </w:r>
    </w:p>
    <w:p w14:paraId="40FB795A" w14:textId="67CA186E" w:rsidR="000A0A75" w:rsidRDefault="000A0A75" w:rsidP="00D7246D">
      <w:pPr>
        <w:jc w:val="both"/>
        <w:rPr>
          <w:rFonts w:eastAsia="Times New Roman" w:cs="Times New Roman"/>
          <w:noProof/>
          <w:szCs w:val="24"/>
        </w:rPr>
      </w:pPr>
      <w:r>
        <w:rPr>
          <w:rFonts w:eastAsia="Times New Roman" w:cs="Times New Roman"/>
          <w:noProof/>
          <w:szCs w:val="24"/>
        </w:rPr>
        <w:t xml:space="preserve">3. It would </w:t>
      </w:r>
      <w:r w:rsidRPr="000A0A75">
        <w:rPr>
          <w:rFonts w:eastAsia="Times New Roman" w:cs="Times New Roman"/>
          <w:noProof/>
          <w:szCs w:val="24"/>
        </w:rPr>
        <w:t>moderate the immediate costs for operators</w:t>
      </w:r>
      <w:r>
        <w:rPr>
          <w:rFonts w:eastAsia="Times New Roman" w:cs="Times New Roman"/>
          <w:noProof/>
          <w:szCs w:val="24"/>
        </w:rPr>
        <w:t xml:space="preserve">, reducing </w:t>
      </w:r>
      <w:r w:rsidRPr="000A0A75">
        <w:rPr>
          <w:rFonts w:eastAsia="Times New Roman" w:cs="Times New Roman"/>
          <w:noProof/>
          <w:szCs w:val="24"/>
        </w:rPr>
        <w:t>the administrative and financial burden related to compliance</w:t>
      </w:r>
      <w:r w:rsidR="00A93CE5">
        <w:rPr>
          <w:rFonts w:eastAsia="Times New Roman" w:cs="Times New Roman"/>
          <w:noProof/>
          <w:szCs w:val="24"/>
        </w:rPr>
        <w:t>,</w:t>
      </w:r>
      <w:r w:rsidRPr="000A0A75">
        <w:rPr>
          <w:rFonts w:eastAsia="Times New Roman" w:cs="Times New Roman"/>
          <w:noProof/>
          <w:szCs w:val="24"/>
        </w:rPr>
        <w:t xml:space="preserve"> as most products currently in trade would be sourced from land put into production prior to 2020, providing time for operators to adapt.</w:t>
      </w:r>
    </w:p>
    <w:p w14:paraId="65477C86" w14:textId="1759EC7D" w:rsidR="001B3194" w:rsidRDefault="001B3194" w:rsidP="00D7246D">
      <w:pPr>
        <w:jc w:val="both"/>
        <w:rPr>
          <w:rFonts w:eastAsia="Times New Roman" w:cs="Times New Roman"/>
          <w:noProof/>
          <w:szCs w:val="24"/>
        </w:rPr>
      </w:pPr>
      <w:r>
        <w:rPr>
          <w:rFonts w:eastAsia="Times New Roman" w:cs="Times New Roman"/>
          <w:noProof/>
          <w:szCs w:val="24"/>
        </w:rPr>
        <w:t xml:space="preserve">4. It </w:t>
      </w:r>
      <w:r w:rsidRPr="001B3194">
        <w:rPr>
          <w:rFonts w:eastAsia="Times New Roman" w:cs="Times New Roman"/>
          <w:noProof/>
          <w:szCs w:val="24"/>
        </w:rPr>
        <w:t>would reduce the likelihood of supply difficulties</w:t>
      </w:r>
      <w:r>
        <w:rPr>
          <w:rFonts w:eastAsia="Times New Roman" w:cs="Times New Roman"/>
          <w:noProof/>
          <w:szCs w:val="24"/>
        </w:rPr>
        <w:t xml:space="preserve">, </w:t>
      </w:r>
      <w:r w:rsidRPr="001B3194">
        <w:rPr>
          <w:rFonts w:eastAsia="Times New Roman" w:cs="Times New Roman"/>
          <w:noProof/>
          <w:szCs w:val="24"/>
        </w:rPr>
        <w:t>commodity shortages</w:t>
      </w:r>
      <w:r>
        <w:rPr>
          <w:rFonts w:eastAsia="Times New Roman" w:cs="Times New Roman"/>
          <w:noProof/>
          <w:szCs w:val="24"/>
        </w:rPr>
        <w:t xml:space="preserve"> or sudden price changes</w:t>
      </w:r>
      <w:r w:rsidRPr="001B3194">
        <w:rPr>
          <w:rFonts w:eastAsia="Times New Roman" w:cs="Times New Roman"/>
          <w:noProof/>
          <w:szCs w:val="24"/>
        </w:rPr>
        <w:t xml:space="preserve">. </w:t>
      </w:r>
      <w:r>
        <w:rPr>
          <w:rFonts w:eastAsia="Times New Roman" w:cs="Times New Roman"/>
          <w:noProof/>
          <w:szCs w:val="24"/>
        </w:rPr>
        <w:t>F</w:t>
      </w:r>
      <w:r w:rsidRPr="001B3194">
        <w:rPr>
          <w:rFonts w:eastAsia="Times New Roman" w:cs="Times New Roman"/>
          <w:noProof/>
          <w:szCs w:val="24"/>
        </w:rPr>
        <w:t>or five of the six relevant commodities (beef, coffee, soy, palm oil and cocoa), the majority of EU imports are from a small number of producer countries</w:t>
      </w:r>
      <w:r w:rsidR="00B23B7F">
        <w:rPr>
          <w:rFonts w:eastAsia="Times New Roman" w:cs="Times New Roman"/>
          <w:noProof/>
          <w:szCs w:val="24"/>
        </w:rPr>
        <w:t>.</w:t>
      </w:r>
      <w:r w:rsidRPr="001B3194">
        <w:rPr>
          <w:rFonts w:eastAsia="Times New Roman" w:cs="Times New Roman"/>
          <w:noProof/>
          <w:szCs w:val="24"/>
        </w:rPr>
        <w:t xml:space="preserve"> </w:t>
      </w:r>
    </w:p>
    <w:p w14:paraId="0A1FAACC" w14:textId="543AC859" w:rsidR="00284A26" w:rsidRDefault="00284A26" w:rsidP="00284A26">
      <w:pPr>
        <w:jc w:val="both"/>
        <w:rPr>
          <w:rFonts w:eastAsia="Times New Roman" w:cs="Times New Roman"/>
          <w:noProof/>
          <w:szCs w:val="24"/>
        </w:rPr>
      </w:pPr>
      <w:r>
        <w:rPr>
          <w:rFonts w:eastAsia="Times New Roman" w:cs="Times New Roman"/>
          <w:noProof/>
          <w:szCs w:val="24"/>
        </w:rPr>
        <w:t>5. It ensures widespread availability of modern monitoring tools.</w:t>
      </w:r>
    </w:p>
    <w:p w14:paraId="0F894C6F" w14:textId="2BE5A45D" w:rsidR="00564121" w:rsidRDefault="00282E59" w:rsidP="003C24B3">
      <w:pPr>
        <w:jc w:val="both"/>
        <w:rPr>
          <w:rFonts w:eastAsia="Times New Roman" w:cs="Times New Roman"/>
          <w:noProof/>
          <w:szCs w:val="24"/>
        </w:rPr>
      </w:pPr>
      <w:r>
        <w:rPr>
          <w:rFonts w:eastAsia="Times New Roman" w:cs="Times New Roman"/>
          <w:noProof/>
          <w:szCs w:val="24"/>
        </w:rPr>
        <w:t>6</w:t>
      </w:r>
      <w:r w:rsidR="00284A26">
        <w:rPr>
          <w:rFonts w:eastAsia="Times New Roman" w:cs="Times New Roman"/>
          <w:noProof/>
          <w:szCs w:val="24"/>
        </w:rPr>
        <w:t xml:space="preserve">. </w:t>
      </w:r>
      <w:r w:rsidR="00511775">
        <w:rPr>
          <w:rFonts w:eastAsia="Times New Roman" w:cs="Times New Roman"/>
          <w:noProof/>
          <w:szCs w:val="24"/>
        </w:rPr>
        <w:t xml:space="preserve">It will match the main objective of this initiative, which is to halt EU-driven deforestation. Resorting to a date in the past will not bring pristine forests </w:t>
      </w:r>
      <w:r w:rsidR="00E95D97">
        <w:rPr>
          <w:rFonts w:eastAsia="Times New Roman" w:cs="Times New Roman"/>
          <w:noProof/>
          <w:szCs w:val="24"/>
        </w:rPr>
        <w:t xml:space="preserve">back </w:t>
      </w:r>
      <w:r w:rsidR="00511775">
        <w:rPr>
          <w:rFonts w:eastAsia="Times New Roman" w:cs="Times New Roman"/>
          <w:noProof/>
          <w:szCs w:val="24"/>
        </w:rPr>
        <w:t>to their previous state. Other initiatives, both at the EU and global level, deal with afforestation and reforestation efforts.</w:t>
      </w:r>
    </w:p>
    <w:p w14:paraId="23DF5C5A" w14:textId="7DE97A79" w:rsidR="000C6A53" w:rsidDel="00284A26" w:rsidRDefault="000C6A53" w:rsidP="003C24B3">
      <w:pPr>
        <w:jc w:val="both"/>
        <w:rPr>
          <w:rFonts w:eastAsia="Times New Roman" w:cs="Times New Roman"/>
          <w:noProof/>
          <w:szCs w:val="24"/>
        </w:rPr>
      </w:pPr>
      <w:r>
        <w:rPr>
          <w:rFonts w:eastAsia="Times New Roman" w:cs="Times New Roman"/>
          <w:noProof/>
          <w:szCs w:val="24"/>
        </w:rPr>
        <w:t xml:space="preserve">Several other options were </w:t>
      </w:r>
      <w:r w:rsidR="00353D0F">
        <w:rPr>
          <w:rFonts w:eastAsia="Times New Roman" w:cs="Times New Roman"/>
          <w:noProof/>
          <w:szCs w:val="24"/>
        </w:rPr>
        <w:t xml:space="preserve">considered in particular a cut-off date by </w:t>
      </w:r>
      <w:r w:rsidR="00277F7A">
        <w:rPr>
          <w:rFonts w:eastAsia="Times New Roman" w:cs="Times New Roman"/>
          <w:noProof/>
          <w:szCs w:val="24"/>
        </w:rPr>
        <w:t xml:space="preserve">2015, </w:t>
      </w:r>
      <w:r w:rsidR="00353D0F">
        <w:rPr>
          <w:rFonts w:eastAsia="Times New Roman" w:cs="Times New Roman"/>
          <w:noProof/>
          <w:szCs w:val="24"/>
        </w:rPr>
        <w:t xml:space="preserve">as </w:t>
      </w:r>
      <w:r w:rsidR="00277F7A">
        <w:rPr>
          <w:rFonts w:eastAsia="Times New Roman" w:cs="Times New Roman"/>
          <w:noProof/>
          <w:szCs w:val="24"/>
        </w:rPr>
        <w:t xml:space="preserve">suggested by the European Parliament. This was </w:t>
      </w:r>
      <w:r w:rsidR="00150791">
        <w:rPr>
          <w:rFonts w:eastAsia="Times New Roman" w:cs="Times New Roman"/>
          <w:noProof/>
          <w:szCs w:val="24"/>
        </w:rPr>
        <w:t xml:space="preserve">not taken up as </w:t>
      </w:r>
      <w:r w:rsidR="00277F7A">
        <w:rPr>
          <w:rFonts w:eastAsia="Times New Roman" w:cs="Times New Roman"/>
          <w:noProof/>
          <w:szCs w:val="24"/>
        </w:rPr>
        <w:t xml:space="preserve">the </w:t>
      </w:r>
      <w:r w:rsidR="00150791">
        <w:rPr>
          <w:rFonts w:eastAsia="Times New Roman" w:cs="Times New Roman"/>
          <w:noProof/>
          <w:szCs w:val="24"/>
        </w:rPr>
        <w:t xml:space="preserve">main </w:t>
      </w:r>
      <w:r w:rsidR="00841C68">
        <w:rPr>
          <w:rFonts w:eastAsia="Times New Roman" w:cs="Times New Roman"/>
          <w:noProof/>
          <w:szCs w:val="24"/>
        </w:rPr>
        <w:t>advantages linked</w:t>
      </w:r>
      <w:r w:rsidR="00150791">
        <w:rPr>
          <w:rFonts w:eastAsia="Times New Roman" w:cs="Times New Roman"/>
          <w:noProof/>
          <w:szCs w:val="24"/>
        </w:rPr>
        <w:t xml:space="preserve"> to </w:t>
      </w:r>
      <w:r w:rsidR="00277F7A">
        <w:rPr>
          <w:rFonts w:eastAsia="Times New Roman" w:cs="Times New Roman"/>
          <w:noProof/>
          <w:szCs w:val="24"/>
        </w:rPr>
        <w:t xml:space="preserve">a cut-off </w:t>
      </w:r>
      <w:r w:rsidR="00150791">
        <w:rPr>
          <w:rFonts w:eastAsia="Times New Roman" w:cs="Times New Roman"/>
          <w:noProof/>
          <w:szCs w:val="24"/>
        </w:rPr>
        <w:t xml:space="preserve">date </w:t>
      </w:r>
      <w:r w:rsidR="00277F7A">
        <w:rPr>
          <w:rFonts w:eastAsia="Times New Roman" w:cs="Times New Roman"/>
          <w:noProof/>
          <w:szCs w:val="24"/>
        </w:rPr>
        <w:t xml:space="preserve">of 2020 would not be achieved, namely: a) 2015 would </w:t>
      </w:r>
      <w:r w:rsidR="00150791">
        <w:rPr>
          <w:rFonts w:eastAsia="Times New Roman" w:cs="Times New Roman"/>
          <w:noProof/>
          <w:szCs w:val="24"/>
        </w:rPr>
        <w:t xml:space="preserve">not be </w:t>
      </w:r>
      <w:r w:rsidR="00BF5002">
        <w:rPr>
          <w:rFonts w:eastAsia="Times New Roman" w:cs="Times New Roman"/>
          <w:noProof/>
          <w:szCs w:val="24"/>
        </w:rPr>
        <w:t>firmly anchored</w:t>
      </w:r>
      <w:r w:rsidR="00841C68">
        <w:rPr>
          <w:rFonts w:eastAsia="Times New Roman" w:cs="Times New Roman"/>
          <w:noProof/>
          <w:szCs w:val="24"/>
        </w:rPr>
        <w:t xml:space="preserve"> </w:t>
      </w:r>
      <w:r w:rsidR="00150791">
        <w:rPr>
          <w:rFonts w:eastAsia="Times New Roman" w:cs="Times New Roman"/>
          <w:noProof/>
          <w:szCs w:val="24"/>
        </w:rPr>
        <w:t xml:space="preserve">in </w:t>
      </w:r>
      <w:r w:rsidR="00277F7A">
        <w:rPr>
          <w:rFonts w:eastAsia="Times New Roman" w:cs="Times New Roman"/>
          <w:noProof/>
          <w:szCs w:val="24"/>
        </w:rPr>
        <w:t xml:space="preserve">the Sustainable Development Goals and the New York Declaration on Forests; b) </w:t>
      </w:r>
      <w:r w:rsidR="00E7608D">
        <w:rPr>
          <w:rFonts w:eastAsia="Times New Roman" w:cs="Times New Roman"/>
          <w:noProof/>
          <w:szCs w:val="24"/>
        </w:rPr>
        <w:t>the available monitoring tools would be more limited than for 2020</w:t>
      </w:r>
      <w:r w:rsidR="00E7608D">
        <w:rPr>
          <w:rStyle w:val="FootnoteReference"/>
          <w:rFonts w:eastAsia="Times New Roman" w:cs="Times New Roman"/>
          <w:noProof/>
          <w:szCs w:val="24"/>
        </w:rPr>
        <w:footnoteReference w:id="89"/>
      </w:r>
      <w:r w:rsidR="00E7608D">
        <w:rPr>
          <w:rFonts w:eastAsia="Times New Roman" w:cs="Times New Roman"/>
          <w:noProof/>
          <w:szCs w:val="24"/>
        </w:rPr>
        <w:t>; c) it would increase the potential problems for smallholders in third countries, as well as the likelihood of supply disruption</w:t>
      </w:r>
      <w:r w:rsidR="00150791">
        <w:rPr>
          <w:rFonts w:eastAsia="Times New Roman" w:cs="Times New Roman"/>
          <w:noProof/>
          <w:szCs w:val="24"/>
        </w:rPr>
        <w:t>s</w:t>
      </w:r>
      <w:r w:rsidR="00E7608D">
        <w:rPr>
          <w:rFonts w:eastAsia="Times New Roman" w:cs="Times New Roman"/>
          <w:noProof/>
          <w:szCs w:val="24"/>
        </w:rPr>
        <w:t>.</w:t>
      </w:r>
      <w:r w:rsidR="008501BB">
        <w:rPr>
          <w:rFonts w:eastAsia="Times New Roman" w:cs="Times New Roman"/>
          <w:noProof/>
          <w:szCs w:val="24"/>
        </w:rPr>
        <w:t xml:space="preserve"> </w:t>
      </w:r>
      <w:r w:rsidR="00150791">
        <w:rPr>
          <w:rFonts w:eastAsia="Times New Roman" w:cs="Times New Roman"/>
          <w:noProof/>
          <w:szCs w:val="24"/>
        </w:rPr>
        <w:t xml:space="preserve">The same reasons applied </w:t>
      </w:r>
      <w:r w:rsidR="00154DCB">
        <w:rPr>
          <w:rFonts w:eastAsia="Times New Roman" w:cs="Times New Roman"/>
          <w:noProof/>
          <w:szCs w:val="24"/>
        </w:rPr>
        <w:t>to</w:t>
      </w:r>
      <w:r w:rsidR="00150791">
        <w:rPr>
          <w:rFonts w:eastAsia="Times New Roman" w:cs="Times New Roman"/>
          <w:noProof/>
          <w:szCs w:val="24"/>
        </w:rPr>
        <w:t xml:space="preserve"> other possible dates such </w:t>
      </w:r>
      <w:r w:rsidR="00BF5002">
        <w:rPr>
          <w:rFonts w:eastAsia="Times New Roman" w:cs="Times New Roman"/>
          <w:noProof/>
          <w:szCs w:val="24"/>
        </w:rPr>
        <w:t>as 2008</w:t>
      </w:r>
      <w:r w:rsidR="008501BB">
        <w:rPr>
          <w:rFonts w:eastAsia="Times New Roman" w:cs="Times New Roman"/>
          <w:noProof/>
          <w:szCs w:val="24"/>
        </w:rPr>
        <w:t xml:space="preserve">, used in the </w:t>
      </w:r>
      <w:r w:rsidR="008501BB" w:rsidRPr="008501BB">
        <w:rPr>
          <w:rFonts w:eastAsia="Times New Roman" w:cs="Times New Roman"/>
          <w:noProof/>
          <w:szCs w:val="24"/>
        </w:rPr>
        <w:t>Renewable Energy Directive</w:t>
      </w:r>
      <w:r w:rsidR="008501BB">
        <w:rPr>
          <w:rFonts w:eastAsia="Times New Roman" w:cs="Times New Roman"/>
          <w:noProof/>
          <w:szCs w:val="24"/>
        </w:rPr>
        <w:t xml:space="preserve">. </w:t>
      </w:r>
      <w:r w:rsidR="00150791">
        <w:rPr>
          <w:rFonts w:eastAsia="Times New Roman" w:cs="Times New Roman"/>
          <w:noProof/>
          <w:szCs w:val="24"/>
        </w:rPr>
        <w:t xml:space="preserve">The negative effects would be even more </w:t>
      </w:r>
      <w:r w:rsidR="00BF5002">
        <w:rPr>
          <w:rFonts w:eastAsia="Times New Roman" w:cs="Times New Roman"/>
          <w:noProof/>
          <w:szCs w:val="24"/>
        </w:rPr>
        <w:t>pronounced,</w:t>
      </w:r>
      <w:r w:rsidR="008501BB">
        <w:rPr>
          <w:rFonts w:eastAsia="Times New Roman" w:cs="Times New Roman"/>
          <w:noProof/>
          <w:szCs w:val="24"/>
        </w:rPr>
        <w:t xml:space="preserve"> with fewer tools available to accurately and remotely monitor deforestation by 2008 and a higher risk of supply chain disruption and potential negative impacts in producing countries.</w:t>
      </w:r>
    </w:p>
    <w:p w14:paraId="66D98F0B" w14:textId="3F889E53" w:rsidR="00FE7A6C" w:rsidRPr="007C1494" w:rsidRDefault="00335526" w:rsidP="00335526">
      <w:pPr>
        <w:pStyle w:val="Heading1"/>
        <w:rPr>
          <w:noProof/>
        </w:rPr>
      </w:pPr>
      <w:bookmarkStart w:id="93" w:name="_Toc481484471"/>
      <w:bookmarkStart w:id="94" w:name="_Toc67074988"/>
      <w:bookmarkStart w:id="95" w:name="_Toc75542183"/>
      <w:bookmarkStart w:id="96" w:name="_Toc75543216"/>
      <w:bookmarkStart w:id="97" w:name="_Toc84591904"/>
      <w:r w:rsidRPr="00335526">
        <w:t>5</w:t>
      </w:r>
      <w:r w:rsidRPr="00335526">
        <w:tab/>
      </w:r>
      <w:r w:rsidR="00244E6A" w:rsidRPr="007C1494">
        <w:rPr>
          <w:noProof/>
        </w:rPr>
        <w:t>What are the available policy options?</w:t>
      </w:r>
      <w:bookmarkEnd w:id="93"/>
      <w:bookmarkEnd w:id="94"/>
      <w:bookmarkEnd w:id="95"/>
      <w:bookmarkEnd w:id="96"/>
      <w:bookmarkEnd w:id="97"/>
    </w:p>
    <w:p w14:paraId="2F849153" w14:textId="715E08E8" w:rsidR="0028370C" w:rsidRPr="007C1494" w:rsidRDefault="00335526" w:rsidP="00335526">
      <w:pPr>
        <w:pStyle w:val="Heading2"/>
        <w:rPr>
          <w:noProof/>
        </w:rPr>
      </w:pPr>
      <w:bookmarkStart w:id="98" w:name="_Toc75542184"/>
      <w:bookmarkStart w:id="99" w:name="_Toc75543217"/>
      <w:bookmarkStart w:id="100" w:name="_Toc84591905"/>
      <w:bookmarkStart w:id="101" w:name="_Toc67074989"/>
      <w:bookmarkStart w:id="102" w:name="_Toc481484472"/>
      <w:r w:rsidRPr="00335526">
        <w:t>5.1</w:t>
      </w:r>
      <w:r w:rsidRPr="00335526">
        <w:tab/>
      </w:r>
      <w:r w:rsidR="00CB3BAC">
        <w:rPr>
          <w:noProof/>
        </w:rPr>
        <w:t xml:space="preserve">Product </w:t>
      </w:r>
      <w:r w:rsidR="004C7105">
        <w:rPr>
          <w:noProof/>
        </w:rPr>
        <w:t>S</w:t>
      </w:r>
      <w:r w:rsidR="0028370C" w:rsidRPr="007C1494">
        <w:rPr>
          <w:noProof/>
        </w:rPr>
        <w:t>cope</w:t>
      </w:r>
      <w:bookmarkEnd w:id="98"/>
      <w:bookmarkEnd w:id="99"/>
      <w:bookmarkEnd w:id="100"/>
      <w:r w:rsidR="0028370C" w:rsidRPr="007C1494">
        <w:rPr>
          <w:noProof/>
        </w:rPr>
        <w:t xml:space="preserve"> </w:t>
      </w:r>
      <w:bookmarkEnd w:id="101"/>
    </w:p>
    <w:p w14:paraId="4FBB8F15" w14:textId="1B78CCD9" w:rsidR="00903CB3" w:rsidRDefault="00150791" w:rsidP="001876EA">
      <w:pPr>
        <w:jc w:val="both"/>
        <w:rPr>
          <w:rFonts w:cs="Times New Roman"/>
          <w:noProof/>
          <w:szCs w:val="24"/>
        </w:rPr>
      </w:pPr>
      <w:r>
        <w:rPr>
          <w:rFonts w:cs="Times New Roman"/>
          <w:noProof/>
          <w:szCs w:val="24"/>
        </w:rPr>
        <w:t>For</w:t>
      </w:r>
      <w:r w:rsidR="0028370C" w:rsidRPr="007C1494">
        <w:rPr>
          <w:rFonts w:cs="Times New Roman"/>
          <w:noProof/>
          <w:szCs w:val="24"/>
        </w:rPr>
        <w:t xml:space="preserve"> the definition </w:t>
      </w:r>
      <w:r w:rsidR="000448D3" w:rsidRPr="007C1494">
        <w:rPr>
          <w:rFonts w:cs="Times New Roman"/>
          <w:noProof/>
          <w:szCs w:val="24"/>
        </w:rPr>
        <w:t xml:space="preserve">and the assessment of impacts </w:t>
      </w:r>
      <w:r w:rsidR="0028370C" w:rsidRPr="007C1494">
        <w:rPr>
          <w:rFonts w:cs="Times New Roman"/>
          <w:noProof/>
          <w:szCs w:val="24"/>
        </w:rPr>
        <w:t xml:space="preserve">of policy options, it is essential to identify the commodities and </w:t>
      </w:r>
      <w:r>
        <w:rPr>
          <w:rFonts w:cs="Times New Roman"/>
          <w:noProof/>
          <w:szCs w:val="24"/>
        </w:rPr>
        <w:t xml:space="preserve">derived </w:t>
      </w:r>
      <w:r w:rsidR="0028370C" w:rsidRPr="007C1494">
        <w:rPr>
          <w:rFonts w:cs="Times New Roman"/>
          <w:noProof/>
          <w:szCs w:val="24"/>
        </w:rPr>
        <w:t xml:space="preserve">products falling under </w:t>
      </w:r>
      <w:r w:rsidR="00DF0D07" w:rsidRPr="007C1494">
        <w:rPr>
          <w:rFonts w:cs="Times New Roman"/>
          <w:noProof/>
          <w:szCs w:val="24"/>
        </w:rPr>
        <w:t>the scope of this initiative</w:t>
      </w:r>
      <w:r w:rsidR="0028370C" w:rsidRPr="007C1494">
        <w:rPr>
          <w:rFonts w:cs="Times New Roman"/>
          <w:noProof/>
          <w:szCs w:val="24"/>
        </w:rPr>
        <w:t>.</w:t>
      </w:r>
      <w:r w:rsidR="00CB3BAC">
        <w:rPr>
          <w:rFonts w:cs="Times New Roman"/>
          <w:noProof/>
          <w:szCs w:val="24"/>
        </w:rPr>
        <w:t xml:space="preserve"> </w:t>
      </w:r>
      <w:r>
        <w:rPr>
          <w:rFonts w:cs="Times New Roman"/>
          <w:noProof/>
          <w:szCs w:val="24"/>
        </w:rPr>
        <w:t>The</w:t>
      </w:r>
      <w:r w:rsidR="00CB3BAC">
        <w:rPr>
          <w:rFonts w:cs="Times New Roman"/>
          <w:noProof/>
          <w:szCs w:val="24"/>
        </w:rPr>
        <w:t xml:space="preserve"> range of </w:t>
      </w:r>
      <w:r>
        <w:rPr>
          <w:rFonts w:cs="Times New Roman"/>
          <w:noProof/>
          <w:szCs w:val="24"/>
        </w:rPr>
        <w:t xml:space="preserve">timber </w:t>
      </w:r>
      <w:r w:rsidR="00CB3BAC">
        <w:rPr>
          <w:rFonts w:cs="Times New Roman"/>
          <w:noProof/>
          <w:szCs w:val="24"/>
        </w:rPr>
        <w:t>products included in the scope of the EUTR</w:t>
      </w:r>
      <w:r w:rsidR="00903CB3">
        <w:rPr>
          <w:rFonts w:cs="Times New Roman"/>
          <w:noProof/>
          <w:szCs w:val="24"/>
        </w:rPr>
        <w:t>,</w:t>
      </w:r>
      <w:r w:rsidR="00CB3BAC">
        <w:rPr>
          <w:rFonts w:cs="Times New Roman"/>
          <w:noProof/>
          <w:szCs w:val="24"/>
        </w:rPr>
        <w:t xml:space="preserve"> </w:t>
      </w:r>
      <w:r>
        <w:rPr>
          <w:rFonts w:cs="Times New Roman"/>
          <w:noProof/>
          <w:szCs w:val="24"/>
        </w:rPr>
        <w:t>wasthe</w:t>
      </w:r>
      <w:r w:rsidR="00CB3BAC">
        <w:rPr>
          <w:rFonts w:cs="Times New Roman"/>
          <w:noProof/>
          <w:szCs w:val="24"/>
        </w:rPr>
        <w:t xml:space="preserve"> starting point. </w:t>
      </w:r>
    </w:p>
    <w:p w14:paraId="0A8C8B20" w14:textId="1A79DA62" w:rsidR="00DC17DC" w:rsidRDefault="007D3C58" w:rsidP="001876EA">
      <w:pPr>
        <w:jc w:val="both"/>
        <w:rPr>
          <w:rFonts w:cs="Times New Roman"/>
          <w:noProof/>
          <w:szCs w:val="24"/>
        </w:rPr>
      </w:pPr>
      <w:r>
        <w:rPr>
          <w:rFonts w:cs="Times New Roman"/>
          <w:noProof/>
          <w:szCs w:val="24"/>
        </w:rPr>
        <w:t xml:space="preserve">In line with the recommendations of a majority of stakeholders, this impact assessment endorses the view that the </w:t>
      </w:r>
      <w:r w:rsidR="00CB3BAC">
        <w:rPr>
          <w:rFonts w:cs="Times New Roman"/>
          <w:noProof/>
          <w:szCs w:val="24"/>
        </w:rPr>
        <w:t xml:space="preserve">product </w:t>
      </w:r>
      <w:r>
        <w:rPr>
          <w:rFonts w:cs="Times New Roman"/>
          <w:noProof/>
          <w:szCs w:val="24"/>
        </w:rPr>
        <w:t xml:space="preserve">scope should regularly be reviewed and amended – maintaining the same cut-off date for new commodities and products. This will allow to adapt it to changing deforestation patterns and to partly prevent leakage problems that the policy intervention may cause (see more details on leakage on </w:t>
      </w:r>
      <w:r w:rsidR="00903CB3">
        <w:rPr>
          <w:rFonts w:cs="Times New Roman"/>
          <w:noProof/>
          <w:szCs w:val="24"/>
        </w:rPr>
        <w:t>section 6.1.4.</w:t>
      </w:r>
      <w:r>
        <w:rPr>
          <w:rFonts w:cs="Times New Roman"/>
          <w:noProof/>
          <w:szCs w:val="24"/>
        </w:rPr>
        <w:t>)</w:t>
      </w:r>
    </w:p>
    <w:p w14:paraId="15781AD3" w14:textId="25F4AAB3" w:rsidR="00CB1E90" w:rsidRDefault="00CB1E90" w:rsidP="001876EA">
      <w:pPr>
        <w:jc w:val="both"/>
        <w:rPr>
          <w:rFonts w:cs="Times New Roman"/>
          <w:noProof/>
          <w:szCs w:val="24"/>
        </w:rPr>
      </w:pPr>
      <w:r>
        <w:rPr>
          <w:rFonts w:cs="Times New Roman"/>
          <w:noProof/>
          <w:szCs w:val="24"/>
        </w:rPr>
        <w:t xml:space="preserve">The </w:t>
      </w:r>
      <w:r w:rsidR="0087737F">
        <w:rPr>
          <w:rFonts w:cs="Times New Roman"/>
          <w:noProof/>
          <w:szCs w:val="24"/>
        </w:rPr>
        <w:t xml:space="preserve">initial </w:t>
      </w:r>
      <w:r>
        <w:rPr>
          <w:rFonts w:cs="Times New Roman"/>
          <w:noProof/>
          <w:szCs w:val="24"/>
        </w:rPr>
        <w:t xml:space="preserve">scope </w:t>
      </w:r>
      <w:r w:rsidR="00E9301F" w:rsidRPr="00CB0303">
        <w:rPr>
          <w:rFonts w:cs="Times New Roman"/>
          <w:noProof/>
          <w:szCs w:val="24"/>
        </w:rPr>
        <w:t>delineation</w:t>
      </w:r>
      <w:r w:rsidR="00E9301F">
        <w:rPr>
          <w:rFonts w:cs="Times New Roman"/>
          <w:noProof/>
          <w:szCs w:val="24"/>
        </w:rPr>
        <w:t xml:space="preserve"> </w:t>
      </w:r>
      <w:r>
        <w:rPr>
          <w:rFonts w:cs="Times New Roman"/>
          <w:noProof/>
          <w:szCs w:val="24"/>
        </w:rPr>
        <w:t>ha</w:t>
      </w:r>
      <w:r w:rsidR="00E9301F">
        <w:rPr>
          <w:rFonts w:cs="Times New Roman"/>
          <w:noProof/>
          <w:szCs w:val="24"/>
        </w:rPr>
        <w:t>s</w:t>
      </w:r>
      <w:r>
        <w:rPr>
          <w:rFonts w:cs="Times New Roman"/>
          <w:noProof/>
          <w:szCs w:val="24"/>
        </w:rPr>
        <w:t xml:space="preserve"> to answer two questions: First, which commodities </w:t>
      </w:r>
      <w:r w:rsidR="00CB3BAC">
        <w:rPr>
          <w:rFonts w:cs="Times New Roman"/>
          <w:noProof/>
          <w:szCs w:val="24"/>
        </w:rPr>
        <w:t xml:space="preserve">– other than wood </w:t>
      </w:r>
      <w:r w:rsidR="00903CB3">
        <w:rPr>
          <w:rFonts w:cs="Times New Roman"/>
          <w:noProof/>
          <w:szCs w:val="24"/>
        </w:rPr>
        <w:t>–</w:t>
      </w:r>
      <w:r w:rsidR="00CB3BAC">
        <w:rPr>
          <w:rFonts w:cs="Times New Roman"/>
          <w:noProof/>
          <w:szCs w:val="24"/>
        </w:rPr>
        <w:t xml:space="preserve"> </w:t>
      </w:r>
      <w:r>
        <w:rPr>
          <w:rFonts w:cs="Times New Roman"/>
          <w:noProof/>
          <w:szCs w:val="24"/>
        </w:rPr>
        <w:t xml:space="preserve">to include; second, whether and which products </w:t>
      </w:r>
      <w:r w:rsidR="00CB3BAC">
        <w:rPr>
          <w:rFonts w:cs="Times New Roman"/>
          <w:noProof/>
          <w:szCs w:val="24"/>
        </w:rPr>
        <w:t xml:space="preserve">derived from </w:t>
      </w:r>
      <w:r w:rsidR="003726D7">
        <w:rPr>
          <w:rFonts w:cs="Times New Roman"/>
          <w:noProof/>
          <w:szCs w:val="24"/>
        </w:rPr>
        <w:t>those commodities</w:t>
      </w:r>
      <w:r w:rsidR="0036297D">
        <w:rPr>
          <w:rFonts w:cs="Times New Roman"/>
          <w:noProof/>
          <w:szCs w:val="24"/>
        </w:rPr>
        <w:t xml:space="preserve"> to cover</w:t>
      </w:r>
      <w:r w:rsidR="003726D7">
        <w:rPr>
          <w:rFonts w:cs="Times New Roman"/>
          <w:noProof/>
          <w:szCs w:val="24"/>
        </w:rPr>
        <w:t xml:space="preserve"> </w:t>
      </w:r>
      <w:r>
        <w:rPr>
          <w:rFonts w:cs="Times New Roman"/>
          <w:noProof/>
          <w:szCs w:val="24"/>
        </w:rPr>
        <w:t xml:space="preserve">(for example, cookies </w:t>
      </w:r>
      <w:r w:rsidR="00E9301F" w:rsidRPr="00CB0303">
        <w:rPr>
          <w:rFonts w:cs="Times New Roman"/>
          <w:noProof/>
          <w:szCs w:val="24"/>
        </w:rPr>
        <w:t>containing</w:t>
      </w:r>
      <w:r>
        <w:rPr>
          <w:rFonts w:cs="Times New Roman"/>
          <w:noProof/>
          <w:szCs w:val="24"/>
        </w:rPr>
        <w:t xml:space="preserve"> cocoa and palm oil</w:t>
      </w:r>
      <w:r w:rsidR="00523D89">
        <w:rPr>
          <w:rFonts w:cs="Times New Roman"/>
          <w:noProof/>
          <w:szCs w:val="24"/>
        </w:rPr>
        <w:t xml:space="preserve">, </w:t>
      </w:r>
      <w:r w:rsidR="00523D89" w:rsidRPr="00D203A8">
        <w:rPr>
          <w:rFonts w:cs="Times New Roman"/>
          <w:noProof/>
          <w:szCs w:val="24"/>
        </w:rPr>
        <w:t>or meat from animals fed with soy</w:t>
      </w:r>
      <w:r w:rsidRPr="00CB0303">
        <w:rPr>
          <w:rFonts w:cs="Times New Roman"/>
          <w:noProof/>
          <w:szCs w:val="24"/>
        </w:rPr>
        <w:t>)</w:t>
      </w:r>
      <w:r w:rsidR="00746C56">
        <w:rPr>
          <w:rFonts w:cs="Times New Roman"/>
          <w:noProof/>
          <w:szCs w:val="24"/>
        </w:rPr>
        <w:t>.</w:t>
      </w:r>
    </w:p>
    <w:p w14:paraId="74DF98A3" w14:textId="25726A90" w:rsidR="00244A93" w:rsidRDefault="00CB1E90" w:rsidP="001876EA">
      <w:pPr>
        <w:jc w:val="both"/>
        <w:rPr>
          <w:rFonts w:cs="Times New Roman"/>
          <w:noProof/>
          <w:szCs w:val="24"/>
        </w:rPr>
      </w:pPr>
      <w:r>
        <w:rPr>
          <w:rFonts w:cs="Times New Roman"/>
          <w:noProof/>
          <w:szCs w:val="24"/>
        </w:rPr>
        <w:t xml:space="preserve">To answer the first question, </w:t>
      </w:r>
      <w:r w:rsidR="007D3C58">
        <w:rPr>
          <w:rFonts w:cs="Times New Roman"/>
          <w:noProof/>
          <w:szCs w:val="24"/>
        </w:rPr>
        <w:t>t</w:t>
      </w:r>
      <w:r w:rsidR="0028370C" w:rsidRPr="007C1494">
        <w:rPr>
          <w:rFonts w:cs="Times New Roman"/>
          <w:noProof/>
          <w:szCs w:val="24"/>
        </w:rPr>
        <w:t xml:space="preserve">he approach </w:t>
      </w:r>
      <w:r w:rsidR="00DC17DC">
        <w:rPr>
          <w:rFonts w:cs="Times New Roman"/>
          <w:noProof/>
          <w:szCs w:val="24"/>
        </w:rPr>
        <w:t>aim</w:t>
      </w:r>
      <w:r w:rsidR="00135398">
        <w:rPr>
          <w:rFonts w:cs="Times New Roman"/>
          <w:noProof/>
          <w:szCs w:val="24"/>
        </w:rPr>
        <w:t>s</w:t>
      </w:r>
      <w:r w:rsidR="00DC17DC">
        <w:rPr>
          <w:rFonts w:cs="Times New Roman"/>
          <w:noProof/>
          <w:szCs w:val="24"/>
        </w:rPr>
        <w:t xml:space="preserve"> at selecting a number of commodities where the policy intervention </w:t>
      </w:r>
      <w:r w:rsidR="00135398">
        <w:rPr>
          <w:rFonts w:cs="Times New Roman"/>
          <w:noProof/>
          <w:szCs w:val="24"/>
        </w:rPr>
        <w:t>i</w:t>
      </w:r>
      <w:r w:rsidR="00DC17DC">
        <w:rPr>
          <w:rFonts w:cs="Times New Roman"/>
          <w:noProof/>
          <w:szCs w:val="24"/>
        </w:rPr>
        <w:t>s justified in terms of effici</w:t>
      </w:r>
      <w:r w:rsidR="00244A93">
        <w:rPr>
          <w:rFonts w:cs="Times New Roman"/>
          <w:noProof/>
          <w:szCs w:val="24"/>
        </w:rPr>
        <w:t>ency.</w:t>
      </w:r>
      <w:r w:rsidR="00DC17DC">
        <w:rPr>
          <w:rFonts w:cs="Times New Roman"/>
          <w:noProof/>
          <w:szCs w:val="24"/>
        </w:rPr>
        <w:t xml:space="preserve"> </w:t>
      </w:r>
      <w:r w:rsidR="00523D89">
        <w:rPr>
          <w:rFonts w:cs="Times New Roman"/>
          <w:noProof/>
          <w:szCs w:val="24"/>
        </w:rPr>
        <w:t xml:space="preserve">There </w:t>
      </w:r>
      <w:r w:rsidR="00135398">
        <w:rPr>
          <w:rFonts w:cs="Times New Roman"/>
          <w:noProof/>
          <w:szCs w:val="24"/>
        </w:rPr>
        <w:t>i</w:t>
      </w:r>
      <w:r w:rsidR="00523D89">
        <w:rPr>
          <w:rFonts w:cs="Times New Roman"/>
          <w:noProof/>
          <w:szCs w:val="24"/>
        </w:rPr>
        <w:t>s a need</w:t>
      </w:r>
      <w:r w:rsidR="00244A93">
        <w:rPr>
          <w:rFonts w:cs="Times New Roman"/>
          <w:noProof/>
          <w:szCs w:val="24"/>
        </w:rPr>
        <w:t xml:space="preserve"> to understand how European </w:t>
      </w:r>
      <w:r w:rsidR="00CB3BAC">
        <w:rPr>
          <w:rFonts w:cs="Times New Roman"/>
          <w:noProof/>
          <w:szCs w:val="24"/>
        </w:rPr>
        <w:t xml:space="preserve">production and </w:t>
      </w:r>
      <w:r w:rsidR="00244A93">
        <w:rPr>
          <w:rFonts w:cs="Times New Roman"/>
          <w:noProof/>
          <w:szCs w:val="24"/>
        </w:rPr>
        <w:t xml:space="preserve">consumption </w:t>
      </w:r>
      <w:r w:rsidR="00135398">
        <w:rPr>
          <w:rFonts w:cs="Times New Roman"/>
          <w:noProof/>
          <w:szCs w:val="24"/>
        </w:rPr>
        <w:t>h</w:t>
      </w:r>
      <w:r w:rsidR="00244A93">
        <w:rPr>
          <w:rFonts w:cs="Times New Roman"/>
          <w:noProof/>
          <w:szCs w:val="24"/>
        </w:rPr>
        <w:t xml:space="preserve">as </w:t>
      </w:r>
      <w:r w:rsidR="00135398">
        <w:rPr>
          <w:rFonts w:cs="Times New Roman"/>
          <w:noProof/>
          <w:szCs w:val="24"/>
        </w:rPr>
        <w:t>been</w:t>
      </w:r>
      <w:r w:rsidR="00244A93">
        <w:rPr>
          <w:rFonts w:cs="Times New Roman"/>
          <w:noProof/>
          <w:szCs w:val="24"/>
        </w:rPr>
        <w:t xml:space="preserve"> </w:t>
      </w:r>
      <w:r w:rsidR="00150791">
        <w:rPr>
          <w:rFonts w:cs="Times New Roman"/>
          <w:noProof/>
          <w:szCs w:val="24"/>
        </w:rPr>
        <w:t xml:space="preserve">contributing to </w:t>
      </w:r>
      <w:r w:rsidR="00244A93">
        <w:rPr>
          <w:rFonts w:cs="Times New Roman"/>
          <w:noProof/>
          <w:szCs w:val="24"/>
        </w:rPr>
        <w:t xml:space="preserve">global deforestation and forest degradation, on which commodities that impact </w:t>
      </w:r>
      <w:r w:rsidR="00135398">
        <w:rPr>
          <w:rFonts w:cs="Times New Roman"/>
          <w:noProof/>
          <w:szCs w:val="24"/>
        </w:rPr>
        <w:t>h</w:t>
      </w:r>
      <w:r w:rsidR="00244A93">
        <w:rPr>
          <w:rFonts w:cs="Times New Roman"/>
          <w:noProof/>
          <w:szCs w:val="24"/>
        </w:rPr>
        <w:t>as concentrated, and then</w:t>
      </w:r>
      <w:r w:rsidR="00005227">
        <w:rPr>
          <w:rFonts w:cs="Times New Roman"/>
          <w:noProof/>
          <w:szCs w:val="24"/>
        </w:rPr>
        <w:t xml:space="preserve"> </w:t>
      </w:r>
      <w:r w:rsidR="004559DB">
        <w:rPr>
          <w:rFonts w:cs="Times New Roman"/>
          <w:noProof/>
          <w:szCs w:val="24"/>
        </w:rPr>
        <w:t xml:space="preserve">finally </w:t>
      </w:r>
      <w:r w:rsidR="00523D89">
        <w:rPr>
          <w:rFonts w:cs="Times New Roman"/>
          <w:noProof/>
          <w:szCs w:val="24"/>
        </w:rPr>
        <w:t xml:space="preserve">to </w:t>
      </w:r>
      <w:r w:rsidR="00005227">
        <w:rPr>
          <w:rFonts w:cs="Times New Roman"/>
          <w:noProof/>
          <w:szCs w:val="24"/>
        </w:rPr>
        <w:t xml:space="preserve">perform a cost-benefit analysis – taking into account the </w:t>
      </w:r>
      <w:r w:rsidR="00150791">
        <w:rPr>
          <w:rFonts w:cs="Times New Roman"/>
          <w:noProof/>
          <w:szCs w:val="24"/>
        </w:rPr>
        <w:t>consumption of</w:t>
      </w:r>
      <w:r w:rsidR="00391377">
        <w:rPr>
          <w:rFonts w:cs="Times New Roman"/>
          <w:noProof/>
          <w:szCs w:val="24"/>
        </w:rPr>
        <w:t xml:space="preserve"> </w:t>
      </w:r>
      <w:r w:rsidR="00005227">
        <w:rPr>
          <w:rFonts w:cs="Times New Roman"/>
          <w:noProof/>
          <w:szCs w:val="24"/>
        </w:rPr>
        <w:t xml:space="preserve">each of those commodities – to select </w:t>
      </w:r>
      <w:r>
        <w:rPr>
          <w:rFonts w:cs="Times New Roman"/>
          <w:noProof/>
          <w:szCs w:val="24"/>
        </w:rPr>
        <w:t>those</w:t>
      </w:r>
      <w:r w:rsidR="00005227">
        <w:rPr>
          <w:rFonts w:cs="Times New Roman"/>
          <w:noProof/>
          <w:szCs w:val="24"/>
        </w:rPr>
        <w:t xml:space="preserve"> where an </w:t>
      </w:r>
      <w:r>
        <w:rPr>
          <w:rFonts w:cs="Times New Roman"/>
          <w:noProof/>
          <w:szCs w:val="24"/>
        </w:rPr>
        <w:t xml:space="preserve">EU policy </w:t>
      </w:r>
      <w:r w:rsidR="00005227">
        <w:rPr>
          <w:rFonts w:cs="Times New Roman"/>
          <w:noProof/>
          <w:szCs w:val="24"/>
        </w:rPr>
        <w:t xml:space="preserve">intervention could bring </w:t>
      </w:r>
      <w:r w:rsidR="00135398" w:rsidRPr="00CB0303">
        <w:rPr>
          <w:rFonts w:cs="Times New Roman"/>
          <w:noProof/>
          <w:szCs w:val="24"/>
        </w:rPr>
        <w:t>highest</w:t>
      </w:r>
      <w:r w:rsidR="00135398">
        <w:rPr>
          <w:rFonts w:cs="Times New Roman"/>
          <w:noProof/>
          <w:szCs w:val="24"/>
        </w:rPr>
        <w:t xml:space="preserve"> </w:t>
      </w:r>
      <w:r w:rsidR="00391377">
        <w:rPr>
          <w:rFonts w:cs="Times New Roman"/>
          <w:noProof/>
          <w:szCs w:val="24"/>
        </w:rPr>
        <w:t xml:space="preserve">benefits </w:t>
      </w:r>
      <w:r w:rsidR="00197688">
        <w:rPr>
          <w:rFonts w:cs="Times New Roman"/>
          <w:noProof/>
          <w:szCs w:val="24"/>
        </w:rPr>
        <w:t>per unit value of trade</w:t>
      </w:r>
      <w:r w:rsidR="00005227">
        <w:rPr>
          <w:rFonts w:cs="Times New Roman"/>
          <w:noProof/>
          <w:szCs w:val="24"/>
        </w:rPr>
        <w:t>.</w:t>
      </w:r>
    </w:p>
    <w:p w14:paraId="57C402CE" w14:textId="0508FBFC" w:rsidR="00005227" w:rsidRPr="007C1494" w:rsidRDefault="00005227" w:rsidP="00005227">
      <w:pPr>
        <w:jc w:val="both"/>
        <w:rPr>
          <w:rFonts w:cs="Times New Roman"/>
          <w:noProof/>
          <w:szCs w:val="24"/>
        </w:rPr>
      </w:pPr>
      <w:r>
        <w:rPr>
          <w:rFonts w:cs="Times New Roman"/>
          <w:noProof/>
          <w:szCs w:val="24"/>
        </w:rPr>
        <w:t xml:space="preserve">A number of research papers and reports have attempted to use deforestation, agricultural production and trade data to estimate the EU’s deforestation footprint, and to link that </w:t>
      </w:r>
      <w:r w:rsidRPr="00903CB3">
        <w:rPr>
          <w:rFonts w:cs="Times New Roman"/>
          <w:noProof/>
          <w:szCs w:val="24"/>
        </w:rPr>
        <w:t xml:space="preserve">footprint to </w:t>
      </w:r>
      <w:r w:rsidR="00E07B1B" w:rsidRPr="00903CB3">
        <w:rPr>
          <w:rFonts w:cs="Times New Roman"/>
          <w:noProof/>
          <w:szCs w:val="24"/>
        </w:rPr>
        <w:t>specific</w:t>
      </w:r>
      <w:r w:rsidRPr="00903CB3">
        <w:rPr>
          <w:rFonts w:cs="Times New Roman"/>
          <w:noProof/>
          <w:szCs w:val="24"/>
        </w:rPr>
        <w:t xml:space="preserve"> commodities.</w:t>
      </w:r>
      <w:r w:rsidR="004559DB" w:rsidRPr="00903CB3">
        <w:rPr>
          <w:rFonts w:cs="Times New Roman"/>
          <w:noProof/>
          <w:szCs w:val="24"/>
        </w:rPr>
        <w:t xml:space="preserve"> </w:t>
      </w:r>
      <w:r w:rsidRPr="00903CB3">
        <w:rPr>
          <w:rFonts w:cs="Times New Roman"/>
          <w:noProof/>
          <w:szCs w:val="24"/>
        </w:rPr>
        <w:t>An extensive literature review was carried out by the study supporting this impact assessment</w:t>
      </w:r>
      <w:r w:rsidRPr="00903CB3">
        <w:rPr>
          <w:rStyle w:val="FootnoteReference"/>
          <w:rFonts w:cs="Times New Roman"/>
          <w:noProof/>
          <w:szCs w:val="24"/>
        </w:rPr>
        <w:footnoteReference w:id="90"/>
      </w:r>
      <w:r w:rsidRPr="00903CB3">
        <w:rPr>
          <w:rFonts w:cs="Times New Roman"/>
          <w:noProof/>
          <w:szCs w:val="24"/>
        </w:rPr>
        <w:t xml:space="preserve"> </w:t>
      </w:r>
      <w:r w:rsidR="004559DB" w:rsidRPr="00903CB3">
        <w:rPr>
          <w:rFonts w:cs="Times New Roman"/>
          <w:noProof/>
          <w:szCs w:val="24"/>
        </w:rPr>
        <w:t xml:space="preserve">with the aim </w:t>
      </w:r>
      <w:r w:rsidR="00CB1E90" w:rsidRPr="00903CB3">
        <w:rPr>
          <w:rFonts w:cs="Times New Roman"/>
          <w:noProof/>
          <w:szCs w:val="24"/>
        </w:rPr>
        <w:t>of</w:t>
      </w:r>
      <w:r w:rsidR="004559DB" w:rsidRPr="00903CB3">
        <w:rPr>
          <w:rFonts w:cs="Times New Roman"/>
          <w:noProof/>
          <w:szCs w:val="24"/>
        </w:rPr>
        <w:t xml:space="preserve"> </w:t>
      </w:r>
      <w:r w:rsidR="00CB1E90" w:rsidRPr="00903CB3">
        <w:rPr>
          <w:rFonts w:cs="Times New Roman"/>
          <w:noProof/>
          <w:szCs w:val="24"/>
        </w:rPr>
        <w:t xml:space="preserve">making </w:t>
      </w:r>
      <w:r w:rsidR="004559DB" w:rsidRPr="00903CB3">
        <w:rPr>
          <w:rFonts w:cs="Times New Roman"/>
          <w:noProof/>
          <w:szCs w:val="24"/>
        </w:rPr>
        <w:t>a first</w:t>
      </w:r>
      <w:r w:rsidRPr="00A511C0">
        <w:rPr>
          <w:rFonts w:cs="Times New Roman"/>
          <w:noProof/>
          <w:szCs w:val="24"/>
        </w:rPr>
        <w:t xml:space="preserve"> list of </w:t>
      </w:r>
      <w:r w:rsidRPr="00F6060D">
        <w:rPr>
          <w:rFonts w:cs="Times New Roman"/>
          <w:noProof/>
          <w:szCs w:val="24"/>
        </w:rPr>
        <w:t>commodities</w:t>
      </w:r>
      <w:r w:rsidRPr="00903CB3">
        <w:rPr>
          <w:rFonts w:cs="Times New Roman"/>
          <w:noProof/>
          <w:szCs w:val="24"/>
        </w:rPr>
        <w:t xml:space="preserve"> (see also sections 2.3 on problem drivers and 5.2 on baseline).</w:t>
      </w:r>
      <w:r w:rsidRPr="00903CB3" w:rsidDel="00A3199F">
        <w:rPr>
          <w:rFonts w:cs="Times New Roman"/>
          <w:noProof/>
          <w:szCs w:val="24"/>
          <w:vertAlign w:val="superscript"/>
        </w:rPr>
        <w:t xml:space="preserve"> </w:t>
      </w:r>
      <w:r w:rsidR="004559DB" w:rsidRPr="00903CB3">
        <w:rPr>
          <w:rFonts w:cs="Times New Roman"/>
          <w:noProof/>
          <w:szCs w:val="24"/>
        </w:rPr>
        <w:t>This review, and the underlying researc</w:t>
      </w:r>
      <w:r w:rsidR="004559DB">
        <w:rPr>
          <w:rFonts w:cs="Times New Roman"/>
          <w:noProof/>
          <w:szCs w:val="24"/>
        </w:rPr>
        <w:t xml:space="preserve">h, </w:t>
      </w:r>
      <w:r w:rsidR="00CB3BAC">
        <w:rPr>
          <w:rFonts w:cs="Times New Roman"/>
          <w:noProof/>
          <w:szCs w:val="24"/>
        </w:rPr>
        <w:t xml:space="preserve">is </w:t>
      </w:r>
      <w:r w:rsidR="004559DB">
        <w:rPr>
          <w:rFonts w:cs="Times New Roman"/>
          <w:noProof/>
          <w:szCs w:val="24"/>
        </w:rPr>
        <w:t xml:space="preserve">not without gaps. The statistics used </w:t>
      </w:r>
      <w:r w:rsidR="000C6A53">
        <w:rPr>
          <w:rFonts w:cs="Times New Roman"/>
          <w:noProof/>
          <w:szCs w:val="24"/>
        </w:rPr>
        <w:t xml:space="preserve">by </w:t>
      </w:r>
      <w:r w:rsidR="004559DB">
        <w:rPr>
          <w:rFonts w:cs="Times New Roman"/>
          <w:noProof/>
          <w:szCs w:val="24"/>
        </w:rPr>
        <w:t>some of those</w:t>
      </w:r>
      <w:r w:rsidR="00172B27">
        <w:rPr>
          <w:rFonts w:cs="Times New Roman"/>
          <w:noProof/>
          <w:szCs w:val="24"/>
        </w:rPr>
        <w:t xml:space="preserve"> reviewed</w:t>
      </w:r>
      <w:r w:rsidR="004559DB">
        <w:rPr>
          <w:rFonts w:cs="Times New Roman"/>
          <w:noProof/>
          <w:szCs w:val="24"/>
        </w:rPr>
        <w:t xml:space="preserve"> reports are old</w:t>
      </w:r>
      <w:r w:rsidR="004559DB">
        <w:rPr>
          <w:rStyle w:val="FootnoteReference"/>
          <w:rFonts w:cs="Times New Roman"/>
          <w:noProof/>
          <w:szCs w:val="24"/>
        </w:rPr>
        <w:footnoteReference w:id="91"/>
      </w:r>
      <w:r w:rsidR="004559DB">
        <w:rPr>
          <w:rFonts w:cs="Times New Roman"/>
          <w:noProof/>
          <w:szCs w:val="24"/>
        </w:rPr>
        <w:t>, and the numbers have substantially changed. Some papers</w:t>
      </w:r>
      <w:r w:rsidR="007C0907">
        <w:rPr>
          <w:rStyle w:val="FootnoteReference"/>
          <w:rFonts w:cs="Times New Roman"/>
          <w:noProof/>
          <w:szCs w:val="24"/>
        </w:rPr>
        <w:footnoteReference w:id="92"/>
      </w:r>
      <w:r w:rsidR="004559DB">
        <w:rPr>
          <w:rFonts w:cs="Times New Roman"/>
          <w:noProof/>
          <w:szCs w:val="24"/>
        </w:rPr>
        <w:t xml:space="preserve"> start from a </w:t>
      </w:r>
      <w:r w:rsidR="007C0907">
        <w:rPr>
          <w:rFonts w:cs="Times New Roman"/>
          <w:noProof/>
          <w:szCs w:val="24"/>
        </w:rPr>
        <w:t>preliminary list of commodities</w:t>
      </w:r>
      <w:r w:rsidR="00CB1E90">
        <w:rPr>
          <w:rFonts w:cs="Times New Roman"/>
          <w:noProof/>
          <w:szCs w:val="24"/>
        </w:rPr>
        <w:t>, which makes them uncomprehensive. Others</w:t>
      </w:r>
      <w:r w:rsidR="00CB1E90">
        <w:rPr>
          <w:rStyle w:val="FootnoteReference"/>
          <w:rFonts w:cs="Times New Roman"/>
          <w:noProof/>
          <w:szCs w:val="24"/>
        </w:rPr>
        <w:footnoteReference w:id="93"/>
      </w:r>
      <w:r w:rsidR="00CB1E90">
        <w:rPr>
          <w:rFonts w:cs="Times New Roman"/>
          <w:noProof/>
          <w:szCs w:val="24"/>
        </w:rPr>
        <w:t xml:space="preserve"> focus only on tropical deforestation. A majority disregards forest degradation, which is much more difficult to measure.</w:t>
      </w:r>
    </w:p>
    <w:p w14:paraId="4F7A40FE" w14:textId="1179EDD0" w:rsidR="000441F6" w:rsidRDefault="00CB1E90" w:rsidP="00850A69">
      <w:pPr>
        <w:jc w:val="both"/>
        <w:rPr>
          <w:rFonts w:cs="Times New Roman"/>
          <w:noProof/>
          <w:szCs w:val="24"/>
        </w:rPr>
      </w:pPr>
      <w:r>
        <w:rPr>
          <w:rFonts w:cs="Times New Roman"/>
          <w:noProof/>
          <w:szCs w:val="24"/>
        </w:rPr>
        <w:t xml:space="preserve">In spite of these caveats, </w:t>
      </w:r>
      <w:r w:rsidR="00C57A31">
        <w:rPr>
          <w:rFonts w:cs="Times New Roman"/>
          <w:noProof/>
          <w:szCs w:val="24"/>
        </w:rPr>
        <w:t>the literature review show</w:t>
      </w:r>
      <w:r w:rsidR="00135398">
        <w:rPr>
          <w:rFonts w:cs="Times New Roman"/>
          <w:noProof/>
          <w:szCs w:val="24"/>
        </w:rPr>
        <w:t>s</w:t>
      </w:r>
      <w:r w:rsidR="00C57A31">
        <w:rPr>
          <w:rFonts w:cs="Times New Roman"/>
          <w:noProof/>
          <w:szCs w:val="24"/>
        </w:rPr>
        <w:t xml:space="preserve"> </w:t>
      </w:r>
      <w:r>
        <w:rPr>
          <w:rFonts w:cs="Times New Roman"/>
          <w:noProof/>
          <w:szCs w:val="24"/>
        </w:rPr>
        <w:t xml:space="preserve">consensus on </w:t>
      </w:r>
      <w:r w:rsidR="00135398">
        <w:rPr>
          <w:rFonts w:cs="Times New Roman"/>
          <w:noProof/>
          <w:szCs w:val="24"/>
        </w:rPr>
        <w:t>which</w:t>
      </w:r>
      <w:r>
        <w:rPr>
          <w:rFonts w:cs="Times New Roman"/>
          <w:noProof/>
          <w:szCs w:val="24"/>
        </w:rPr>
        <w:t xml:space="preserve"> commodities </w:t>
      </w:r>
      <w:r w:rsidR="00135398">
        <w:rPr>
          <w:rFonts w:cs="Times New Roman"/>
          <w:noProof/>
          <w:szCs w:val="24"/>
        </w:rPr>
        <w:t>the</w:t>
      </w:r>
      <w:r>
        <w:rPr>
          <w:rFonts w:cs="Times New Roman"/>
          <w:noProof/>
          <w:szCs w:val="24"/>
        </w:rPr>
        <w:t xml:space="preserve"> EU’s </w:t>
      </w:r>
      <w:r w:rsidR="00850A69">
        <w:rPr>
          <w:rFonts w:cs="Times New Roman"/>
          <w:noProof/>
          <w:szCs w:val="24"/>
        </w:rPr>
        <w:t>embodied</w:t>
      </w:r>
      <w:r w:rsidR="00135398">
        <w:rPr>
          <w:rStyle w:val="FootnoteReference"/>
          <w:rFonts w:cs="Times New Roman"/>
          <w:noProof/>
          <w:szCs w:val="24"/>
        </w:rPr>
        <w:footnoteReference w:id="94"/>
      </w:r>
      <w:r w:rsidR="00850A69">
        <w:rPr>
          <w:rFonts w:cs="Times New Roman"/>
          <w:noProof/>
          <w:szCs w:val="24"/>
        </w:rPr>
        <w:t xml:space="preserve"> </w:t>
      </w:r>
      <w:r>
        <w:rPr>
          <w:rFonts w:cs="Times New Roman"/>
          <w:noProof/>
          <w:szCs w:val="24"/>
        </w:rPr>
        <w:t xml:space="preserve">deforestation is </w:t>
      </w:r>
      <w:r w:rsidR="00135398">
        <w:rPr>
          <w:rFonts w:cs="Times New Roman"/>
          <w:noProof/>
          <w:szCs w:val="24"/>
        </w:rPr>
        <w:t xml:space="preserve">mostly </w:t>
      </w:r>
      <w:r>
        <w:rPr>
          <w:rFonts w:cs="Times New Roman"/>
          <w:noProof/>
          <w:szCs w:val="24"/>
        </w:rPr>
        <w:t xml:space="preserve">concentrated. </w:t>
      </w:r>
      <w:r w:rsidR="000441F6">
        <w:rPr>
          <w:rFonts w:cs="Times New Roman"/>
          <w:noProof/>
          <w:szCs w:val="24"/>
        </w:rPr>
        <w:t xml:space="preserve">This </w:t>
      </w:r>
      <w:r w:rsidR="00E838E4">
        <w:rPr>
          <w:rFonts w:cs="Times New Roman"/>
          <w:noProof/>
          <w:szCs w:val="24"/>
        </w:rPr>
        <w:t xml:space="preserve">review </w:t>
      </w:r>
      <w:r w:rsidR="000441F6">
        <w:rPr>
          <w:rFonts w:cs="Times New Roman"/>
          <w:noProof/>
          <w:szCs w:val="24"/>
        </w:rPr>
        <w:t>delivered a first list of commodities</w:t>
      </w:r>
      <w:r w:rsidR="00E838E4">
        <w:rPr>
          <w:rFonts w:cs="Times New Roman"/>
          <w:noProof/>
          <w:szCs w:val="24"/>
        </w:rPr>
        <w:t xml:space="preserve"> (beef, wood, palm oil, soya, coffee, cocoa, rubber and maize)</w:t>
      </w:r>
      <w:r w:rsidR="000441F6">
        <w:rPr>
          <w:rFonts w:cs="Times New Roman"/>
          <w:noProof/>
          <w:szCs w:val="24"/>
        </w:rPr>
        <w:t xml:space="preserve"> that </w:t>
      </w:r>
      <w:r w:rsidR="00F70965">
        <w:rPr>
          <w:rFonts w:cs="Times New Roman"/>
          <w:noProof/>
          <w:szCs w:val="24"/>
        </w:rPr>
        <w:t>was</w:t>
      </w:r>
      <w:r w:rsidR="000441F6">
        <w:rPr>
          <w:rFonts w:cs="Times New Roman"/>
          <w:noProof/>
          <w:szCs w:val="24"/>
        </w:rPr>
        <w:t xml:space="preserve"> put to the consideration of stakeholders via the </w:t>
      </w:r>
      <w:r w:rsidR="00E838E4" w:rsidRPr="00E838E4">
        <w:rPr>
          <w:rFonts w:cs="Times New Roman"/>
          <w:noProof/>
          <w:szCs w:val="24"/>
        </w:rPr>
        <w:t>Commission Expert Group/Multi-Stakeholder Platform on Protecting and Restoring the World’s Forests</w:t>
      </w:r>
      <w:r w:rsidR="00E838E4">
        <w:rPr>
          <w:rFonts w:cs="Times New Roman"/>
          <w:noProof/>
          <w:szCs w:val="24"/>
        </w:rPr>
        <w:t xml:space="preserve">. There was a high level of support for including the selected commodities in the scope, with some </w:t>
      </w:r>
      <w:r w:rsidR="00A57CB9">
        <w:rPr>
          <w:rFonts w:cs="Times New Roman"/>
          <w:noProof/>
          <w:szCs w:val="24"/>
        </w:rPr>
        <w:t xml:space="preserve">stakeholders also </w:t>
      </w:r>
      <w:r w:rsidR="00E838E4">
        <w:rPr>
          <w:rFonts w:cs="Times New Roman"/>
          <w:noProof/>
          <w:szCs w:val="24"/>
        </w:rPr>
        <w:t>indicating a need for further enlarging the list to cover sugar or meat other than beef.</w:t>
      </w:r>
    </w:p>
    <w:p w14:paraId="00FDBE12" w14:textId="087F90C6" w:rsidR="00617C35" w:rsidRDefault="00524432">
      <w:pPr>
        <w:jc w:val="both"/>
        <w:rPr>
          <w:rFonts w:cs="Times New Roman"/>
          <w:noProof/>
          <w:szCs w:val="24"/>
        </w:rPr>
      </w:pPr>
      <w:r>
        <w:rPr>
          <w:iCs/>
          <w:noProof/>
        </w:rPr>
        <w:t>The</w:t>
      </w:r>
      <w:r w:rsidRPr="00D9727B">
        <w:rPr>
          <w:noProof/>
        </w:rPr>
        <w:t xml:space="preserve"> list </w:t>
      </w:r>
      <w:r>
        <w:rPr>
          <w:iCs/>
          <w:noProof/>
        </w:rPr>
        <w:t xml:space="preserve">of the commodities </w:t>
      </w:r>
      <w:r w:rsidRPr="00D9727B">
        <w:rPr>
          <w:noProof/>
        </w:rPr>
        <w:t xml:space="preserve">was </w:t>
      </w:r>
      <w:r>
        <w:rPr>
          <w:iCs/>
          <w:noProof/>
        </w:rPr>
        <w:t xml:space="preserve">then </w:t>
      </w:r>
      <w:r w:rsidRPr="00D9727B">
        <w:rPr>
          <w:noProof/>
        </w:rPr>
        <w:t xml:space="preserve">further </w:t>
      </w:r>
      <w:r>
        <w:rPr>
          <w:noProof/>
        </w:rPr>
        <w:t>reduced</w:t>
      </w:r>
      <w:r w:rsidRPr="00D9727B">
        <w:rPr>
          <w:noProof/>
        </w:rPr>
        <w:t xml:space="preserve"> via an efficiency analysis</w:t>
      </w:r>
      <w:r>
        <w:rPr>
          <w:noProof/>
        </w:rPr>
        <w:t xml:space="preserve"> (see table 1.)</w:t>
      </w:r>
      <w:r>
        <w:rPr>
          <w:iCs/>
          <w:noProof/>
        </w:rPr>
        <w:t xml:space="preserve"> This efficiency analysis</w:t>
      </w:r>
      <w:r w:rsidRPr="00F81849">
        <w:rPr>
          <w:iCs/>
          <w:noProof/>
        </w:rPr>
        <w:t xml:space="preserve"> compar</w:t>
      </w:r>
      <w:r>
        <w:rPr>
          <w:iCs/>
          <w:noProof/>
        </w:rPr>
        <w:t>ed</w:t>
      </w:r>
      <w:r w:rsidRPr="00D9727B">
        <w:rPr>
          <w:noProof/>
        </w:rPr>
        <w:t xml:space="preserve"> the hectares of deforestation </w:t>
      </w:r>
      <w:r>
        <w:rPr>
          <w:iCs/>
          <w:noProof/>
        </w:rPr>
        <w:t>linked to</w:t>
      </w:r>
      <w:r w:rsidRPr="004F5429">
        <w:rPr>
          <w:noProof/>
        </w:rPr>
        <w:t xml:space="preserve"> </w:t>
      </w:r>
      <w:r w:rsidRPr="00D9727B">
        <w:rPr>
          <w:noProof/>
        </w:rPr>
        <w:t>EU consumption, as estim</w:t>
      </w:r>
      <w:r>
        <w:rPr>
          <w:iCs/>
          <w:noProof/>
        </w:rPr>
        <w:t>ated in a recent research paper</w:t>
      </w:r>
      <w:r>
        <w:rPr>
          <w:rStyle w:val="FootnoteReference"/>
          <w:iCs/>
          <w:noProof/>
        </w:rPr>
        <w:footnoteReference w:id="95"/>
      </w:r>
      <w:r w:rsidRPr="00D9727B">
        <w:rPr>
          <w:noProof/>
        </w:rPr>
        <w:t xml:space="preserve">, </w:t>
      </w:r>
      <w:r>
        <w:rPr>
          <w:iCs/>
          <w:noProof/>
        </w:rPr>
        <w:t>for</w:t>
      </w:r>
      <w:r w:rsidRPr="00F81849">
        <w:rPr>
          <w:iCs/>
          <w:noProof/>
        </w:rPr>
        <w:t xml:space="preserve"> each of those commodities </w:t>
      </w:r>
      <w:r w:rsidRPr="00D9727B">
        <w:rPr>
          <w:noProof/>
        </w:rPr>
        <w:t xml:space="preserve">with </w:t>
      </w:r>
      <w:r w:rsidRPr="00F81849">
        <w:rPr>
          <w:iCs/>
          <w:noProof/>
        </w:rPr>
        <w:t>the</w:t>
      </w:r>
      <w:r w:rsidRPr="00D9727B">
        <w:rPr>
          <w:noProof/>
        </w:rPr>
        <w:t xml:space="preserve"> average value of EU imports</w:t>
      </w:r>
      <w:r w:rsidRPr="00F81849">
        <w:rPr>
          <w:iCs/>
          <w:noProof/>
        </w:rPr>
        <w:t>.</w:t>
      </w:r>
      <w:r>
        <w:rPr>
          <w:iCs/>
          <w:noProof/>
        </w:rPr>
        <w:t xml:space="preserve"> </w:t>
      </w:r>
    </w:p>
    <w:p w14:paraId="40692B24" w14:textId="75597D6C" w:rsidR="00617C35" w:rsidRPr="00EA04FC" w:rsidRDefault="00B07AE5" w:rsidP="00617C35">
      <w:pPr>
        <w:pStyle w:val="WDFigureTitle"/>
        <w:jc w:val="both"/>
        <w:rPr>
          <w:rFonts w:cs="Segoe UI"/>
          <w:noProof/>
          <w:color w:val="auto"/>
        </w:rPr>
      </w:pPr>
      <w:r w:rsidRPr="000B201B">
        <w:rPr>
          <w:rFonts w:ascii="Times New Roman" w:hAnsi="Times New Roman" w:cs="Times New Roman"/>
          <w:noProof/>
          <w:color w:val="auto"/>
          <w:sz w:val="18"/>
        </w:rPr>
        <w:t xml:space="preserve">Figure </w:t>
      </w:r>
      <w:r w:rsidR="00617C35" w:rsidRPr="000B201B">
        <w:rPr>
          <w:rFonts w:ascii="Times New Roman" w:hAnsi="Times New Roman" w:cs="Times New Roman"/>
          <w:noProof/>
          <w:color w:val="auto"/>
          <w:sz w:val="18"/>
        </w:rPr>
        <w:t>5</w:t>
      </w:r>
      <w:r w:rsidR="00617C35" w:rsidRPr="000B201B">
        <w:rPr>
          <w:rFonts w:ascii="Times New Roman" w:hAnsi="Times New Roman" w:cs="Times New Roman"/>
          <w:noProof/>
          <w:color w:val="auto"/>
          <w:sz w:val="18"/>
        </w:rPr>
        <w:tab/>
        <w:t>Individual share of EU-embodied deforestation due to the eight pre-selected commodities between 2008-2017. Source: Pendrill F., Persson U. M., Kastner, T. 2020</w:t>
      </w:r>
      <w:r w:rsidR="00617C35" w:rsidRPr="00EA04FC">
        <w:rPr>
          <w:rFonts w:cs="Segoe UI"/>
          <w:noProof/>
          <w:color w:val="auto"/>
        </w:rPr>
        <w:t xml:space="preserve">. </w:t>
      </w:r>
    </w:p>
    <w:p w14:paraId="3CECA27F" w14:textId="1A26D5B6" w:rsidR="00005227" w:rsidRDefault="00850A69" w:rsidP="00850A69">
      <w:pPr>
        <w:jc w:val="both"/>
        <w:rPr>
          <w:rFonts w:cs="Times New Roman"/>
          <w:noProof/>
          <w:szCs w:val="24"/>
        </w:rPr>
      </w:pPr>
      <w:r w:rsidRPr="007C1494">
        <w:rPr>
          <w:noProof/>
          <w:lang w:eastAsia="en-GB"/>
        </w:rPr>
        <w:drawing>
          <wp:inline distT="0" distB="0" distL="0" distR="0" wp14:anchorId="2CAD2418" wp14:editId="181F3283">
            <wp:extent cx="4225159" cy="2806262"/>
            <wp:effectExtent l="0" t="0" r="4445" b="1333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D369692" w14:textId="0DA50348" w:rsidR="004A27E4" w:rsidRDefault="00A97FE9" w:rsidP="001876EA">
      <w:pPr>
        <w:jc w:val="both"/>
        <w:rPr>
          <w:rFonts w:cs="Times New Roman"/>
          <w:noProof/>
          <w:szCs w:val="24"/>
        </w:rPr>
      </w:pPr>
      <w:r>
        <w:rPr>
          <w:rFonts w:cs="Times New Roman"/>
          <w:noProof/>
          <w:szCs w:val="24"/>
        </w:rPr>
        <w:t>M</w:t>
      </w:r>
      <w:r w:rsidRPr="007C1494">
        <w:rPr>
          <w:rFonts w:cs="Times New Roman"/>
          <w:noProof/>
          <w:szCs w:val="24"/>
        </w:rPr>
        <w:t xml:space="preserve">aize and rubber account for </w:t>
      </w:r>
      <w:r>
        <w:rPr>
          <w:rFonts w:cs="Times New Roman"/>
          <w:noProof/>
          <w:szCs w:val="24"/>
        </w:rPr>
        <w:t>the</w:t>
      </w:r>
      <w:r w:rsidRPr="007C1494">
        <w:rPr>
          <w:rFonts w:cs="Times New Roman"/>
          <w:noProof/>
          <w:szCs w:val="24"/>
        </w:rPr>
        <w:t xml:space="preserve"> smallest fraction of emb</w:t>
      </w:r>
      <w:r w:rsidR="00135398">
        <w:rPr>
          <w:rFonts w:cs="Times New Roman"/>
          <w:noProof/>
          <w:szCs w:val="24"/>
        </w:rPr>
        <w:t>odied</w:t>
      </w:r>
      <w:r w:rsidRPr="007C1494">
        <w:rPr>
          <w:rFonts w:cs="Times New Roman"/>
          <w:noProof/>
          <w:szCs w:val="24"/>
        </w:rPr>
        <w:t xml:space="preserve"> deforestation among the commodities analysed, while their trade volumes are very large (around EUR 2.8 billion per year for maize and 17.6 billion for rubber). Including these two commodities in the scope would require a very large effort</w:t>
      </w:r>
      <w:r w:rsidR="00150791">
        <w:rPr>
          <w:rFonts w:cs="Times New Roman"/>
          <w:noProof/>
          <w:szCs w:val="24"/>
        </w:rPr>
        <w:t xml:space="preserve"> and significant financial and administrative burden</w:t>
      </w:r>
      <w:r w:rsidRPr="007C1494">
        <w:rPr>
          <w:rFonts w:cs="Times New Roman"/>
          <w:noProof/>
          <w:szCs w:val="24"/>
        </w:rPr>
        <w:t>, with li</w:t>
      </w:r>
      <w:r w:rsidR="00150791">
        <w:rPr>
          <w:rFonts w:cs="Times New Roman"/>
          <w:noProof/>
          <w:szCs w:val="24"/>
        </w:rPr>
        <w:t>mited</w:t>
      </w:r>
      <w:r w:rsidRPr="007C1494">
        <w:rPr>
          <w:rFonts w:cs="Times New Roman"/>
          <w:noProof/>
          <w:szCs w:val="24"/>
        </w:rPr>
        <w:t xml:space="preserve"> return in terms of curbing deforestation driven by EU consumption.</w:t>
      </w:r>
      <w:r w:rsidR="004A27E4">
        <w:rPr>
          <w:rFonts w:cs="Times New Roman"/>
          <w:noProof/>
          <w:szCs w:val="24"/>
        </w:rPr>
        <w:t xml:space="preserve"> </w:t>
      </w:r>
    </w:p>
    <w:p w14:paraId="707B2832" w14:textId="26748BC1" w:rsidR="0065121A" w:rsidRPr="00EA04FC" w:rsidRDefault="005E6293" w:rsidP="0065121A">
      <w:pPr>
        <w:pStyle w:val="WDFigureTitle"/>
        <w:jc w:val="both"/>
        <w:rPr>
          <w:rFonts w:cs="Segoe UI"/>
          <w:noProof/>
          <w:color w:val="auto"/>
        </w:rPr>
      </w:pPr>
      <w:r>
        <w:rPr>
          <w:rFonts w:cs="Segoe UI"/>
          <w:noProof/>
          <w:color w:val="auto"/>
        </w:rPr>
        <w:t>Table</w:t>
      </w:r>
      <w:r w:rsidR="00B07AE5">
        <w:rPr>
          <w:rFonts w:cs="Segoe UI"/>
          <w:noProof/>
          <w:color w:val="auto"/>
        </w:rPr>
        <w:t xml:space="preserve"> </w:t>
      </w:r>
      <w:r>
        <w:rPr>
          <w:rFonts w:cs="Segoe UI"/>
          <w:noProof/>
          <w:color w:val="auto"/>
        </w:rPr>
        <w:t>1</w:t>
      </w:r>
      <w:r w:rsidR="0065121A" w:rsidRPr="00EA04FC">
        <w:rPr>
          <w:rFonts w:cs="Segoe UI"/>
          <w:noProof/>
          <w:color w:val="auto"/>
        </w:rPr>
        <w:tab/>
      </w:r>
      <w:r w:rsidR="0065121A">
        <w:rPr>
          <w:rFonts w:cs="Segoe UI"/>
          <w:noProof/>
          <w:color w:val="auto"/>
        </w:rPr>
        <w:t>Cost-benefit analysis of commodities for the scope</w:t>
      </w:r>
      <w:r w:rsidR="00204B0C">
        <w:rPr>
          <w:rFonts w:cs="Segoe UI"/>
          <w:noProof/>
          <w:color w:val="auto"/>
        </w:rPr>
        <w:t xml:space="preserve"> other than wood</w:t>
      </w:r>
      <w:r w:rsidR="0065121A" w:rsidRPr="00EA04FC">
        <w:rPr>
          <w:rFonts w:cs="Segoe UI"/>
          <w:noProof/>
          <w:color w:val="auto"/>
        </w:rPr>
        <w:t>. Source</w:t>
      </w:r>
      <w:r w:rsidR="0065121A">
        <w:rPr>
          <w:rFonts w:cs="Segoe UI"/>
          <w:noProof/>
          <w:color w:val="auto"/>
        </w:rPr>
        <w:t>:</w:t>
      </w:r>
      <w:r w:rsidR="0065121A" w:rsidRPr="00EA04FC">
        <w:rPr>
          <w:rFonts w:cs="Segoe UI"/>
          <w:noProof/>
          <w:color w:val="auto"/>
        </w:rPr>
        <w:t xml:space="preserve"> </w:t>
      </w:r>
      <w:r w:rsidR="0065121A" w:rsidRPr="00617C35">
        <w:rPr>
          <w:rFonts w:cs="Segoe UI"/>
          <w:noProof/>
          <w:color w:val="auto"/>
        </w:rPr>
        <w:t>Pendrill F., Persson U. M., Kastner, T. 2020</w:t>
      </w:r>
      <w:r w:rsidR="0065121A">
        <w:rPr>
          <w:rFonts w:cs="Segoe UI"/>
          <w:noProof/>
          <w:color w:val="auto"/>
        </w:rPr>
        <w:t>, and own elaboration</w:t>
      </w:r>
      <w:r w:rsidR="0065121A" w:rsidRPr="00EA04FC">
        <w:rPr>
          <w:rFonts w:cs="Segoe UI"/>
          <w:noProof/>
          <w:color w:val="auto"/>
        </w:rPr>
        <w:t xml:space="preserve">. </w:t>
      </w:r>
    </w:p>
    <w:tbl>
      <w:tblPr>
        <w:tblW w:w="7191" w:type="dxa"/>
        <w:tblInd w:w="113" w:type="dxa"/>
        <w:tblLook w:val="04A0" w:firstRow="1" w:lastRow="0" w:firstColumn="1" w:lastColumn="0" w:noHBand="0" w:noVBand="1"/>
      </w:tblPr>
      <w:tblGrid>
        <w:gridCol w:w="1412"/>
        <w:gridCol w:w="1461"/>
        <w:gridCol w:w="1778"/>
        <w:gridCol w:w="2540"/>
      </w:tblGrid>
      <w:tr w:rsidR="00F3247A" w:rsidRPr="00F3247A" w14:paraId="393FA29A" w14:textId="77777777" w:rsidTr="00746C56">
        <w:trPr>
          <w:trHeight w:val="300"/>
        </w:trPr>
        <w:tc>
          <w:tcPr>
            <w:tcW w:w="1412" w:type="dxa"/>
            <w:tcBorders>
              <w:top w:val="single" w:sz="4" w:space="0" w:color="auto"/>
              <w:left w:val="single" w:sz="4" w:space="0" w:color="auto"/>
              <w:bottom w:val="single" w:sz="4" w:space="0" w:color="auto"/>
              <w:right w:val="nil"/>
            </w:tcBorders>
            <w:shd w:val="clear" w:color="auto" w:fill="auto"/>
            <w:noWrap/>
            <w:vAlign w:val="bottom"/>
            <w:hideMark/>
          </w:tcPr>
          <w:p w14:paraId="29D4FD23" w14:textId="77777777" w:rsidR="00F3247A" w:rsidRPr="00F3247A" w:rsidRDefault="00F3247A">
            <w:pPr>
              <w:rPr>
                <w:rFonts w:ascii="Calibri" w:eastAsia="Times New Roman" w:hAnsi="Calibri" w:cs="Calibri"/>
                <w:b/>
                <w:bCs/>
                <w:noProof/>
                <w:color w:val="000000"/>
                <w:sz w:val="22"/>
                <w:lang w:eastAsia="zh-CN"/>
              </w:rPr>
            </w:pPr>
            <w:r w:rsidRPr="00F3247A">
              <w:rPr>
                <w:rFonts w:ascii="Calibri" w:eastAsia="Times New Roman" w:hAnsi="Calibri" w:cs="Calibri"/>
                <w:b/>
                <w:bCs/>
                <w:noProof/>
                <w:color w:val="000000"/>
                <w:sz w:val="22"/>
                <w:lang w:eastAsia="zh-CN"/>
              </w:rPr>
              <w:t>Commodity</w:t>
            </w:r>
          </w:p>
        </w:tc>
        <w:tc>
          <w:tcPr>
            <w:tcW w:w="1461" w:type="dxa"/>
            <w:tcBorders>
              <w:top w:val="single" w:sz="4" w:space="0" w:color="auto"/>
              <w:left w:val="nil"/>
              <w:bottom w:val="single" w:sz="4" w:space="0" w:color="auto"/>
              <w:right w:val="nil"/>
            </w:tcBorders>
            <w:shd w:val="clear" w:color="auto" w:fill="auto"/>
            <w:noWrap/>
            <w:vAlign w:val="bottom"/>
            <w:hideMark/>
          </w:tcPr>
          <w:p w14:paraId="6AFFDDD0" w14:textId="21F8AAB6" w:rsidR="00F3247A" w:rsidRPr="00F3247A" w:rsidRDefault="00492E5D" w:rsidP="00F3247A">
            <w:pPr>
              <w:spacing w:after="0" w:line="240" w:lineRule="auto"/>
              <w:rPr>
                <w:rFonts w:ascii="Calibri" w:eastAsia="Times New Roman" w:hAnsi="Calibri" w:cs="Calibri"/>
                <w:b/>
                <w:bCs/>
                <w:noProof/>
                <w:color w:val="000000"/>
                <w:sz w:val="22"/>
                <w:lang w:eastAsia="zh-CN"/>
              </w:rPr>
            </w:pPr>
            <w:r>
              <w:rPr>
                <w:rFonts w:ascii="Calibri" w:eastAsia="Times New Roman" w:hAnsi="Calibri" w:cs="Calibri"/>
                <w:b/>
                <w:bCs/>
                <w:noProof/>
                <w:color w:val="000000"/>
                <w:sz w:val="22"/>
                <w:lang w:eastAsia="zh-CN"/>
              </w:rPr>
              <w:t xml:space="preserve">Embedded deforestation </w:t>
            </w:r>
            <w:r w:rsidR="00F3247A" w:rsidRPr="00F3247A">
              <w:rPr>
                <w:rFonts w:ascii="Calibri" w:eastAsia="Times New Roman" w:hAnsi="Calibri" w:cs="Calibri"/>
                <w:b/>
                <w:bCs/>
                <w:noProof/>
                <w:color w:val="000000"/>
                <w:sz w:val="22"/>
                <w:lang w:eastAsia="zh-CN"/>
              </w:rPr>
              <w:t>Ha</w:t>
            </w:r>
          </w:p>
        </w:tc>
        <w:tc>
          <w:tcPr>
            <w:tcW w:w="1778" w:type="dxa"/>
            <w:tcBorders>
              <w:top w:val="single" w:sz="4" w:space="0" w:color="auto"/>
              <w:left w:val="nil"/>
              <w:bottom w:val="single" w:sz="4" w:space="0" w:color="auto"/>
              <w:right w:val="nil"/>
            </w:tcBorders>
            <w:shd w:val="clear" w:color="auto" w:fill="auto"/>
            <w:noWrap/>
            <w:vAlign w:val="bottom"/>
            <w:hideMark/>
          </w:tcPr>
          <w:p w14:paraId="74ED53F1" w14:textId="2CEF7285" w:rsidR="00F3247A" w:rsidRPr="00F3247A" w:rsidRDefault="00204B0C" w:rsidP="00F3247A">
            <w:pPr>
              <w:spacing w:after="0" w:line="240" w:lineRule="auto"/>
              <w:rPr>
                <w:rFonts w:ascii="Calibri" w:eastAsia="Times New Roman" w:hAnsi="Calibri" w:cs="Calibri"/>
                <w:b/>
                <w:bCs/>
                <w:noProof/>
                <w:color w:val="000000"/>
                <w:sz w:val="22"/>
                <w:lang w:eastAsia="zh-CN"/>
              </w:rPr>
            </w:pPr>
            <w:r>
              <w:rPr>
                <w:rFonts w:ascii="Calibri" w:eastAsia="Times New Roman" w:hAnsi="Calibri" w:cs="Calibri"/>
                <w:b/>
                <w:bCs/>
                <w:noProof/>
                <w:color w:val="000000"/>
                <w:sz w:val="22"/>
                <w:lang w:eastAsia="zh-CN"/>
              </w:rPr>
              <w:t>Volume of annual imports in EUR million</w:t>
            </w:r>
            <w:r>
              <w:rPr>
                <w:rStyle w:val="FootnoteReference"/>
                <w:rFonts w:ascii="Calibri" w:eastAsia="Times New Roman" w:hAnsi="Calibri" w:cs="Calibri"/>
                <w:b/>
                <w:bCs/>
                <w:noProof/>
                <w:color w:val="000000"/>
                <w:sz w:val="22"/>
                <w:lang w:eastAsia="zh-CN"/>
              </w:rPr>
              <w:footnoteReference w:id="96"/>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4FBA4D98" w14:textId="79093214" w:rsidR="00F3247A" w:rsidRPr="00F3247A" w:rsidRDefault="00204B0C" w:rsidP="00F3247A">
            <w:pPr>
              <w:spacing w:after="0" w:line="240" w:lineRule="auto"/>
              <w:rPr>
                <w:rFonts w:ascii="Calibri" w:eastAsia="Times New Roman" w:hAnsi="Calibri" w:cs="Calibri"/>
                <w:b/>
                <w:bCs/>
                <w:noProof/>
                <w:color w:val="000000"/>
                <w:sz w:val="22"/>
                <w:lang w:eastAsia="zh-CN"/>
              </w:rPr>
            </w:pPr>
            <w:r>
              <w:rPr>
                <w:rFonts w:ascii="Calibri" w:eastAsia="Times New Roman" w:hAnsi="Calibri" w:cs="Calibri"/>
                <w:b/>
                <w:bCs/>
                <w:noProof/>
                <w:color w:val="000000"/>
                <w:sz w:val="22"/>
                <w:lang w:eastAsia="zh-CN"/>
              </w:rPr>
              <w:t xml:space="preserve">Ratio  </w:t>
            </w:r>
            <w:r w:rsidR="00D567F0">
              <w:rPr>
                <w:rFonts w:ascii="Calibri" w:eastAsia="Times New Roman" w:hAnsi="Calibri" w:cs="Calibri"/>
                <w:b/>
                <w:bCs/>
                <w:noProof/>
                <w:color w:val="000000"/>
                <w:sz w:val="22"/>
                <w:lang w:eastAsia="zh-CN"/>
              </w:rPr>
              <w:t>m</w:t>
            </w:r>
            <w:r w:rsidR="00F3247A" w:rsidRPr="00F3247A">
              <w:rPr>
                <w:rFonts w:ascii="Calibri" w:eastAsia="Times New Roman" w:hAnsi="Calibri" w:cs="Calibri"/>
                <w:b/>
                <w:bCs/>
                <w:noProof/>
                <w:color w:val="000000"/>
                <w:sz w:val="22"/>
                <w:lang w:eastAsia="zh-CN"/>
              </w:rPr>
              <w:t>EUR</w:t>
            </w:r>
            <w:r w:rsidR="00D567F0">
              <w:rPr>
                <w:rFonts w:ascii="Calibri" w:eastAsia="Times New Roman" w:hAnsi="Calibri" w:cs="Calibri"/>
                <w:b/>
                <w:bCs/>
                <w:noProof/>
                <w:color w:val="000000"/>
                <w:sz w:val="22"/>
                <w:lang w:eastAsia="zh-CN"/>
              </w:rPr>
              <w:t xml:space="preserve"> of imports covered by the policy intervention</w:t>
            </w:r>
            <w:r w:rsidR="00F3247A" w:rsidRPr="00F3247A">
              <w:rPr>
                <w:rFonts w:ascii="Calibri" w:eastAsia="Times New Roman" w:hAnsi="Calibri" w:cs="Calibri"/>
                <w:b/>
                <w:bCs/>
                <w:noProof/>
                <w:color w:val="000000"/>
                <w:sz w:val="22"/>
                <w:lang w:eastAsia="zh-CN"/>
              </w:rPr>
              <w:t>/Ha</w:t>
            </w:r>
          </w:p>
        </w:tc>
      </w:tr>
      <w:tr w:rsidR="00F3247A" w:rsidRPr="00F3247A" w14:paraId="551C643A" w14:textId="77777777" w:rsidTr="00746C56">
        <w:trPr>
          <w:trHeight w:val="300"/>
        </w:trPr>
        <w:tc>
          <w:tcPr>
            <w:tcW w:w="1412" w:type="dxa"/>
            <w:tcBorders>
              <w:top w:val="nil"/>
              <w:left w:val="single" w:sz="4" w:space="0" w:color="auto"/>
              <w:bottom w:val="nil"/>
              <w:right w:val="nil"/>
            </w:tcBorders>
            <w:shd w:val="clear" w:color="auto" w:fill="auto"/>
            <w:noWrap/>
            <w:vAlign w:val="bottom"/>
            <w:hideMark/>
          </w:tcPr>
          <w:p w14:paraId="594DB460" w14:textId="70D31A54" w:rsidR="00F3247A" w:rsidRPr="00F3247A" w:rsidRDefault="00F3247A" w:rsidP="00F3247A">
            <w:pPr>
              <w:spacing w:after="0" w:line="240" w:lineRule="auto"/>
              <w:rPr>
                <w:rFonts w:ascii="Calibri" w:eastAsia="Times New Roman" w:hAnsi="Calibri" w:cs="Calibri"/>
                <w:b/>
                <w:bCs/>
                <w:noProof/>
                <w:color w:val="000000"/>
                <w:sz w:val="22"/>
                <w:lang w:eastAsia="zh-CN"/>
              </w:rPr>
            </w:pPr>
          </w:p>
        </w:tc>
        <w:tc>
          <w:tcPr>
            <w:tcW w:w="1461" w:type="dxa"/>
            <w:tcBorders>
              <w:top w:val="nil"/>
              <w:left w:val="nil"/>
              <w:bottom w:val="nil"/>
              <w:right w:val="nil"/>
            </w:tcBorders>
            <w:shd w:val="clear" w:color="auto" w:fill="auto"/>
            <w:noWrap/>
            <w:vAlign w:val="bottom"/>
            <w:hideMark/>
          </w:tcPr>
          <w:p w14:paraId="150DBD31" w14:textId="6DA60C76" w:rsidR="00F3247A" w:rsidRPr="00F3247A" w:rsidRDefault="00F3247A" w:rsidP="00F3247A">
            <w:pPr>
              <w:spacing w:after="0" w:line="240" w:lineRule="auto"/>
              <w:jc w:val="right"/>
              <w:rPr>
                <w:rFonts w:ascii="Calibri" w:eastAsia="Times New Roman" w:hAnsi="Calibri" w:cs="Calibri"/>
                <w:noProof/>
                <w:color w:val="000000"/>
                <w:sz w:val="22"/>
                <w:lang w:eastAsia="zh-CN"/>
              </w:rPr>
            </w:pPr>
          </w:p>
        </w:tc>
        <w:tc>
          <w:tcPr>
            <w:tcW w:w="1778" w:type="dxa"/>
            <w:tcBorders>
              <w:top w:val="nil"/>
              <w:left w:val="nil"/>
              <w:bottom w:val="nil"/>
              <w:right w:val="nil"/>
            </w:tcBorders>
            <w:shd w:val="clear" w:color="auto" w:fill="auto"/>
            <w:noWrap/>
            <w:vAlign w:val="bottom"/>
            <w:hideMark/>
          </w:tcPr>
          <w:p w14:paraId="4B1FAD02" w14:textId="16390621" w:rsidR="00F3247A" w:rsidRPr="00F3247A" w:rsidRDefault="00F3247A" w:rsidP="00F3247A">
            <w:pPr>
              <w:spacing w:after="0" w:line="240" w:lineRule="auto"/>
              <w:jc w:val="right"/>
              <w:rPr>
                <w:rFonts w:ascii="Calibri" w:eastAsia="Times New Roman" w:hAnsi="Calibri" w:cs="Calibri"/>
                <w:noProof/>
                <w:color w:val="000000"/>
                <w:sz w:val="22"/>
                <w:lang w:eastAsia="zh-CN"/>
              </w:rPr>
            </w:pPr>
          </w:p>
        </w:tc>
        <w:tc>
          <w:tcPr>
            <w:tcW w:w="2540" w:type="dxa"/>
            <w:tcBorders>
              <w:top w:val="nil"/>
              <w:left w:val="nil"/>
              <w:bottom w:val="nil"/>
              <w:right w:val="single" w:sz="4" w:space="0" w:color="auto"/>
            </w:tcBorders>
            <w:shd w:val="clear" w:color="auto" w:fill="auto"/>
            <w:noWrap/>
            <w:vAlign w:val="bottom"/>
            <w:hideMark/>
          </w:tcPr>
          <w:p w14:paraId="193D0603" w14:textId="24ACCBD3" w:rsidR="00F3247A" w:rsidRPr="00F3247A" w:rsidRDefault="00F3247A" w:rsidP="00F3247A">
            <w:pPr>
              <w:spacing w:after="0" w:line="240" w:lineRule="auto"/>
              <w:jc w:val="right"/>
              <w:rPr>
                <w:rFonts w:ascii="Calibri" w:eastAsia="Times New Roman" w:hAnsi="Calibri" w:cs="Calibri"/>
                <w:noProof/>
                <w:color w:val="000000"/>
                <w:sz w:val="22"/>
                <w:lang w:eastAsia="zh-CN"/>
              </w:rPr>
            </w:pPr>
          </w:p>
        </w:tc>
      </w:tr>
      <w:tr w:rsidR="00F3247A" w:rsidRPr="00F3247A" w14:paraId="5DBB5AB0" w14:textId="77777777" w:rsidTr="00746C56">
        <w:trPr>
          <w:trHeight w:val="300"/>
        </w:trPr>
        <w:tc>
          <w:tcPr>
            <w:tcW w:w="1412" w:type="dxa"/>
            <w:tcBorders>
              <w:top w:val="nil"/>
              <w:left w:val="single" w:sz="4" w:space="0" w:color="auto"/>
              <w:bottom w:val="nil"/>
              <w:right w:val="nil"/>
            </w:tcBorders>
            <w:shd w:val="clear" w:color="auto" w:fill="auto"/>
            <w:noWrap/>
            <w:vAlign w:val="bottom"/>
            <w:hideMark/>
          </w:tcPr>
          <w:p w14:paraId="3D3DD552" w14:textId="77777777" w:rsidR="00F3247A" w:rsidRPr="00F3247A" w:rsidRDefault="00F3247A" w:rsidP="00F3247A">
            <w:pPr>
              <w:spacing w:after="0" w:line="240" w:lineRule="auto"/>
              <w:rPr>
                <w:rFonts w:ascii="Calibri" w:eastAsia="Times New Roman" w:hAnsi="Calibri" w:cs="Calibri"/>
                <w:noProof/>
                <w:color w:val="000000"/>
                <w:sz w:val="22"/>
                <w:lang w:eastAsia="zh-CN"/>
              </w:rPr>
            </w:pPr>
            <w:r w:rsidRPr="00F3247A">
              <w:rPr>
                <w:rFonts w:ascii="Calibri" w:eastAsia="Times New Roman" w:hAnsi="Calibri" w:cs="Calibri"/>
                <w:noProof/>
                <w:color w:val="000000"/>
                <w:sz w:val="22"/>
                <w:lang w:eastAsia="zh-CN"/>
              </w:rPr>
              <w:t>Palm oil</w:t>
            </w:r>
          </w:p>
        </w:tc>
        <w:tc>
          <w:tcPr>
            <w:tcW w:w="1461" w:type="dxa"/>
            <w:tcBorders>
              <w:top w:val="nil"/>
              <w:left w:val="nil"/>
              <w:bottom w:val="nil"/>
              <w:right w:val="nil"/>
            </w:tcBorders>
            <w:shd w:val="clear" w:color="auto" w:fill="auto"/>
            <w:noWrap/>
            <w:vAlign w:val="bottom"/>
            <w:hideMark/>
          </w:tcPr>
          <w:p w14:paraId="082D72E0" w14:textId="40BF334F" w:rsidR="00F3247A" w:rsidRPr="00F3247A" w:rsidRDefault="00F3247A" w:rsidP="00F3247A">
            <w:pPr>
              <w:spacing w:after="0" w:line="240" w:lineRule="auto"/>
              <w:jc w:val="right"/>
              <w:rPr>
                <w:rFonts w:ascii="Calibri" w:eastAsia="Times New Roman" w:hAnsi="Calibri" w:cs="Calibri"/>
                <w:noProof/>
                <w:color w:val="000000"/>
                <w:sz w:val="22"/>
                <w:lang w:eastAsia="zh-CN"/>
              </w:rPr>
            </w:pPr>
            <w:r w:rsidRPr="00F3247A">
              <w:rPr>
                <w:rFonts w:ascii="Calibri" w:eastAsia="Times New Roman" w:hAnsi="Calibri" w:cs="Calibri"/>
                <w:noProof/>
                <w:color w:val="000000"/>
                <w:sz w:val="22"/>
                <w:lang w:eastAsia="zh-CN"/>
              </w:rPr>
              <w:t>67</w:t>
            </w:r>
            <w:r w:rsidR="00206E96">
              <w:rPr>
                <w:rFonts w:ascii="Calibri" w:eastAsia="Times New Roman" w:hAnsi="Calibri" w:cs="Calibri"/>
                <w:noProof/>
                <w:color w:val="000000"/>
                <w:sz w:val="22"/>
                <w:lang w:eastAsia="zh-CN"/>
              </w:rPr>
              <w:t>,</w:t>
            </w:r>
            <w:r w:rsidRPr="00F3247A">
              <w:rPr>
                <w:rFonts w:ascii="Calibri" w:eastAsia="Times New Roman" w:hAnsi="Calibri" w:cs="Calibri"/>
                <w:noProof/>
                <w:color w:val="000000"/>
                <w:sz w:val="22"/>
                <w:lang w:eastAsia="zh-CN"/>
              </w:rPr>
              <w:t>661</w:t>
            </w:r>
            <w:r w:rsidR="00D567F0">
              <w:rPr>
                <w:rFonts w:ascii="Calibri" w:eastAsia="Times New Roman" w:hAnsi="Calibri" w:cs="Calibri"/>
                <w:noProof/>
                <w:color w:val="000000"/>
                <w:sz w:val="22"/>
                <w:lang w:eastAsia="zh-CN"/>
              </w:rPr>
              <w:t>.</w:t>
            </w:r>
            <w:r w:rsidRPr="00F3247A">
              <w:rPr>
                <w:rFonts w:ascii="Calibri" w:eastAsia="Times New Roman" w:hAnsi="Calibri" w:cs="Calibri"/>
                <w:noProof/>
                <w:color w:val="000000"/>
                <w:sz w:val="22"/>
                <w:lang w:eastAsia="zh-CN"/>
              </w:rPr>
              <w:t>71</w:t>
            </w:r>
          </w:p>
        </w:tc>
        <w:tc>
          <w:tcPr>
            <w:tcW w:w="1778" w:type="dxa"/>
            <w:tcBorders>
              <w:top w:val="nil"/>
              <w:left w:val="nil"/>
              <w:bottom w:val="nil"/>
              <w:right w:val="nil"/>
            </w:tcBorders>
            <w:shd w:val="clear" w:color="auto" w:fill="auto"/>
            <w:noWrap/>
            <w:vAlign w:val="bottom"/>
            <w:hideMark/>
          </w:tcPr>
          <w:p w14:paraId="529CA4CF" w14:textId="0E7B95E9" w:rsidR="00F3247A" w:rsidRPr="00F3247A" w:rsidRDefault="00696C97" w:rsidP="00F3247A">
            <w:pPr>
              <w:spacing w:after="0" w:line="240" w:lineRule="auto"/>
              <w:jc w:val="right"/>
              <w:rPr>
                <w:rFonts w:ascii="Calibri" w:eastAsia="Times New Roman" w:hAnsi="Calibri" w:cs="Calibri"/>
                <w:noProof/>
                <w:color w:val="000000"/>
                <w:sz w:val="22"/>
                <w:lang w:eastAsia="zh-CN"/>
              </w:rPr>
            </w:pPr>
            <w:r>
              <w:rPr>
                <w:rFonts w:ascii="Calibri" w:eastAsia="Times New Roman" w:hAnsi="Calibri" w:cs="Calibri"/>
                <w:noProof/>
                <w:color w:val="000000"/>
                <w:sz w:val="22"/>
                <w:lang w:eastAsia="zh-CN"/>
              </w:rPr>
              <w:t>5</w:t>
            </w:r>
            <w:r w:rsidR="00206E96">
              <w:rPr>
                <w:rFonts w:ascii="Calibri" w:eastAsia="Times New Roman" w:hAnsi="Calibri" w:cs="Calibri"/>
                <w:noProof/>
                <w:color w:val="000000"/>
                <w:sz w:val="22"/>
                <w:lang w:eastAsia="zh-CN"/>
              </w:rPr>
              <w:t>,</w:t>
            </w:r>
            <w:r>
              <w:rPr>
                <w:rFonts w:ascii="Calibri" w:eastAsia="Times New Roman" w:hAnsi="Calibri" w:cs="Calibri"/>
                <w:noProof/>
                <w:color w:val="000000"/>
                <w:sz w:val="22"/>
                <w:lang w:eastAsia="zh-CN"/>
              </w:rPr>
              <w:t>013</w:t>
            </w:r>
          </w:p>
        </w:tc>
        <w:tc>
          <w:tcPr>
            <w:tcW w:w="2540" w:type="dxa"/>
            <w:tcBorders>
              <w:top w:val="nil"/>
              <w:left w:val="nil"/>
              <w:bottom w:val="nil"/>
              <w:right w:val="single" w:sz="4" w:space="0" w:color="auto"/>
            </w:tcBorders>
            <w:shd w:val="clear" w:color="auto" w:fill="auto"/>
            <w:noWrap/>
            <w:vAlign w:val="bottom"/>
            <w:hideMark/>
          </w:tcPr>
          <w:p w14:paraId="5E6B8432" w14:textId="3632BA53" w:rsidR="00F3247A" w:rsidRPr="00F3247A" w:rsidRDefault="00D567F0" w:rsidP="00696C97">
            <w:pPr>
              <w:spacing w:after="0" w:line="240" w:lineRule="auto"/>
              <w:jc w:val="right"/>
              <w:rPr>
                <w:rFonts w:ascii="Calibri" w:eastAsia="Times New Roman" w:hAnsi="Calibri" w:cs="Calibri"/>
                <w:noProof/>
                <w:color w:val="000000"/>
                <w:sz w:val="22"/>
                <w:lang w:eastAsia="zh-CN"/>
              </w:rPr>
            </w:pPr>
            <w:r>
              <w:rPr>
                <w:rFonts w:ascii="Calibri" w:eastAsia="Times New Roman" w:hAnsi="Calibri" w:cs="Calibri"/>
                <w:noProof/>
                <w:color w:val="000000"/>
                <w:sz w:val="22"/>
                <w:lang w:eastAsia="zh-CN"/>
              </w:rPr>
              <w:t>0.0</w:t>
            </w:r>
            <w:r w:rsidR="00696C97">
              <w:rPr>
                <w:rFonts w:ascii="Calibri" w:eastAsia="Times New Roman" w:hAnsi="Calibri" w:cs="Calibri"/>
                <w:noProof/>
                <w:color w:val="000000"/>
                <w:sz w:val="22"/>
                <w:lang w:eastAsia="zh-CN"/>
              </w:rPr>
              <w:t>7</w:t>
            </w:r>
          </w:p>
        </w:tc>
      </w:tr>
      <w:tr w:rsidR="00F3247A" w:rsidRPr="00F3247A" w14:paraId="75D1B17B" w14:textId="77777777" w:rsidTr="00746C56">
        <w:trPr>
          <w:trHeight w:val="300"/>
        </w:trPr>
        <w:tc>
          <w:tcPr>
            <w:tcW w:w="1412" w:type="dxa"/>
            <w:tcBorders>
              <w:top w:val="nil"/>
              <w:left w:val="single" w:sz="4" w:space="0" w:color="auto"/>
              <w:bottom w:val="nil"/>
              <w:right w:val="nil"/>
            </w:tcBorders>
            <w:shd w:val="clear" w:color="auto" w:fill="auto"/>
            <w:noWrap/>
            <w:vAlign w:val="bottom"/>
            <w:hideMark/>
          </w:tcPr>
          <w:p w14:paraId="7792FAAF" w14:textId="77777777" w:rsidR="00F3247A" w:rsidRPr="00F3247A" w:rsidRDefault="00F3247A" w:rsidP="00F3247A">
            <w:pPr>
              <w:spacing w:after="0" w:line="240" w:lineRule="auto"/>
              <w:rPr>
                <w:rFonts w:ascii="Calibri" w:eastAsia="Times New Roman" w:hAnsi="Calibri" w:cs="Calibri"/>
                <w:noProof/>
                <w:color w:val="000000"/>
                <w:sz w:val="22"/>
                <w:lang w:eastAsia="zh-CN"/>
              </w:rPr>
            </w:pPr>
            <w:r w:rsidRPr="00F3247A">
              <w:rPr>
                <w:rFonts w:ascii="Calibri" w:eastAsia="Times New Roman" w:hAnsi="Calibri" w:cs="Calibri"/>
                <w:noProof/>
                <w:color w:val="000000"/>
                <w:sz w:val="22"/>
                <w:lang w:eastAsia="zh-CN"/>
              </w:rPr>
              <w:t>Soy</w:t>
            </w:r>
          </w:p>
        </w:tc>
        <w:tc>
          <w:tcPr>
            <w:tcW w:w="1461" w:type="dxa"/>
            <w:tcBorders>
              <w:top w:val="nil"/>
              <w:left w:val="nil"/>
              <w:bottom w:val="nil"/>
              <w:right w:val="nil"/>
            </w:tcBorders>
            <w:shd w:val="clear" w:color="auto" w:fill="auto"/>
            <w:noWrap/>
            <w:vAlign w:val="bottom"/>
            <w:hideMark/>
          </w:tcPr>
          <w:p w14:paraId="5CA8093A" w14:textId="74564938" w:rsidR="00F3247A" w:rsidRPr="00F3247A" w:rsidRDefault="00F3247A" w:rsidP="00F3247A">
            <w:pPr>
              <w:spacing w:after="0" w:line="240" w:lineRule="auto"/>
              <w:jc w:val="right"/>
              <w:rPr>
                <w:rFonts w:ascii="Calibri" w:eastAsia="Times New Roman" w:hAnsi="Calibri" w:cs="Calibri"/>
                <w:noProof/>
                <w:color w:val="000000"/>
                <w:sz w:val="22"/>
                <w:lang w:eastAsia="zh-CN"/>
              </w:rPr>
            </w:pPr>
            <w:r w:rsidRPr="00F3247A">
              <w:rPr>
                <w:rFonts w:ascii="Calibri" w:eastAsia="Times New Roman" w:hAnsi="Calibri" w:cs="Calibri"/>
                <w:noProof/>
                <w:color w:val="000000"/>
                <w:sz w:val="22"/>
                <w:lang w:eastAsia="zh-CN"/>
              </w:rPr>
              <w:t>65</w:t>
            </w:r>
            <w:r w:rsidR="00206E96">
              <w:rPr>
                <w:rFonts w:ascii="Calibri" w:eastAsia="Times New Roman" w:hAnsi="Calibri" w:cs="Calibri"/>
                <w:noProof/>
                <w:color w:val="000000"/>
                <w:sz w:val="22"/>
                <w:lang w:eastAsia="zh-CN"/>
              </w:rPr>
              <w:t>,</w:t>
            </w:r>
            <w:r w:rsidRPr="00F3247A">
              <w:rPr>
                <w:rFonts w:ascii="Calibri" w:eastAsia="Times New Roman" w:hAnsi="Calibri" w:cs="Calibri"/>
                <w:noProof/>
                <w:color w:val="000000"/>
                <w:sz w:val="22"/>
                <w:lang w:eastAsia="zh-CN"/>
              </w:rPr>
              <w:t>427</w:t>
            </w:r>
            <w:r w:rsidR="00D567F0">
              <w:rPr>
                <w:rFonts w:ascii="Calibri" w:eastAsia="Times New Roman" w:hAnsi="Calibri" w:cs="Calibri"/>
                <w:noProof/>
                <w:color w:val="000000"/>
                <w:sz w:val="22"/>
                <w:lang w:eastAsia="zh-CN"/>
              </w:rPr>
              <w:t>.</w:t>
            </w:r>
            <w:r w:rsidRPr="00F3247A">
              <w:rPr>
                <w:rFonts w:ascii="Calibri" w:eastAsia="Times New Roman" w:hAnsi="Calibri" w:cs="Calibri"/>
                <w:noProof/>
                <w:color w:val="000000"/>
                <w:sz w:val="22"/>
                <w:lang w:eastAsia="zh-CN"/>
              </w:rPr>
              <w:t>78</w:t>
            </w:r>
          </w:p>
        </w:tc>
        <w:tc>
          <w:tcPr>
            <w:tcW w:w="1778" w:type="dxa"/>
            <w:tcBorders>
              <w:top w:val="nil"/>
              <w:left w:val="nil"/>
              <w:bottom w:val="nil"/>
              <w:right w:val="nil"/>
            </w:tcBorders>
            <w:shd w:val="clear" w:color="auto" w:fill="auto"/>
            <w:noWrap/>
            <w:vAlign w:val="bottom"/>
            <w:hideMark/>
          </w:tcPr>
          <w:p w14:paraId="3576E770" w14:textId="5322E236" w:rsidR="00F3247A" w:rsidRPr="00F3247A" w:rsidRDefault="00D21097" w:rsidP="00F3247A">
            <w:pPr>
              <w:spacing w:after="0" w:line="240" w:lineRule="auto"/>
              <w:jc w:val="right"/>
              <w:rPr>
                <w:rFonts w:ascii="Calibri" w:eastAsia="Times New Roman" w:hAnsi="Calibri" w:cs="Calibri"/>
                <w:noProof/>
                <w:color w:val="000000"/>
                <w:sz w:val="22"/>
                <w:lang w:eastAsia="zh-CN"/>
              </w:rPr>
            </w:pPr>
            <w:r>
              <w:rPr>
                <w:rFonts w:ascii="Calibri" w:eastAsia="Times New Roman" w:hAnsi="Calibri" w:cs="Calibri"/>
                <w:noProof/>
                <w:color w:val="000000"/>
                <w:sz w:val="22"/>
                <w:lang w:eastAsia="zh-CN"/>
              </w:rPr>
              <w:t>11</w:t>
            </w:r>
            <w:r w:rsidR="00206E96">
              <w:rPr>
                <w:rFonts w:ascii="Calibri" w:eastAsia="Times New Roman" w:hAnsi="Calibri" w:cs="Calibri"/>
                <w:noProof/>
                <w:color w:val="000000"/>
                <w:sz w:val="22"/>
                <w:lang w:eastAsia="zh-CN"/>
              </w:rPr>
              <w:t>,</w:t>
            </w:r>
            <w:r>
              <w:rPr>
                <w:rFonts w:ascii="Calibri" w:eastAsia="Times New Roman" w:hAnsi="Calibri" w:cs="Calibri"/>
                <w:noProof/>
                <w:color w:val="000000"/>
                <w:sz w:val="22"/>
                <w:lang w:eastAsia="zh-CN"/>
              </w:rPr>
              <w:t>133</w:t>
            </w:r>
          </w:p>
        </w:tc>
        <w:tc>
          <w:tcPr>
            <w:tcW w:w="2540" w:type="dxa"/>
            <w:tcBorders>
              <w:top w:val="nil"/>
              <w:left w:val="nil"/>
              <w:bottom w:val="nil"/>
              <w:right w:val="single" w:sz="4" w:space="0" w:color="auto"/>
            </w:tcBorders>
            <w:shd w:val="clear" w:color="auto" w:fill="auto"/>
            <w:noWrap/>
            <w:vAlign w:val="bottom"/>
            <w:hideMark/>
          </w:tcPr>
          <w:p w14:paraId="2D9986B6" w14:textId="7C4D0635" w:rsidR="00F3247A" w:rsidRPr="00F3247A" w:rsidRDefault="00D567F0" w:rsidP="00D21097">
            <w:pPr>
              <w:spacing w:after="0" w:line="240" w:lineRule="auto"/>
              <w:jc w:val="right"/>
              <w:rPr>
                <w:rFonts w:ascii="Calibri" w:eastAsia="Times New Roman" w:hAnsi="Calibri" w:cs="Calibri"/>
                <w:noProof/>
                <w:color w:val="000000"/>
                <w:sz w:val="22"/>
                <w:lang w:eastAsia="zh-CN"/>
              </w:rPr>
            </w:pPr>
            <w:r>
              <w:rPr>
                <w:rFonts w:ascii="Calibri" w:eastAsia="Times New Roman" w:hAnsi="Calibri" w:cs="Calibri"/>
                <w:noProof/>
                <w:color w:val="000000"/>
                <w:sz w:val="22"/>
                <w:lang w:eastAsia="zh-CN"/>
              </w:rPr>
              <w:t>0.</w:t>
            </w:r>
            <w:r w:rsidR="00D21097">
              <w:rPr>
                <w:rFonts w:ascii="Calibri" w:eastAsia="Times New Roman" w:hAnsi="Calibri" w:cs="Calibri"/>
                <w:noProof/>
                <w:color w:val="000000"/>
                <w:sz w:val="22"/>
                <w:lang w:eastAsia="zh-CN"/>
              </w:rPr>
              <w:t>17</w:t>
            </w:r>
          </w:p>
        </w:tc>
      </w:tr>
      <w:tr w:rsidR="00F3247A" w:rsidRPr="00F3247A" w14:paraId="5DC7CE2C" w14:textId="77777777" w:rsidTr="00746C56">
        <w:trPr>
          <w:trHeight w:val="300"/>
        </w:trPr>
        <w:tc>
          <w:tcPr>
            <w:tcW w:w="1412" w:type="dxa"/>
            <w:tcBorders>
              <w:top w:val="nil"/>
              <w:left w:val="single" w:sz="4" w:space="0" w:color="auto"/>
              <w:bottom w:val="nil"/>
              <w:right w:val="nil"/>
            </w:tcBorders>
            <w:shd w:val="clear" w:color="auto" w:fill="auto"/>
            <w:noWrap/>
            <w:vAlign w:val="bottom"/>
            <w:hideMark/>
          </w:tcPr>
          <w:p w14:paraId="4FC27FDA" w14:textId="77777777" w:rsidR="00F3247A" w:rsidRPr="00F3247A" w:rsidRDefault="00F3247A" w:rsidP="00F3247A">
            <w:pPr>
              <w:spacing w:after="0" w:line="240" w:lineRule="auto"/>
              <w:rPr>
                <w:rFonts w:ascii="Calibri" w:eastAsia="Times New Roman" w:hAnsi="Calibri" w:cs="Calibri"/>
                <w:noProof/>
                <w:color w:val="000000"/>
                <w:sz w:val="22"/>
                <w:lang w:eastAsia="zh-CN"/>
              </w:rPr>
            </w:pPr>
            <w:r w:rsidRPr="00F3247A">
              <w:rPr>
                <w:rFonts w:ascii="Calibri" w:eastAsia="Times New Roman" w:hAnsi="Calibri" w:cs="Calibri"/>
                <w:noProof/>
                <w:color w:val="000000"/>
                <w:sz w:val="22"/>
                <w:lang w:eastAsia="zh-CN"/>
              </w:rPr>
              <w:t>Beef</w:t>
            </w:r>
          </w:p>
        </w:tc>
        <w:tc>
          <w:tcPr>
            <w:tcW w:w="1461" w:type="dxa"/>
            <w:tcBorders>
              <w:top w:val="nil"/>
              <w:left w:val="nil"/>
              <w:bottom w:val="nil"/>
              <w:right w:val="nil"/>
            </w:tcBorders>
            <w:shd w:val="clear" w:color="auto" w:fill="auto"/>
            <w:noWrap/>
            <w:vAlign w:val="bottom"/>
            <w:hideMark/>
          </w:tcPr>
          <w:p w14:paraId="73AF9D18" w14:textId="792ADA83" w:rsidR="00F3247A" w:rsidRPr="00F3247A" w:rsidRDefault="00F3247A" w:rsidP="00F3247A">
            <w:pPr>
              <w:spacing w:after="0" w:line="240" w:lineRule="auto"/>
              <w:jc w:val="right"/>
              <w:rPr>
                <w:rFonts w:ascii="Calibri" w:eastAsia="Times New Roman" w:hAnsi="Calibri" w:cs="Calibri"/>
                <w:noProof/>
                <w:color w:val="000000"/>
                <w:sz w:val="22"/>
                <w:lang w:eastAsia="zh-CN"/>
              </w:rPr>
            </w:pPr>
            <w:r w:rsidRPr="00F3247A">
              <w:rPr>
                <w:rFonts w:ascii="Calibri" w:eastAsia="Times New Roman" w:hAnsi="Calibri" w:cs="Calibri"/>
                <w:noProof/>
                <w:color w:val="000000"/>
                <w:sz w:val="22"/>
                <w:lang w:eastAsia="zh-CN"/>
              </w:rPr>
              <w:t>9</w:t>
            </w:r>
            <w:r w:rsidR="00206E96">
              <w:rPr>
                <w:rFonts w:ascii="Calibri" w:eastAsia="Times New Roman" w:hAnsi="Calibri" w:cs="Calibri"/>
                <w:noProof/>
                <w:color w:val="000000"/>
                <w:sz w:val="22"/>
                <w:lang w:eastAsia="zh-CN"/>
              </w:rPr>
              <w:t>,</w:t>
            </w:r>
            <w:r w:rsidRPr="00F3247A">
              <w:rPr>
                <w:rFonts w:ascii="Calibri" w:eastAsia="Times New Roman" w:hAnsi="Calibri" w:cs="Calibri"/>
                <w:noProof/>
                <w:color w:val="000000"/>
                <w:sz w:val="22"/>
                <w:lang w:eastAsia="zh-CN"/>
              </w:rPr>
              <w:t>975</w:t>
            </w:r>
            <w:r w:rsidR="00D567F0">
              <w:rPr>
                <w:rFonts w:ascii="Calibri" w:eastAsia="Times New Roman" w:hAnsi="Calibri" w:cs="Calibri"/>
                <w:noProof/>
                <w:color w:val="000000"/>
                <w:sz w:val="22"/>
                <w:lang w:eastAsia="zh-CN"/>
              </w:rPr>
              <w:t>.</w:t>
            </w:r>
            <w:r w:rsidRPr="00F3247A">
              <w:rPr>
                <w:rFonts w:ascii="Calibri" w:eastAsia="Times New Roman" w:hAnsi="Calibri" w:cs="Calibri"/>
                <w:noProof/>
                <w:color w:val="000000"/>
                <w:sz w:val="22"/>
                <w:lang w:eastAsia="zh-CN"/>
              </w:rPr>
              <w:t>77</w:t>
            </w:r>
          </w:p>
        </w:tc>
        <w:tc>
          <w:tcPr>
            <w:tcW w:w="1778" w:type="dxa"/>
            <w:tcBorders>
              <w:top w:val="nil"/>
              <w:left w:val="nil"/>
              <w:bottom w:val="nil"/>
              <w:right w:val="nil"/>
            </w:tcBorders>
            <w:shd w:val="clear" w:color="auto" w:fill="auto"/>
            <w:noWrap/>
            <w:vAlign w:val="bottom"/>
            <w:hideMark/>
          </w:tcPr>
          <w:p w14:paraId="332A85D3" w14:textId="31F4223B" w:rsidR="00F3247A" w:rsidRPr="00F3247A" w:rsidRDefault="00696C97" w:rsidP="00F3247A">
            <w:pPr>
              <w:spacing w:after="0" w:line="240" w:lineRule="auto"/>
              <w:jc w:val="right"/>
              <w:rPr>
                <w:rFonts w:ascii="Calibri" w:eastAsia="Times New Roman" w:hAnsi="Calibri" w:cs="Calibri"/>
                <w:noProof/>
                <w:color w:val="000000"/>
                <w:sz w:val="22"/>
                <w:lang w:eastAsia="zh-CN"/>
              </w:rPr>
            </w:pPr>
            <w:r>
              <w:rPr>
                <w:rFonts w:ascii="Calibri" w:eastAsia="Times New Roman" w:hAnsi="Calibri" w:cs="Calibri"/>
                <w:noProof/>
                <w:color w:val="000000"/>
                <w:sz w:val="22"/>
                <w:lang w:eastAsia="zh-CN"/>
              </w:rPr>
              <w:t>4</w:t>
            </w:r>
            <w:r w:rsidR="00206E96">
              <w:rPr>
                <w:rFonts w:ascii="Calibri" w:eastAsia="Times New Roman" w:hAnsi="Calibri" w:cs="Calibri"/>
                <w:noProof/>
                <w:color w:val="000000"/>
                <w:sz w:val="22"/>
                <w:lang w:eastAsia="zh-CN"/>
              </w:rPr>
              <w:t>,</w:t>
            </w:r>
            <w:r>
              <w:rPr>
                <w:rFonts w:ascii="Calibri" w:eastAsia="Times New Roman" w:hAnsi="Calibri" w:cs="Calibri"/>
                <w:noProof/>
                <w:color w:val="000000"/>
                <w:sz w:val="22"/>
                <w:lang w:eastAsia="zh-CN"/>
              </w:rPr>
              <w:t>304</w:t>
            </w:r>
          </w:p>
        </w:tc>
        <w:tc>
          <w:tcPr>
            <w:tcW w:w="2540" w:type="dxa"/>
            <w:tcBorders>
              <w:top w:val="nil"/>
              <w:left w:val="nil"/>
              <w:bottom w:val="nil"/>
              <w:right w:val="single" w:sz="4" w:space="0" w:color="auto"/>
            </w:tcBorders>
            <w:shd w:val="clear" w:color="auto" w:fill="auto"/>
            <w:noWrap/>
            <w:vAlign w:val="bottom"/>
            <w:hideMark/>
          </w:tcPr>
          <w:p w14:paraId="015CBCE8" w14:textId="7DD1F863" w:rsidR="00F3247A" w:rsidRPr="00F3247A" w:rsidRDefault="00D567F0" w:rsidP="00696C97">
            <w:pPr>
              <w:spacing w:after="0" w:line="240" w:lineRule="auto"/>
              <w:jc w:val="right"/>
              <w:rPr>
                <w:rFonts w:ascii="Calibri" w:eastAsia="Times New Roman" w:hAnsi="Calibri" w:cs="Calibri"/>
                <w:noProof/>
                <w:color w:val="000000"/>
                <w:sz w:val="22"/>
                <w:lang w:eastAsia="zh-CN"/>
              </w:rPr>
            </w:pPr>
            <w:r>
              <w:rPr>
                <w:rFonts w:ascii="Calibri" w:eastAsia="Times New Roman" w:hAnsi="Calibri" w:cs="Calibri"/>
                <w:noProof/>
                <w:color w:val="000000"/>
                <w:sz w:val="22"/>
                <w:lang w:eastAsia="zh-CN"/>
              </w:rPr>
              <w:t>0.</w:t>
            </w:r>
            <w:r w:rsidR="00696C97">
              <w:rPr>
                <w:rFonts w:ascii="Calibri" w:eastAsia="Times New Roman" w:hAnsi="Calibri" w:cs="Calibri"/>
                <w:noProof/>
                <w:color w:val="000000"/>
                <w:sz w:val="22"/>
                <w:lang w:eastAsia="zh-CN"/>
              </w:rPr>
              <w:t>43</w:t>
            </w:r>
          </w:p>
        </w:tc>
      </w:tr>
      <w:tr w:rsidR="00206E96" w:rsidRPr="00F3247A" w14:paraId="6BA786DE" w14:textId="77777777" w:rsidTr="00746C56">
        <w:trPr>
          <w:trHeight w:val="300"/>
        </w:trPr>
        <w:tc>
          <w:tcPr>
            <w:tcW w:w="1412" w:type="dxa"/>
            <w:tcBorders>
              <w:top w:val="nil"/>
              <w:left w:val="single" w:sz="4" w:space="0" w:color="auto"/>
              <w:bottom w:val="nil"/>
              <w:right w:val="nil"/>
            </w:tcBorders>
            <w:shd w:val="clear" w:color="auto" w:fill="auto"/>
            <w:noWrap/>
            <w:vAlign w:val="bottom"/>
          </w:tcPr>
          <w:p w14:paraId="349CD85E" w14:textId="4E2C5368" w:rsidR="00206E96" w:rsidRPr="00F3247A" w:rsidRDefault="00206E96" w:rsidP="00206E96">
            <w:pPr>
              <w:spacing w:after="0" w:line="240" w:lineRule="auto"/>
              <w:rPr>
                <w:rFonts w:ascii="Calibri" w:eastAsia="Times New Roman" w:hAnsi="Calibri" w:cs="Calibri"/>
                <w:noProof/>
                <w:color w:val="000000"/>
                <w:sz w:val="22"/>
                <w:lang w:eastAsia="zh-CN"/>
              </w:rPr>
            </w:pPr>
            <w:r w:rsidRPr="00F3247A">
              <w:rPr>
                <w:rFonts w:ascii="Calibri" w:eastAsia="Times New Roman" w:hAnsi="Calibri" w:cs="Calibri"/>
                <w:noProof/>
                <w:color w:val="000000"/>
                <w:sz w:val="22"/>
                <w:lang w:eastAsia="zh-CN"/>
              </w:rPr>
              <w:t>Cocoa</w:t>
            </w:r>
          </w:p>
        </w:tc>
        <w:tc>
          <w:tcPr>
            <w:tcW w:w="1461" w:type="dxa"/>
            <w:tcBorders>
              <w:top w:val="nil"/>
              <w:left w:val="nil"/>
              <w:bottom w:val="nil"/>
              <w:right w:val="nil"/>
            </w:tcBorders>
            <w:shd w:val="clear" w:color="auto" w:fill="auto"/>
            <w:noWrap/>
            <w:vAlign w:val="bottom"/>
          </w:tcPr>
          <w:p w14:paraId="002560F3" w14:textId="395594AE" w:rsidR="00206E96" w:rsidRDefault="00206E96" w:rsidP="00206E96">
            <w:pPr>
              <w:spacing w:after="0" w:line="240" w:lineRule="auto"/>
              <w:jc w:val="right"/>
              <w:rPr>
                <w:rFonts w:ascii="Calibri" w:eastAsia="Times New Roman" w:hAnsi="Calibri" w:cs="Calibri"/>
                <w:noProof/>
                <w:color w:val="000000"/>
                <w:sz w:val="22"/>
                <w:lang w:eastAsia="zh-CN"/>
              </w:rPr>
            </w:pPr>
            <w:r w:rsidRPr="00F3247A">
              <w:rPr>
                <w:rFonts w:ascii="Calibri" w:eastAsia="Times New Roman" w:hAnsi="Calibri" w:cs="Calibri"/>
                <w:noProof/>
                <w:color w:val="000000"/>
                <w:sz w:val="22"/>
                <w:lang w:eastAsia="zh-CN"/>
              </w:rPr>
              <w:t>15</w:t>
            </w:r>
            <w:r>
              <w:rPr>
                <w:rFonts w:ascii="Calibri" w:eastAsia="Times New Roman" w:hAnsi="Calibri" w:cs="Calibri"/>
                <w:noProof/>
                <w:color w:val="000000"/>
                <w:sz w:val="22"/>
                <w:lang w:eastAsia="zh-CN"/>
              </w:rPr>
              <w:t>,</w:t>
            </w:r>
            <w:r w:rsidRPr="00F3247A">
              <w:rPr>
                <w:rFonts w:ascii="Calibri" w:eastAsia="Times New Roman" w:hAnsi="Calibri" w:cs="Calibri"/>
                <w:noProof/>
                <w:color w:val="000000"/>
                <w:sz w:val="22"/>
                <w:lang w:eastAsia="zh-CN"/>
              </w:rPr>
              <w:t>031</w:t>
            </w:r>
            <w:r>
              <w:rPr>
                <w:rFonts w:ascii="Calibri" w:eastAsia="Times New Roman" w:hAnsi="Calibri" w:cs="Calibri"/>
                <w:noProof/>
                <w:color w:val="000000"/>
                <w:sz w:val="22"/>
                <w:lang w:eastAsia="zh-CN"/>
              </w:rPr>
              <w:t>.</w:t>
            </w:r>
            <w:r w:rsidRPr="00F3247A">
              <w:rPr>
                <w:rFonts w:ascii="Calibri" w:eastAsia="Times New Roman" w:hAnsi="Calibri" w:cs="Calibri"/>
                <w:noProof/>
                <w:color w:val="000000"/>
                <w:sz w:val="22"/>
                <w:lang w:eastAsia="zh-CN"/>
              </w:rPr>
              <w:t>63</w:t>
            </w:r>
          </w:p>
        </w:tc>
        <w:tc>
          <w:tcPr>
            <w:tcW w:w="1778" w:type="dxa"/>
            <w:tcBorders>
              <w:top w:val="nil"/>
              <w:left w:val="nil"/>
              <w:bottom w:val="nil"/>
              <w:right w:val="nil"/>
            </w:tcBorders>
            <w:shd w:val="clear" w:color="auto" w:fill="auto"/>
            <w:noWrap/>
            <w:vAlign w:val="bottom"/>
          </w:tcPr>
          <w:p w14:paraId="3504F2BD" w14:textId="2335B745" w:rsidR="00206E96" w:rsidRDefault="00206E96" w:rsidP="00206E96">
            <w:pPr>
              <w:spacing w:after="0" w:line="240" w:lineRule="auto"/>
              <w:jc w:val="right"/>
              <w:rPr>
                <w:rFonts w:ascii="Calibri" w:eastAsia="Times New Roman" w:hAnsi="Calibri" w:cs="Calibri"/>
                <w:noProof/>
                <w:color w:val="000000"/>
                <w:sz w:val="22"/>
                <w:lang w:eastAsia="zh-CN"/>
              </w:rPr>
            </w:pPr>
            <w:r>
              <w:rPr>
                <w:rFonts w:ascii="Calibri" w:eastAsia="Times New Roman" w:hAnsi="Calibri" w:cs="Calibri"/>
                <w:noProof/>
                <w:color w:val="000000"/>
                <w:sz w:val="22"/>
                <w:lang w:eastAsia="zh-CN"/>
              </w:rPr>
              <w:t>7,421</w:t>
            </w:r>
          </w:p>
        </w:tc>
        <w:tc>
          <w:tcPr>
            <w:tcW w:w="2540" w:type="dxa"/>
            <w:tcBorders>
              <w:top w:val="nil"/>
              <w:left w:val="nil"/>
              <w:bottom w:val="nil"/>
              <w:right w:val="single" w:sz="4" w:space="0" w:color="auto"/>
            </w:tcBorders>
            <w:shd w:val="clear" w:color="auto" w:fill="auto"/>
            <w:noWrap/>
            <w:vAlign w:val="bottom"/>
          </w:tcPr>
          <w:p w14:paraId="19E119CD" w14:textId="46232AC3" w:rsidR="00206E96" w:rsidRDefault="00206E96" w:rsidP="00206E96">
            <w:pPr>
              <w:spacing w:after="0" w:line="240" w:lineRule="auto"/>
              <w:jc w:val="right"/>
              <w:rPr>
                <w:rFonts w:ascii="Calibri" w:eastAsia="Times New Roman" w:hAnsi="Calibri" w:cs="Calibri"/>
                <w:noProof/>
                <w:color w:val="000000"/>
                <w:sz w:val="22"/>
                <w:lang w:eastAsia="zh-CN"/>
              </w:rPr>
            </w:pPr>
            <w:r>
              <w:rPr>
                <w:rFonts w:ascii="Calibri" w:eastAsia="Times New Roman" w:hAnsi="Calibri" w:cs="Calibri"/>
                <w:noProof/>
                <w:color w:val="000000"/>
                <w:sz w:val="22"/>
                <w:lang w:eastAsia="zh-CN"/>
              </w:rPr>
              <w:t>0.49</w:t>
            </w:r>
          </w:p>
        </w:tc>
      </w:tr>
      <w:tr w:rsidR="00206E96" w:rsidRPr="00F3247A" w14:paraId="6BAAD614" w14:textId="77777777" w:rsidTr="00746C56">
        <w:trPr>
          <w:trHeight w:val="300"/>
        </w:trPr>
        <w:tc>
          <w:tcPr>
            <w:tcW w:w="1412" w:type="dxa"/>
            <w:tcBorders>
              <w:top w:val="nil"/>
              <w:left w:val="single" w:sz="4" w:space="0" w:color="auto"/>
              <w:bottom w:val="nil"/>
              <w:right w:val="nil"/>
            </w:tcBorders>
            <w:shd w:val="clear" w:color="auto" w:fill="auto"/>
            <w:noWrap/>
            <w:vAlign w:val="bottom"/>
          </w:tcPr>
          <w:p w14:paraId="4B02B9FF" w14:textId="46B5C3BE" w:rsidR="00206E96" w:rsidRDefault="00206E96" w:rsidP="00206E96">
            <w:pPr>
              <w:spacing w:after="0" w:line="240" w:lineRule="auto"/>
              <w:rPr>
                <w:rFonts w:ascii="Calibri" w:eastAsia="Times New Roman" w:hAnsi="Calibri" w:cs="Calibri"/>
                <w:noProof/>
                <w:color w:val="000000"/>
                <w:sz w:val="22"/>
                <w:lang w:eastAsia="zh-CN"/>
              </w:rPr>
            </w:pPr>
            <w:r w:rsidRPr="00F3247A">
              <w:rPr>
                <w:rFonts w:ascii="Calibri" w:eastAsia="Times New Roman" w:hAnsi="Calibri" w:cs="Calibri"/>
                <w:noProof/>
                <w:color w:val="000000"/>
                <w:sz w:val="22"/>
                <w:lang w:eastAsia="zh-CN"/>
              </w:rPr>
              <w:t>Coffee</w:t>
            </w:r>
          </w:p>
        </w:tc>
        <w:tc>
          <w:tcPr>
            <w:tcW w:w="1461" w:type="dxa"/>
            <w:tcBorders>
              <w:top w:val="nil"/>
              <w:left w:val="nil"/>
              <w:bottom w:val="nil"/>
              <w:right w:val="nil"/>
            </w:tcBorders>
            <w:shd w:val="clear" w:color="auto" w:fill="auto"/>
            <w:noWrap/>
            <w:vAlign w:val="bottom"/>
          </w:tcPr>
          <w:p w14:paraId="42A63943" w14:textId="01141B47" w:rsidR="00206E96" w:rsidRDefault="00206E96" w:rsidP="00206E96">
            <w:pPr>
              <w:spacing w:after="0" w:line="240" w:lineRule="auto"/>
              <w:jc w:val="right"/>
              <w:rPr>
                <w:rFonts w:ascii="Calibri" w:eastAsia="Times New Roman" w:hAnsi="Calibri" w:cs="Calibri"/>
                <w:noProof/>
                <w:color w:val="000000"/>
                <w:sz w:val="22"/>
                <w:lang w:eastAsia="zh-CN"/>
              </w:rPr>
            </w:pPr>
            <w:r w:rsidRPr="00F3247A">
              <w:rPr>
                <w:rFonts w:ascii="Calibri" w:eastAsia="Times New Roman" w:hAnsi="Calibri" w:cs="Calibri"/>
                <w:noProof/>
                <w:color w:val="000000"/>
                <w:sz w:val="22"/>
                <w:lang w:eastAsia="zh-CN"/>
              </w:rPr>
              <w:t>13</w:t>
            </w:r>
            <w:r>
              <w:rPr>
                <w:rFonts w:ascii="Calibri" w:eastAsia="Times New Roman" w:hAnsi="Calibri" w:cs="Calibri"/>
                <w:noProof/>
                <w:color w:val="000000"/>
                <w:sz w:val="22"/>
                <w:lang w:eastAsia="zh-CN"/>
              </w:rPr>
              <w:t>,</w:t>
            </w:r>
            <w:r w:rsidRPr="00F3247A">
              <w:rPr>
                <w:rFonts w:ascii="Calibri" w:eastAsia="Times New Roman" w:hAnsi="Calibri" w:cs="Calibri"/>
                <w:noProof/>
                <w:color w:val="000000"/>
                <w:sz w:val="22"/>
                <w:lang w:eastAsia="zh-CN"/>
              </w:rPr>
              <w:t>967</w:t>
            </w:r>
            <w:r>
              <w:rPr>
                <w:rFonts w:ascii="Calibri" w:eastAsia="Times New Roman" w:hAnsi="Calibri" w:cs="Calibri"/>
                <w:noProof/>
                <w:color w:val="000000"/>
                <w:sz w:val="22"/>
                <w:lang w:eastAsia="zh-CN"/>
              </w:rPr>
              <w:t>.</w:t>
            </w:r>
            <w:r w:rsidRPr="00F3247A">
              <w:rPr>
                <w:rFonts w:ascii="Calibri" w:eastAsia="Times New Roman" w:hAnsi="Calibri" w:cs="Calibri"/>
                <w:noProof/>
                <w:color w:val="000000"/>
                <w:sz w:val="22"/>
                <w:lang w:eastAsia="zh-CN"/>
              </w:rPr>
              <w:t>76</w:t>
            </w:r>
          </w:p>
        </w:tc>
        <w:tc>
          <w:tcPr>
            <w:tcW w:w="1778" w:type="dxa"/>
            <w:tcBorders>
              <w:top w:val="nil"/>
              <w:left w:val="nil"/>
              <w:bottom w:val="nil"/>
              <w:right w:val="nil"/>
            </w:tcBorders>
            <w:shd w:val="clear" w:color="auto" w:fill="auto"/>
            <w:noWrap/>
            <w:vAlign w:val="bottom"/>
          </w:tcPr>
          <w:p w14:paraId="7DEFA012" w14:textId="7B672F68" w:rsidR="00206E96" w:rsidRDefault="00206E96" w:rsidP="00206E96">
            <w:pPr>
              <w:spacing w:after="0" w:line="240" w:lineRule="auto"/>
              <w:jc w:val="right"/>
              <w:rPr>
                <w:rFonts w:ascii="Calibri" w:eastAsia="Times New Roman" w:hAnsi="Calibri" w:cs="Calibri"/>
                <w:noProof/>
                <w:color w:val="000000"/>
                <w:sz w:val="22"/>
                <w:lang w:eastAsia="zh-CN"/>
              </w:rPr>
            </w:pPr>
            <w:r>
              <w:rPr>
                <w:rFonts w:ascii="Calibri" w:eastAsia="Times New Roman" w:hAnsi="Calibri" w:cs="Calibri"/>
                <w:noProof/>
                <w:color w:val="000000"/>
                <w:sz w:val="22"/>
                <w:lang w:eastAsia="zh-CN"/>
              </w:rPr>
              <w:t>8,060</w:t>
            </w:r>
          </w:p>
        </w:tc>
        <w:tc>
          <w:tcPr>
            <w:tcW w:w="2540" w:type="dxa"/>
            <w:tcBorders>
              <w:top w:val="nil"/>
              <w:left w:val="nil"/>
              <w:bottom w:val="nil"/>
              <w:right w:val="single" w:sz="4" w:space="0" w:color="auto"/>
            </w:tcBorders>
            <w:shd w:val="clear" w:color="auto" w:fill="auto"/>
            <w:noWrap/>
            <w:vAlign w:val="bottom"/>
          </w:tcPr>
          <w:p w14:paraId="6CDCBF7B" w14:textId="6C1A4429" w:rsidR="00206E96" w:rsidRDefault="00206E96" w:rsidP="00206E96">
            <w:pPr>
              <w:spacing w:after="0" w:line="240" w:lineRule="auto"/>
              <w:jc w:val="right"/>
              <w:rPr>
                <w:rFonts w:ascii="Calibri" w:eastAsia="Times New Roman" w:hAnsi="Calibri" w:cs="Calibri"/>
                <w:noProof/>
                <w:color w:val="000000"/>
                <w:sz w:val="22"/>
                <w:lang w:eastAsia="zh-CN"/>
              </w:rPr>
            </w:pPr>
            <w:r>
              <w:rPr>
                <w:rFonts w:ascii="Calibri" w:eastAsia="Times New Roman" w:hAnsi="Calibri" w:cs="Calibri"/>
                <w:noProof/>
                <w:color w:val="000000"/>
                <w:sz w:val="22"/>
                <w:lang w:eastAsia="zh-CN"/>
              </w:rPr>
              <w:t>0.58</w:t>
            </w:r>
          </w:p>
        </w:tc>
      </w:tr>
      <w:tr w:rsidR="00206E96" w:rsidRPr="00F3247A" w14:paraId="02F949A5" w14:textId="77777777" w:rsidTr="00841C68">
        <w:trPr>
          <w:trHeight w:val="300"/>
        </w:trPr>
        <w:tc>
          <w:tcPr>
            <w:tcW w:w="1412" w:type="dxa"/>
            <w:tcBorders>
              <w:top w:val="nil"/>
              <w:left w:val="single" w:sz="4" w:space="0" w:color="auto"/>
              <w:bottom w:val="nil"/>
              <w:right w:val="nil"/>
            </w:tcBorders>
            <w:shd w:val="clear" w:color="auto" w:fill="auto"/>
            <w:noWrap/>
            <w:vAlign w:val="bottom"/>
            <w:hideMark/>
          </w:tcPr>
          <w:p w14:paraId="3994B2FD" w14:textId="5AE7A1EA" w:rsidR="00206E96" w:rsidRPr="00F3247A" w:rsidRDefault="00206E96" w:rsidP="00206E96">
            <w:pPr>
              <w:spacing w:after="0" w:line="240" w:lineRule="auto"/>
              <w:rPr>
                <w:rFonts w:ascii="Calibri" w:eastAsia="Times New Roman" w:hAnsi="Calibri" w:cs="Calibri"/>
                <w:noProof/>
                <w:color w:val="A6A6A6"/>
                <w:sz w:val="22"/>
                <w:lang w:eastAsia="zh-CN"/>
              </w:rPr>
            </w:pPr>
            <w:r>
              <w:rPr>
                <w:rFonts w:ascii="Calibri" w:eastAsia="Times New Roman" w:hAnsi="Calibri" w:cs="Calibri"/>
                <w:noProof/>
                <w:color w:val="A6A6A6"/>
                <w:sz w:val="22"/>
                <w:lang w:eastAsia="zh-CN"/>
              </w:rPr>
              <w:t>Maize</w:t>
            </w:r>
          </w:p>
        </w:tc>
        <w:tc>
          <w:tcPr>
            <w:tcW w:w="1461" w:type="dxa"/>
            <w:tcBorders>
              <w:top w:val="nil"/>
              <w:left w:val="nil"/>
              <w:bottom w:val="nil"/>
              <w:right w:val="nil"/>
            </w:tcBorders>
            <w:shd w:val="clear" w:color="auto" w:fill="auto"/>
            <w:noWrap/>
            <w:vAlign w:val="bottom"/>
            <w:hideMark/>
          </w:tcPr>
          <w:p w14:paraId="18A3655C" w14:textId="3FE9560D" w:rsidR="00206E96" w:rsidRPr="00F3247A" w:rsidRDefault="00206E96" w:rsidP="00206E96">
            <w:pPr>
              <w:spacing w:after="0" w:line="240" w:lineRule="auto"/>
              <w:jc w:val="right"/>
              <w:rPr>
                <w:rFonts w:ascii="Calibri" w:eastAsia="Times New Roman" w:hAnsi="Calibri" w:cs="Calibri"/>
                <w:noProof/>
                <w:color w:val="A6A6A6"/>
                <w:sz w:val="22"/>
                <w:lang w:eastAsia="zh-CN"/>
              </w:rPr>
            </w:pPr>
            <w:r w:rsidRPr="00F3247A">
              <w:rPr>
                <w:rFonts w:ascii="Calibri" w:eastAsia="Times New Roman" w:hAnsi="Calibri" w:cs="Calibri"/>
                <w:noProof/>
                <w:color w:val="A6A6A6"/>
                <w:sz w:val="22"/>
                <w:lang w:eastAsia="zh-CN"/>
              </w:rPr>
              <w:t>3</w:t>
            </w:r>
            <w:r>
              <w:rPr>
                <w:rFonts w:ascii="Calibri" w:eastAsia="Times New Roman" w:hAnsi="Calibri" w:cs="Calibri"/>
                <w:noProof/>
                <w:color w:val="A6A6A6"/>
                <w:sz w:val="22"/>
                <w:lang w:eastAsia="zh-CN"/>
              </w:rPr>
              <w:t>,</w:t>
            </w:r>
            <w:r w:rsidRPr="00F3247A">
              <w:rPr>
                <w:rFonts w:ascii="Calibri" w:eastAsia="Times New Roman" w:hAnsi="Calibri" w:cs="Calibri"/>
                <w:noProof/>
                <w:color w:val="A6A6A6"/>
                <w:sz w:val="22"/>
                <w:lang w:eastAsia="zh-CN"/>
              </w:rPr>
              <w:t>221</w:t>
            </w:r>
            <w:r>
              <w:rPr>
                <w:rFonts w:ascii="Calibri" w:eastAsia="Times New Roman" w:hAnsi="Calibri" w:cs="Calibri"/>
                <w:noProof/>
                <w:color w:val="A6A6A6"/>
                <w:sz w:val="22"/>
                <w:lang w:eastAsia="zh-CN"/>
              </w:rPr>
              <w:t>.</w:t>
            </w:r>
            <w:r w:rsidRPr="00F3247A">
              <w:rPr>
                <w:rFonts w:ascii="Calibri" w:eastAsia="Times New Roman" w:hAnsi="Calibri" w:cs="Calibri"/>
                <w:noProof/>
                <w:color w:val="A6A6A6"/>
                <w:sz w:val="22"/>
                <w:lang w:eastAsia="zh-CN"/>
              </w:rPr>
              <w:t>37</w:t>
            </w:r>
          </w:p>
        </w:tc>
        <w:tc>
          <w:tcPr>
            <w:tcW w:w="1778" w:type="dxa"/>
            <w:tcBorders>
              <w:top w:val="nil"/>
              <w:left w:val="nil"/>
              <w:bottom w:val="nil"/>
              <w:right w:val="nil"/>
            </w:tcBorders>
            <w:shd w:val="clear" w:color="auto" w:fill="auto"/>
            <w:noWrap/>
            <w:vAlign w:val="bottom"/>
            <w:hideMark/>
          </w:tcPr>
          <w:p w14:paraId="4F743EE8" w14:textId="4A84B8A2" w:rsidR="00206E96" w:rsidRPr="00F3247A" w:rsidRDefault="00206E96" w:rsidP="00206E96">
            <w:pPr>
              <w:spacing w:after="0" w:line="240" w:lineRule="auto"/>
              <w:jc w:val="right"/>
              <w:rPr>
                <w:rFonts w:ascii="Calibri" w:eastAsia="Times New Roman" w:hAnsi="Calibri" w:cs="Calibri"/>
                <w:noProof/>
                <w:color w:val="A6A6A6"/>
                <w:sz w:val="22"/>
                <w:lang w:eastAsia="zh-CN"/>
              </w:rPr>
            </w:pPr>
            <w:r>
              <w:rPr>
                <w:rFonts w:ascii="Calibri" w:eastAsia="Times New Roman" w:hAnsi="Calibri" w:cs="Calibri"/>
                <w:noProof/>
                <w:color w:val="A6A6A6"/>
                <w:sz w:val="22"/>
                <w:lang w:eastAsia="zh-CN"/>
              </w:rPr>
              <w:t>2,834</w:t>
            </w:r>
          </w:p>
        </w:tc>
        <w:tc>
          <w:tcPr>
            <w:tcW w:w="2540" w:type="dxa"/>
            <w:tcBorders>
              <w:top w:val="nil"/>
              <w:left w:val="nil"/>
              <w:bottom w:val="nil"/>
              <w:right w:val="single" w:sz="4" w:space="0" w:color="auto"/>
            </w:tcBorders>
            <w:shd w:val="clear" w:color="auto" w:fill="auto"/>
            <w:noWrap/>
            <w:vAlign w:val="bottom"/>
            <w:hideMark/>
          </w:tcPr>
          <w:p w14:paraId="399E24DF" w14:textId="12B0AF59" w:rsidR="00206E96" w:rsidRPr="00F3247A" w:rsidRDefault="00206E96" w:rsidP="00206E96">
            <w:pPr>
              <w:spacing w:after="0" w:line="240" w:lineRule="auto"/>
              <w:jc w:val="right"/>
              <w:rPr>
                <w:rFonts w:ascii="Calibri" w:eastAsia="Times New Roman" w:hAnsi="Calibri" w:cs="Calibri"/>
                <w:noProof/>
                <w:color w:val="A6A6A6"/>
                <w:sz w:val="22"/>
                <w:lang w:eastAsia="zh-CN"/>
              </w:rPr>
            </w:pPr>
            <w:r>
              <w:rPr>
                <w:rFonts w:ascii="Calibri" w:eastAsia="Times New Roman" w:hAnsi="Calibri" w:cs="Calibri"/>
                <w:noProof/>
                <w:color w:val="A6A6A6"/>
                <w:sz w:val="22"/>
                <w:lang w:eastAsia="zh-CN"/>
              </w:rPr>
              <w:t>0,88</w:t>
            </w:r>
          </w:p>
        </w:tc>
      </w:tr>
      <w:tr w:rsidR="00D43371" w:rsidRPr="00F3247A" w14:paraId="74A759C9" w14:textId="77777777" w:rsidTr="00746C56">
        <w:trPr>
          <w:trHeight w:val="300"/>
        </w:trPr>
        <w:tc>
          <w:tcPr>
            <w:tcW w:w="1412" w:type="dxa"/>
            <w:tcBorders>
              <w:top w:val="nil"/>
              <w:left w:val="single" w:sz="4" w:space="0" w:color="auto"/>
              <w:bottom w:val="single" w:sz="4" w:space="0" w:color="auto"/>
              <w:right w:val="nil"/>
            </w:tcBorders>
            <w:shd w:val="clear" w:color="auto" w:fill="auto"/>
            <w:noWrap/>
            <w:vAlign w:val="bottom"/>
          </w:tcPr>
          <w:p w14:paraId="5C75B346" w14:textId="49D1805C" w:rsidR="00D43371" w:rsidRDefault="00D43371" w:rsidP="00D43371">
            <w:pPr>
              <w:spacing w:after="0" w:line="240" w:lineRule="auto"/>
              <w:rPr>
                <w:rFonts w:ascii="Calibri" w:eastAsia="Times New Roman" w:hAnsi="Calibri" w:cs="Calibri"/>
                <w:noProof/>
                <w:color w:val="A6A6A6"/>
                <w:sz w:val="22"/>
                <w:lang w:eastAsia="zh-CN"/>
              </w:rPr>
            </w:pPr>
            <w:r w:rsidRPr="00F3247A">
              <w:rPr>
                <w:rFonts w:ascii="Calibri" w:eastAsia="Times New Roman" w:hAnsi="Calibri" w:cs="Calibri"/>
                <w:noProof/>
                <w:color w:val="A6A6A6"/>
                <w:sz w:val="22"/>
                <w:lang w:eastAsia="zh-CN"/>
              </w:rPr>
              <w:t>Rubber</w:t>
            </w:r>
          </w:p>
        </w:tc>
        <w:tc>
          <w:tcPr>
            <w:tcW w:w="1461" w:type="dxa"/>
            <w:tcBorders>
              <w:top w:val="nil"/>
              <w:left w:val="nil"/>
              <w:bottom w:val="single" w:sz="4" w:space="0" w:color="auto"/>
              <w:right w:val="nil"/>
            </w:tcBorders>
            <w:shd w:val="clear" w:color="auto" w:fill="auto"/>
            <w:noWrap/>
            <w:vAlign w:val="bottom"/>
          </w:tcPr>
          <w:p w14:paraId="2A6B6F94" w14:textId="506DE65E" w:rsidR="00D43371" w:rsidRPr="00F3247A" w:rsidRDefault="00D43371" w:rsidP="00D43371">
            <w:pPr>
              <w:spacing w:after="0" w:line="240" w:lineRule="auto"/>
              <w:jc w:val="right"/>
              <w:rPr>
                <w:rFonts w:ascii="Calibri" w:eastAsia="Times New Roman" w:hAnsi="Calibri" w:cs="Calibri"/>
                <w:noProof/>
                <w:color w:val="A6A6A6"/>
                <w:sz w:val="22"/>
                <w:lang w:eastAsia="zh-CN"/>
              </w:rPr>
            </w:pPr>
            <w:r w:rsidRPr="00F3247A">
              <w:rPr>
                <w:rFonts w:ascii="Calibri" w:eastAsia="Times New Roman" w:hAnsi="Calibri" w:cs="Calibri"/>
                <w:noProof/>
                <w:color w:val="A6A6A6"/>
                <w:sz w:val="22"/>
                <w:lang w:eastAsia="zh-CN"/>
              </w:rPr>
              <w:t>6</w:t>
            </w:r>
            <w:r>
              <w:rPr>
                <w:rFonts w:ascii="Calibri" w:eastAsia="Times New Roman" w:hAnsi="Calibri" w:cs="Calibri"/>
                <w:noProof/>
                <w:color w:val="A6A6A6"/>
                <w:sz w:val="22"/>
                <w:lang w:eastAsia="zh-CN"/>
              </w:rPr>
              <w:t>,</w:t>
            </w:r>
            <w:r w:rsidRPr="00F3247A">
              <w:rPr>
                <w:rFonts w:ascii="Calibri" w:eastAsia="Times New Roman" w:hAnsi="Calibri" w:cs="Calibri"/>
                <w:noProof/>
                <w:color w:val="A6A6A6"/>
                <w:sz w:val="22"/>
                <w:lang w:eastAsia="zh-CN"/>
              </w:rPr>
              <w:t>830</w:t>
            </w:r>
            <w:r>
              <w:rPr>
                <w:rFonts w:ascii="Calibri" w:eastAsia="Times New Roman" w:hAnsi="Calibri" w:cs="Calibri"/>
                <w:noProof/>
                <w:color w:val="A6A6A6"/>
                <w:sz w:val="22"/>
                <w:lang w:eastAsia="zh-CN"/>
              </w:rPr>
              <w:t>.</w:t>
            </w:r>
            <w:r w:rsidRPr="00F3247A">
              <w:rPr>
                <w:rFonts w:ascii="Calibri" w:eastAsia="Times New Roman" w:hAnsi="Calibri" w:cs="Calibri"/>
                <w:noProof/>
                <w:color w:val="A6A6A6"/>
                <w:sz w:val="22"/>
                <w:lang w:eastAsia="zh-CN"/>
              </w:rPr>
              <w:t>55</w:t>
            </w:r>
          </w:p>
        </w:tc>
        <w:tc>
          <w:tcPr>
            <w:tcW w:w="1778" w:type="dxa"/>
            <w:tcBorders>
              <w:top w:val="nil"/>
              <w:left w:val="nil"/>
              <w:bottom w:val="single" w:sz="4" w:space="0" w:color="auto"/>
              <w:right w:val="nil"/>
            </w:tcBorders>
            <w:shd w:val="clear" w:color="auto" w:fill="auto"/>
            <w:noWrap/>
            <w:vAlign w:val="bottom"/>
          </w:tcPr>
          <w:p w14:paraId="76A450DC" w14:textId="232B8DCD" w:rsidR="00D43371" w:rsidRDefault="00D43371" w:rsidP="00D43371">
            <w:pPr>
              <w:spacing w:after="0" w:line="240" w:lineRule="auto"/>
              <w:jc w:val="right"/>
              <w:rPr>
                <w:rFonts w:ascii="Calibri" w:eastAsia="Times New Roman" w:hAnsi="Calibri" w:cs="Calibri"/>
                <w:noProof/>
                <w:color w:val="A6A6A6"/>
                <w:sz w:val="22"/>
                <w:lang w:eastAsia="zh-CN"/>
              </w:rPr>
            </w:pPr>
            <w:r>
              <w:rPr>
                <w:rFonts w:ascii="Calibri" w:eastAsia="Times New Roman" w:hAnsi="Calibri" w:cs="Calibri"/>
                <w:noProof/>
                <w:color w:val="A6A6A6"/>
                <w:sz w:val="22"/>
                <w:lang w:eastAsia="zh-CN"/>
              </w:rPr>
              <w:t>17,064</w:t>
            </w:r>
          </w:p>
        </w:tc>
        <w:tc>
          <w:tcPr>
            <w:tcW w:w="2540" w:type="dxa"/>
            <w:tcBorders>
              <w:top w:val="nil"/>
              <w:left w:val="nil"/>
              <w:bottom w:val="single" w:sz="4" w:space="0" w:color="auto"/>
              <w:right w:val="single" w:sz="4" w:space="0" w:color="auto"/>
            </w:tcBorders>
            <w:shd w:val="clear" w:color="auto" w:fill="auto"/>
            <w:noWrap/>
            <w:vAlign w:val="bottom"/>
          </w:tcPr>
          <w:p w14:paraId="18BF0ECC" w14:textId="7B32EEB0" w:rsidR="00D43371" w:rsidRDefault="00D43371" w:rsidP="00A2731E">
            <w:pPr>
              <w:spacing w:after="0" w:line="240" w:lineRule="auto"/>
              <w:jc w:val="right"/>
              <w:rPr>
                <w:rFonts w:ascii="Calibri" w:eastAsia="Times New Roman" w:hAnsi="Calibri" w:cs="Calibri"/>
                <w:noProof/>
                <w:color w:val="A6A6A6"/>
                <w:sz w:val="22"/>
                <w:lang w:eastAsia="zh-CN"/>
              </w:rPr>
            </w:pPr>
            <w:r>
              <w:rPr>
                <w:rFonts w:ascii="Calibri" w:eastAsia="Times New Roman" w:hAnsi="Calibri" w:cs="Calibri"/>
                <w:noProof/>
                <w:color w:val="A6A6A6"/>
                <w:sz w:val="22"/>
                <w:lang w:eastAsia="zh-CN"/>
              </w:rPr>
              <w:t>2,5</w:t>
            </w:r>
            <w:r w:rsidR="00A2731E">
              <w:rPr>
                <w:rFonts w:ascii="Calibri" w:eastAsia="Times New Roman" w:hAnsi="Calibri" w:cs="Calibri"/>
                <w:noProof/>
                <w:color w:val="A6A6A6"/>
                <w:sz w:val="22"/>
                <w:lang w:eastAsia="zh-CN"/>
              </w:rPr>
              <w:t>0</w:t>
            </w:r>
          </w:p>
        </w:tc>
      </w:tr>
    </w:tbl>
    <w:p w14:paraId="4ACCAA93" w14:textId="77777777" w:rsidR="00F3247A" w:rsidRDefault="00F3247A" w:rsidP="001876EA">
      <w:pPr>
        <w:jc w:val="both"/>
        <w:rPr>
          <w:rFonts w:cs="Times New Roman"/>
          <w:noProof/>
          <w:szCs w:val="24"/>
        </w:rPr>
      </w:pPr>
    </w:p>
    <w:p w14:paraId="122E9FA1" w14:textId="4D545F96" w:rsidR="00A3199F" w:rsidRPr="00903CB3" w:rsidRDefault="004A27E4" w:rsidP="001876EA">
      <w:pPr>
        <w:jc w:val="both"/>
        <w:rPr>
          <w:rFonts w:cs="Times New Roman"/>
          <w:noProof/>
          <w:szCs w:val="24"/>
        </w:rPr>
      </w:pPr>
      <w:r w:rsidRPr="00903CB3">
        <w:rPr>
          <w:rFonts w:cs="Times New Roman"/>
          <w:noProof/>
          <w:szCs w:val="24"/>
        </w:rPr>
        <w:t>The analysis therefore identifi</w:t>
      </w:r>
      <w:r w:rsidR="00150791">
        <w:rPr>
          <w:rFonts w:cs="Times New Roman"/>
          <w:noProof/>
          <w:szCs w:val="24"/>
        </w:rPr>
        <w:t xml:space="preserve">ed </w:t>
      </w:r>
      <w:r w:rsidR="00135398">
        <w:rPr>
          <w:rFonts w:cs="Times New Roman"/>
          <w:noProof/>
          <w:szCs w:val="24"/>
        </w:rPr>
        <w:t xml:space="preserve">six </w:t>
      </w:r>
      <w:r w:rsidRPr="00903CB3">
        <w:rPr>
          <w:rFonts w:cs="Times New Roman"/>
          <w:noProof/>
          <w:szCs w:val="24"/>
        </w:rPr>
        <w:t xml:space="preserve">commodities for the scope of the legislative instrument: </w:t>
      </w:r>
      <w:r w:rsidRPr="00746C56">
        <w:rPr>
          <w:rFonts w:cs="Times New Roman"/>
          <w:noProof/>
          <w:szCs w:val="24"/>
        </w:rPr>
        <w:t>palm oil</w:t>
      </w:r>
      <w:r w:rsidRPr="00746C56">
        <w:rPr>
          <w:rFonts w:cs="Times New Roman"/>
          <w:noProof/>
          <w:szCs w:val="24"/>
          <w:vertAlign w:val="superscript"/>
        </w:rPr>
        <w:footnoteReference w:id="97"/>
      </w:r>
      <w:r w:rsidRPr="00746C56">
        <w:rPr>
          <w:rFonts w:cs="Times New Roman"/>
          <w:noProof/>
          <w:szCs w:val="24"/>
        </w:rPr>
        <w:t>, soy</w:t>
      </w:r>
      <w:r w:rsidRPr="00746C56">
        <w:rPr>
          <w:rFonts w:cs="Times New Roman"/>
          <w:noProof/>
          <w:szCs w:val="24"/>
          <w:vertAlign w:val="superscript"/>
        </w:rPr>
        <w:footnoteReference w:id="98"/>
      </w:r>
      <w:r w:rsidRPr="00746C56">
        <w:rPr>
          <w:rFonts w:cs="Times New Roman"/>
          <w:noProof/>
          <w:szCs w:val="24"/>
        </w:rPr>
        <w:t>, wood</w:t>
      </w:r>
      <w:r w:rsidRPr="00746C56">
        <w:rPr>
          <w:rFonts w:cs="Times New Roman"/>
          <w:noProof/>
          <w:szCs w:val="24"/>
          <w:vertAlign w:val="superscript"/>
        </w:rPr>
        <w:footnoteReference w:id="99"/>
      </w:r>
      <w:r w:rsidRPr="00746C56">
        <w:rPr>
          <w:rFonts w:cs="Times New Roman"/>
          <w:noProof/>
          <w:szCs w:val="24"/>
        </w:rPr>
        <w:t>, beef</w:t>
      </w:r>
      <w:r w:rsidR="00953AAD">
        <w:rPr>
          <w:rStyle w:val="FootnoteReference"/>
          <w:rFonts w:cs="Times New Roman"/>
          <w:bCs/>
          <w:noProof/>
          <w:szCs w:val="24"/>
        </w:rPr>
        <w:footnoteReference w:id="100"/>
      </w:r>
      <w:r w:rsidR="00953AAD">
        <w:rPr>
          <w:rFonts w:cs="Times New Roman"/>
          <w:bCs/>
          <w:noProof/>
          <w:szCs w:val="24"/>
        </w:rPr>
        <w:t xml:space="preserve"> (cattle)</w:t>
      </w:r>
      <w:r w:rsidRPr="00746C56">
        <w:rPr>
          <w:rFonts w:cs="Times New Roman"/>
          <w:noProof/>
          <w:szCs w:val="24"/>
          <w:vertAlign w:val="superscript"/>
        </w:rPr>
        <w:footnoteReference w:id="101"/>
      </w:r>
      <w:r w:rsidRPr="00746C56">
        <w:rPr>
          <w:rFonts w:cs="Times New Roman"/>
          <w:noProof/>
          <w:szCs w:val="24"/>
        </w:rPr>
        <w:t>, cocoa</w:t>
      </w:r>
      <w:r w:rsidRPr="00746C56">
        <w:rPr>
          <w:rFonts w:cs="Times New Roman"/>
          <w:noProof/>
          <w:szCs w:val="24"/>
          <w:vertAlign w:val="superscript"/>
        </w:rPr>
        <w:footnoteReference w:id="102"/>
      </w:r>
      <w:r w:rsidRPr="00746C56">
        <w:rPr>
          <w:rFonts w:cs="Times New Roman"/>
          <w:noProof/>
          <w:szCs w:val="24"/>
        </w:rPr>
        <w:t>, and coffee</w:t>
      </w:r>
      <w:r w:rsidRPr="00746C56">
        <w:rPr>
          <w:rFonts w:cs="Times New Roman"/>
          <w:noProof/>
          <w:szCs w:val="24"/>
          <w:vertAlign w:val="superscript"/>
        </w:rPr>
        <w:footnoteReference w:id="103"/>
      </w:r>
      <w:r w:rsidRPr="00903CB3">
        <w:rPr>
          <w:rFonts w:cs="Times New Roman"/>
          <w:noProof/>
          <w:szCs w:val="24"/>
        </w:rPr>
        <w:t>.</w:t>
      </w:r>
    </w:p>
    <w:p w14:paraId="036C09EA" w14:textId="1494B64A" w:rsidR="006E4177" w:rsidRDefault="003726D7">
      <w:pPr>
        <w:jc w:val="both"/>
        <w:rPr>
          <w:rFonts w:cs="Times New Roman"/>
          <w:noProof/>
          <w:szCs w:val="24"/>
        </w:rPr>
      </w:pPr>
      <w:r>
        <w:rPr>
          <w:rFonts w:cs="Times New Roman"/>
          <w:noProof/>
          <w:szCs w:val="24"/>
        </w:rPr>
        <w:t xml:space="preserve">The second question to address in </w:t>
      </w:r>
      <w:r w:rsidR="00135398" w:rsidRPr="00EB1E86">
        <w:rPr>
          <w:rFonts w:cs="Times New Roman"/>
          <w:noProof/>
          <w:szCs w:val="24"/>
        </w:rPr>
        <w:t>relation to</w:t>
      </w:r>
      <w:r w:rsidR="00135398">
        <w:rPr>
          <w:rFonts w:cs="Times New Roman"/>
          <w:noProof/>
          <w:szCs w:val="24"/>
        </w:rPr>
        <w:t xml:space="preserve"> </w:t>
      </w:r>
      <w:r>
        <w:rPr>
          <w:rFonts w:cs="Times New Roman"/>
          <w:noProof/>
          <w:szCs w:val="24"/>
        </w:rPr>
        <w:t xml:space="preserve">the product scope was how to cover products </w:t>
      </w:r>
      <w:r w:rsidR="00CB3BAC" w:rsidRPr="00EB1E86">
        <w:rPr>
          <w:rFonts w:cs="Times New Roman"/>
          <w:noProof/>
          <w:szCs w:val="24"/>
        </w:rPr>
        <w:t>derived</w:t>
      </w:r>
      <w:r w:rsidR="00CB3BAC">
        <w:rPr>
          <w:rFonts w:cs="Times New Roman"/>
          <w:noProof/>
          <w:szCs w:val="24"/>
        </w:rPr>
        <w:t xml:space="preserve"> from </w:t>
      </w:r>
      <w:r w:rsidR="00EB1E86" w:rsidRPr="00EB1E86">
        <w:rPr>
          <w:rFonts w:cs="Times New Roman"/>
          <w:noProof/>
          <w:szCs w:val="24"/>
        </w:rPr>
        <w:t xml:space="preserve">the </w:t>
      </w:r>
      <w:r w:rsidR="00CB3BAC">
        <w:rPr>
          <w:rFonts w:cs="Times New Roman"/>
          <w:noProof/>
          <w:szCs w:val="24"/>
        </w:rPr>
        <w:t xml:space="preserve">identified </w:t>
      </w:r>
      <w:r>
        <w:rPr>
          <w:rFonts w:cs="Times New Roman"/>
          <w:noProof/>
          <w:szCs w:val="24"/>
        </w:rPr>
        <w:t xml:space="preserve">commodities. </w:t>
      </w:r>
    </w:p>
    <w:p w14:paraId="0C61EC6E" w14:textId="5F7A75DC" w:rsidR="006E4177" w:rsidRPr="00903CB3" w:rsidRDefault="006E4177" w:rsidP="006E4177">
      <w:pPr>
        <w:spacing w:after="160" w:line="240" w:lineRule="atLeast"/>
        <w:jc w:val="both"/>
        <w:rPr>
          <w:rFonts w:cs="Times New Roman"/>
          <w:noProof/>
          <w:szCs w:val="24"/>
        </w:rPr>
      </w:pPr>
      <w:r w:rsidRPr="00EB1E86">
        <w:rPr>
          <w:rFonts w:cs="Times New Roman"/>
          <w:noProof/>
          <w:szCs w:val="24"/>
        </w:rPr>
        <w:t>Three scenarios have been considered:</w:t>
      </w:r>
    </w:p>
    <w:p w14:paraId="23B7E84B" w14:textId="7EAACE32" w:rsidR="006E4177" w:rsidRPr="007C1494" w:rsidRDefault="006E4177" w:rsidP="006E4177">
      <w:pPr>
        <w:pStyle w:val="ListParagraph"/>
        <w:numPr>
          <w:ilvl w:val="0"/>
          <w:numId w:val="22"/>
        </w:numPr>
        <w:spacing w:after="160" w:line="240" w:lineRule="atLeast"/>
        <w:ind w:left="709"/>
        <w:jc w:val="both"/>
        <w:rPr>
          <w:rFonts w:cs="Times New Roman"/>
          <w:noProof/>
          <w:szCs w:val="24"/>
        </w:rPr>
      </w:pPr>
      <w:r w:rsidRPr="00EB1E86">
        <w:rPr>
          <w:rFonts w:cs="Times New Roman"/>
          <w:noProof/>
          <w:szCs w:val="24"/>
        </w:rPr>
        <w:t>Targeted scope</w:t>
      </w:r>
      <w:r w:rsidRPr="00903CB3">
        <w:rPr>
          <w:rFonts w:cs="Times New Roman"/>
          <w:noProof/>
          <w:szCs w:val="24"/>
        </w:rPr>
        <w:t xml:space="preserve">, where only </w:t>
      </w:r>
      <w:r w:rsidRPr="00EB1E86">
        <w:rPr>
          <w:rFonts w:cs="Times New Roman"/>
          <w:noProof/>
          <w:szCs w:val="24"/>
        </w:rPr>
        <w:t xml:space="preserve">the </w:t>
      </w:r>
      <w:r w:rsidR="00CB3BAC" w:rsidRPr="00EB1E86">
        <w:rPr>
          <w:rFonts w:cs="Times New Roman"/>
          <w:noProof/>
          <w:szCs w:val="24"/>
        </w:rPr>
        <w:t>selected</w:t>
      </w:r>
      <w:r w:rsidRPr="00903CB3">
        <w:rPr>
          <w:rFonts w:cs="Times New Roman"/>
          <w:noProof/>
          <w:szCs w:val="24"/>
        </w:rPr>
        <w:t xml:space="preserve"> commodities are covered in the legisla</w:t>
      </w:r>
      <w:r w:rsidRPr="007C1494">
        <w:rPr>
          <w:rFonts w:cs="Times New Roman"/>
          <w:noProof/>
          <w:szCs w:val="24"/>
        </w:rPr>
        <w:t xml:space="preserve">tive instrument, based on the criteria enumerated above. </w:t>
      </w:r>
    </w:p>
    <w:p w14:paraId="61573ECA" w14:textId="0ACB6AB4" w:rsidR="006E4177" w:rsidRPr="00903CB3" w:rsidRDefault="006E4177" w:rsidP="006E4177">
      <w:pPr>
        <w:pStyle w:val="ListParagraph"/>
        <w:numPr>
          <w:ilvl w:val="0"/>
          <w:numId w:val="22"/>
        </w:numPr>
        <w:spacing w:after="160" w:line="240" w:lineRule="atLeast"/>
        <w:ind w:left="709"/>
        <w:jc w:val="both"/>
        <w:rPr>
          <w:rFonts w:cs="Times New Roman"/>
          <w:noProof/>
          <w:szCs w:val="24"/>
        </w:rPr>
      </w:pPr>
      <w:r w:rsidRPr="00EB1E86">
        <w:rPr>
          <w:rFonts w:cs="Times New Roman"/>
          <w:noProof/>
          <w:szCs w:val="24"/>
        </w:rPr>
        <w:t xml:space="preserve">Progressive scope, </w:t>
      </w:r>
      <w:r w:rsidR="00441B18" w:rsidRPr="00EB1E86">
        <w:rPr>
          <w:rFonts w:cs="Times New Roman"/>
          <w:noProof/>
          <w:szCs w:val="24"/>
        </w:rPr>
        <w:t>where</w:t>
      </w:r>
      <w:r w:rsidRPr="00EB1E86">
        <w:rPr>
          <w:rFonts w:cs="Times New Roman"/>
          <w:noProof/>
          <w:szCs w:val="24"/>
        </w:rPr>
        <w:t xml:space="preserve"> </w:t>
      </w:r>
      <w:r w:rsidR="00903CB3" w:rsidRPr="00EB1E86">
        <w:rPr>
          <w:rFonts w:cs="Times New Roman"/>
          <w:noProof/>
          <w:szCs w:val="24"/>
        </w:rPr>
        <w:t>selected</w:t>
      </w:r>
      <w:r w:rsidR="00CB3BAC" w:rsidRPr="00903CB3">
        <w:rPr>
          <w:rFonts w:cs="Times New Roman"/>
          <w:noProof/>
          <w:szCs w:val="24"/>
        </w:rPr>
        <w:t xml:space="preserve"> </w:t>
      </w:r>
      <w:r w:rsidR="00441B18" w:rsidRPr="00903CB3">
        <w:rPr>
          <w:rFonts w:cs="Times New Roman"/>
          <w:noProof/>
          <w:szCs w:val="24"/>
        </w:rPr>
        <w:t xml:space="preserve">commodities and </w:t>
      </w:r>
      <w:r w:rsidR="006C020D" w:rsidRPr="00EB1E86">
        <w:rPr>
          <w:rFonts w:cs="Times New Roman"/>
          <w:noProof/>
          <w:szCs w:val="24"/>
        </w:rPr>
        <w:t>certain</w:t>
      </w:r>
      <w:r w:rsidR="006C020D">
        <w:rPr>
          <w:rFonts w:cs="Times New Roman"/>
          <w:noProof/>
          <w:szCs w:val="24"/>
        </w:rPr>
        <w:t xml:space="preserve"> </w:t>
      </w:r>
      <w:r w:rsidR="00CB3BAC" w:rsidRPr="00903CB3">
        <w:rPr>
          <w:rFonts w:cs="Times New Roman"/>
          <w:noProof/>
          <w:szCs w:val="24"/>
        </w:rPr>
        <w:t>derived</w:t>
      </w:r>
      <w:r w:rsidR="00441B18" w:rsidRPr="00903CB3">
        <w:rPr>
          <w:rFonts w:cs="Times New Roman"/>
          <w:noProof/>
          <w:szCs w:val="24"/>
        </w:rPr>
        <w:t xml:space="preserve"> products are included in a list that undergoes regular </w:t>
      </w:r>
      <w:r w:rsidRPr="00903CB3">
        <w:rPr>
          <w:rFonts w:cs="Times New Roman"/>
          <w:noProof/>
          <w:szCs w:val="24"/>
        </w:rPr>
        <w:t>reviews</w:t>
      </w:r>
      <w:r w:rsidRPr="00A511C0">
        <w:rPr>
          <w:rFonts w:cs="Times New Roman"/>
          <w:noProof/>
          <w:szCs w:val="24"/>
        </w:rPr>
        <w:t xml:space="preserve">. </w:t>
      </w:r>
    </w:p>
    <w:p w14:paraId="6B10B867" w14:textId="556E9C92" w:rsidR="006E4177" w:rsidRPr="00903CB3" w:rsidRDefault="006E4177" w:rsidP="006E4177">
      <w:pPr>
        <w:pStyle w:val="ListParagraph"/>
        <w:numPr>
          <w:ilvl w:val="0"/>
          <w:numId w:val="22"/>
        </w:numPr>
        <w:ind w:left="709"/>
        <w:jc w:val="both"/>
        <w:rPr>
          <w:rFonts w:cs="Times New Roman"/>
          <w:noProof/>
          <w:szCs w:val="24"/>
        </w:rPr>
      </w:pPr>
      <w:r w:rsidRPr="00EB1E86">
        <w:rPr>
          <w:rFonts w:cs="Times New Roman"/>
          <w:noProof/>
          <w:szCs w:val="24"/>
        </w:rPr>
        <w:t>Expanded scope of commodities</w:t>
      </w:r>
      <w:r w:rsidRPr="00903CB3">
        <w:rPr>
          <w:rFonts w:cs="Times New Roman"/>
          <w:noProof/>
          <w:szCs w:val="24"/>
        </w:rPr>
        <w:t xml:space="preserve">, whereby </w:t>
      </w:r>
      <w:r w:rsidRPr="00903CB3" w:rsidDel="00F3247A">
        <w:rPr>
          <w:rFonts w:cs="Times New Roman"/>
          <w:noProof/>
          <w:szCs w:val="24"/>
        </w:rPr>
        <w:t xml:space="preserve">all </w:t>
      </w:r>
      <w:r w:rsidRPr="00903CB3">
        <w:rPr>
          <w:rFonts w:cs="Times New Roman"/>
          <w:noProof/>
          <w:szCs w:val="24"/>
        </w:rPr>
        <w:t xml:space="preserve">commodities </w:t>
      </w:r>
      <w:r w:rsidR="00441B18" w:rsidRPr="00903CB3">
        <w:rPr>
          <w:rFonts w:cs="Times New Roman"/>
          <w:noProof/>
          <w:szCs w:val="24"/>
        </w:rPr>
        <w:t xml:space="preserve">and </w:t>
      </w:r>
      <w:r w:rsidR="00696120">
        <w:rPr>
          <w:rFonts w:cs="Times New Roman"/>
          <w:noProof/>
          <w:szCs w:val="24"/>
        </w:rPr>
        <w:t xml:space="preserve">their derived </w:t>
      </w:r>
      <w:r w:rsidR="00441B18" w:rsidRPr="00903CB3">
        <w:rPr>
          <w:rFonts w:cs="Times New Roman"/>
          <w:noProof/>
          <w:szCs w:val="24"/>
        </w:rPr>
        <w:t xml:space="preserve">products </w:t>
      </w:r>
      <w:r w:rsidRPr="00903CB3">
        <w:rPr>
          <w:rFonts w:cs="Times New Roman"/>
          <w:noProof/>
          <w:szCs w:val="24"/>
        </w:rPr>
        <w:t>are covered in the legislative instrument.</w:t>
      </w:r>
    </w:p>
    <w:p w14:paraId="7037A32F" w14:textId="6C9F1869" w:rsidR="00441B18" w:rsidRDefault="00441B18" w:rsidP="00441B18">
      <w:pPr>
        <w:jc w:val="both"/>
        <w:rPr>
          <w:rFonts w:cs="Times New Roman"/>
          <w:noProof/>
          <w:szCs w:val="24"/>
        </w:rPr>
      </w:pPr>
      <w:r>
        <w:rPr>
          <w:rFonts w:cs="Times New Roman"/>
          <w:noProof/>
          <w:szCs w:val="24"/>
        </w:rPr>
        <w:t xml:space="preserve">The overwhelming majority of NGOs called for including all products </w:t>
      </w:r>
      <w:r w:rsidR="00CB3BAC" w:rsidRPr="00EB1E86">
        <w:rPr>
          <w:rFonts w:cs="Times New Roman"/>
          <w:noProof/>
          <w:szCs w:val="24"/>
        </w:rPr>
        <w:t>derived</w:t>
      </w:r>
      <w:r w:rsidR="00CB3BAC">
        <w:rPr>
          <w:rFonts w:cs="Times New Roman"/>
          <w:noProof/>
          <w:szCs w:val="24"/>
        </w:rPr>
        <w:t xml:space="preserve"> from </w:t>
      </w:r>
      <w:r>
        <w:rPr>
          <w:rFonts w:cs="Times New Roman"/>
          <w:noProof/>
          <w:szCs w:val="24"/>
        </w:rPr>
        <w:t>the selected commodities</w:t>
      </w:r>
      <w:r w:rsidR="00CB3BAC">
        <w:rPr>
          <w:rFonts w:cs="Times New Roman"/>
          <w:noProof/>
          <w:szCs w:val="24"/>
        </w:rPr>
        <w:t xml:space="preserve"> from the outset</w:t>
      </w:r>
      <w:r>
        <w:rPr>
          <w:rFonts w:cs="Times New Roman"/>
          <w:noProof/>
          <w:szCs w:val="24"/>
        </w:rPr>
        <w:t xml:space="preserve">. Some industry associations, such as </w:t>
      </w:r>
      <w:r w:rsidR="00EB1E86">
        <w:rPr>
          <w:rFonts w:cs="Times New Roman"/>
          <w:noProof/>
          <w:szCs w:val="24"/>
        </w:rPr>
        <w:t>COCERAL, FEDIOL</w:t>
      </w:r>
      <w:r>
        <w:rPr>
          <w:rFonts w:cs="Times New Roman"/>
          <w:noProof/>
          <w:szCs w:val="24"/>
        </w:rPr>
        <w:t xml:space="preserve"> and </w:t>
      </w:r>
      <w:r w:rsidR="00EB1E86" w:rsidRPr="00EB1E86">
        <w:rPr>
          <w:rFonts w:cs="Times New Roman"/>
          <w:noProof/>
          <w:szCs w:val="24"/>
        </w:rPr>
        <w:t>FEFAC</w:t>
      </w:r>
      <w:r>
        <w:rPr>
          <w:rStyle w:val="FootnoteReference"/>
          <w:rFonts w:cs="Times New Roman"/>
          <w:noProof/>
          <w:szCs w:val="24"/>
        </w:rPr>
        <w:footnoteReference w:id="104"/>
      </w:r>
      <w:r>
        <w:rPr>
          <w:rFonts w:cs="Times New Roman"/>
          <w:noProof/>
          <w:szCs w:val="24"/>
        </w:rPr>
        <w:t xml:space="preserve">, also called for including all products. </w:t>
      </w:r>
      <w:r w:rsidR="00523D89" w:rsidRPr="00EB1E86">
        <w:rPr>
          <w:rFonts w:cs="Times New Roman"/>
          <w:noProof/>
          <w:szCs w:val="24"/>
        </w:rPr>
        <w:t>This comment from industry came back on many occasions,</w:t>
      </w:r>
      <w:r w:rsidR="00D36F99" w:rsidRPr="00EB1E86">
        <w:rPr>
          <w:rFonts w:cs="Times New Roman"/>
          <w:noProof/>
          <w:szCs w:val="24"/>
        </w:rPr>
        <w:t xml:space="preserve"> where business representatives</w:t>
      </w:r>
      <w:r w:rsidR="00523D89" w:rsidRPr="00EB1E86">
        <w:rPr>
          <w:rFonts w:cs="Times New Roman"/>
          <w:noProof/>
          <w:szCs w:val="24"/>
        </w:rPr>
        <w:t> were referring to the difficulties that a partial scope ma</w:t>
      </w:r>
      <w:r w:rsidR="00D15473" w:rsidRPr="00EB1E86">
        <w:rPr>
          <w:rFonts w:cs="Times New Roman"/>
          <w:noProof/>
          <w:szCs w:val="24"/>
        </w:rPr>
        <w:t>y cause</w:t>
      </w:r>
      <w:r w:rsidR="00523D89" w:rsidRPr="00EB1E86">
        <w:rPr>
          <w:rFonts w:cs="Times New Roman"/>
          <w:noProof/>
          <w:szCs w:val="24"/>
        </w:rPr>
        <w:t xml:space="preserve"> in terms</w:t>
      </w:r>
      <w:r w:rsidR="00523D89" w:rsidRPr="00746C56">
        <w:rPr>
          <w:rFonts w:cs="Times New Roman"/>
          <w:noProof/>
          <w:szCs w:val="24"/>
        </w:rPr>
        <w:t xml:space="preserve"> of compliance and internal organization. </w:t>
      </w:r>
    </w:p>
    <w:p w14:paraId="01F74BAF" w14:textId="6EB3E41D" w:rsidR="00441B18" w:rsidRDefault="00CB3BAC" w:rsidP="00441B18">
      <w:pPr>
        <w:jc w:val="both"/>
        <w:rPr>
          <w:rFonts w:cs="Times New Roman"/>
          <w:noProof/>
          <w:szCs w:val="24"/>
        </w:rPr>
      </w:pPr>
      <w:r>
        <w:rPr>
          <w:rFonts w:cs="Times New Roman"/>
          <w:noProof/>
          <w:szCs w:val="24"/>
        </w:rPr>
        <w:t xml:space="preserve">Such an </w:t>
      </w:r>
      <w:r w:rsidR="00492E5D">
        <w:rPr>
          <w:rFonts w:cs="Times New Roman"/>
          <w:noProof/>
          <w:szCs w:val="24"/>
        </w:rPr>
        <w:t>expande</w:t>
      </w:r>
      <w:r>
        <w:rPr>
          <w:rFonts w:cs="Times New Roman"/>
          <w:noProof/>
          <w:szCs w:val="24"/>
        </w:rPr>
        <w:t>d</w:t>
      </w:r>
      <w:r w:rsidR="00492E5D">
        <w:rPr>
          <w:rFonts w:cs="Times New Roman"/>
          <w:noProof/>
          <w:szCs w:val="24"/>
        </w:rPr>
        <w:t xml:space="preserve"> </w:t>
      </w:r>
      <w:r w:rsidR="00492E5D" w:rsidRPr="00EB1E86">
        <w:rPr>
          <w:rFonts w:cs="Times New Roman"/>
          <w:noProof/>
          <w:szCs w:val="24"/>
        </w:rPr>
        <w:t>scope</w:t>
      </w:r>
      <w:r w:rsidR="00441B18" w:rsidRPr="00EB1E86">
        <w:rPr>
          <w:rFonts w:cs="Times New Roman"/>
          <w:noProof/>
          <w:szCs w:val="24"/>
        </w:rPr>
        <w:t xml:space="preserve"> would increase the effectiveness of the regulation by closing any gaps which </w:t>
      </w:r>
      <w:r w:rsidR="00D0012C" w:rsidRPr="00EB1E86">
        <w:rPr>
          <w:rFonts w:cs="Times New Roman"/>
          <w:noProof/>
          <w:szCs w:val="24"/>
        </w:rPr>
        <w:t xml:space="preserve">allow </w:t>
      </w:r>
      <w:r w:rsidR="00441B18" w:rsidRPr="00EB1E86">
        <w:rPr>
          <w:rFonts w:cs="Times New Roman"/>
          <w:noProof/>
          <w:szCs w:val="24"/>
        </w:rPr>
        <w:t xml:space="preserve">EU consumption of the relevant commodities in the form of </w:t>
      </w:r>
      <w:r w:rsidRPr="00EB1E86">
        <w:rPr>
          <w:rFonts w:cs="Times New Roman"/>
          <w:noProof/>
          <w:szCs w:val="24"/>
        </w:rPr>
        <w:t xml:space="preserve">derived </w:t>
      </w:r>
      <w:r w:rsidR="00441B18" w:rsidRPr="00EB1E86">
        <w:rPr>
          <w:rFonts w:cs="Times New Roman"/>
          <w:noProof/>
          <w:szCs w:val="24"/>
        </w:rPr>
        <w:t xml:space="preserve">products </w:t>
      </w:r>
      <w:r w:rsidR="00D0012C" w:rsidRPr="00EB1E86">
        <w:rPr>
          <w:rFonts w:cs="Times New Roman"/>
          <w:noProof/>
          <w:szCs w:val="24"/>
        </w:rPr>
        <w:t>to</w:t>
      </w:r>
      <w:r w:rsidR="00441B18" w:rsidRPr="00EB1E86">
        <w:rPr>
          <w:rFonts w:cs="Times New Roman"/>
          <w:noProof/>
          <w:szCs w:val="24"/>
        </w:rPr>
        <w:t xml:space="preserve"> continue</w:t>
      </w:r>
      <w:r w:rsidR="00441B18">
        <w:rPr>
          <w:rFonts w:cs="Times New Roman"/>
          <w:noProof/>
          <w:szCs w:val="24"/>
        </w:rPr>
        <w:t xml:space="preserve"> to drive deforestation and forest degradation.</w:t>
      </w:r>
    </w:p>
    <w:p w14:paraId="5FD886EF" w14:textId="6D829172" w:rsidR="00F3247A" w:rsidRDefault="00441B18" w:rsidP="00F3247A">
      <w:pPr>
        <w:jc w:val="both"/>
        <w:rPr>
          <w:rFonts w:cs="Times New Roman"/>
          <w:noProof/>
          <w:szCs w:val="24"/>
        </w:rPr>
      </w:pPr>
      <w:r>
        <w:rPr>
          <w:rFonts w:cs="Times New Roman"/>
          <w:noProof/>
          <w:szCs w:val="24"/>
        </w:rPr>
        <w:t xml:space="preserve">This impact </w:t>
      </w:r>
      <w:r w:rsidRPr="00903CB3">
        <w:rPr>
          <w:rFonts w:cs="Times New Roman"/>
          <w:noProof/>
          <w:szCs w:val="24"/>
        </w:rPr>
        <w:t>assessment considers t</w:t>
      </w:r>
      <w:r w:rsidR="006E4177" w:rsidRPr="00903CB3">
        <w:rPr>
          <w:rFonts w:cs="Times New Roman"/>
          <w:noProof/>
          <w:szCs w:val="24"/>
        </w:rPr>
        <w:t>he scenario o</w:t>
      </w:r>
      <w:r w:rsidRPr="00903CB3">
        <w:rPr>
          <w:rFonts w:cs="Times New Roman"/>
          <w:noProof/>
          <w:szCs w:val="24"/>
        </w:rPr>
        <w:t>f</w:t>
      </w:r>
      <w:r w:rsidR="006E4177" w:rsidRPr="00903CB3">
        <w:rPr>
          <w:rFonts w:cs="Times New Roman"/>
          <w:noProof/>
          <w:szCs w:val="24"/>
        </w:rPr>
        <w:t xml:space="preserve"> ‘</w:t>
      </w:r>
      <w:r w:rsidR="006E4177" w:rsidRPr="00746C56">
        <w:rPr>
          <w:rFonts w:cs="Times New Roman"/>
          <w:noProof/>
          <w:szCs w:val="24"/>
        </w:rPr>
        <w:t>progressive scope’</w:t>
      </w:r>
      <w:r w:rsidR="006E4177" w:rsidRPr="00903CB3">
        <w:rPr>
          <w:rFonts w:cs="Times New Roman"/>
          <w:noProof/>
          <w:szCs w:val="24"/>
        </w:rPr>
        <w:t xml:space="preserve"> the most suitable</w:t>
      </w:r>
      <w:r w:rsidR="00F3247A" w:rsidRPr="00903CB3">
        <w:rPr>
          <w:rFonts w:cs="Times New Roman"/>
          <w:noProof/>
          <w:szCs w:val="24"/>
        </w:rPr>
        <w:t xml:space="preserve">. The decision to limit the list of </w:t>
      </w:r>
      <w:r w:rsidR="00CB3BAC" w:rsidRPr="00903CB3">
        <w:rPr>
          <w:rFonts w:cs="Times New Roman"/>
          <w:noProof/>
          <w:szCs w:val="24"/>
        </w:rPr>
        <w:t>commodities</w:t>
      </w:r>
      <w:r w:rsidR="00903CB3">
        <w:rPr>
          <w:rFonts w:cs="Times New Roman"/>
          <w:noProof/>
          <w:szCs w:val="24"/>
        </w:rPr>
        <w:t xml:space="preserve"> and </w:t>
      </w:r>
      <w:r w:rsidR="00CB3BAC" w:rsidRPr="00903CB3">
        <w:rPr>
          <w:rFonts w:cs="Times New Roman"/>
          <w:noProof/>
          <w:szCs w:val="24"/>
        </w:rPr>
        <w:t>derived</w:t>
      </w:r>
      <w:r w:rsidR="00F3247A" w:rsidRPr="00903CB3">
        <w:rPr>
          <w:rFonts w:cs="Times New Roman"/>
          <w:noProof/>
          <w:szCs w:val="24"/>
        </w:rPr>
        <w:t xml:space="preserve"> product</w:t>
      </w:r>
      <w:r w:rsidR="00903CB3">
        <w:rPr>
          <w:rFonts w:cs="Times New Roman"/>
          <w:noProof/>
          <w:szCs w:val="24"/>
        </w:rPr>
        <w:t xml:space="preserve"> </w:t>
      </w:r>
      <w:r w:rsidR="00F3247A" w:rsidRPr="00903CB3">
        <w:rPr>
          <w:rFonts w:cs="Times New Roman"/>
          <w:noProof/>
          <w:szCs w:val="24"/>
        </w:rPr>
        <w:t xml:space="preserve">stems from the </w:t>
      </w:r>
      <w:r w:rsidR="00503028" w:rsidRPr="00760D6B">
        <w:rPr>
          <w:rFonts w:cs="Times New Roman"/>
          <w:noProof/>
          <w:szCs w:val="24"/>
        </w:rPr>
        <w:t>desire</w:t>
      </w:r>
      <w:r w:rsidR="00F3247A" w:rsidRPr="00903CB3">
        <w:rPr>
          <w:rFonts w:cs="Times New Roman"/>
          <w:noProof/>
          <w:szCs w:val="24"/>
        </w:rPr>
        <w:t xml:space="preserve"> to balance the potential benefits with the need to</w:t>
      </w:r>
      <w:r w:rsidR="00F3247A">
        <w:rPr>
          <w:rFonts w:cs="Times New Roman"/>
          <w:noProof/>
          <w:szCs w:val="24"/>
        </w:rPr>
        <w:t xml:space="preserve"> favour implementability and increase the efficiency of the intervention. There needs to be an analysis of derived products, based on potential costs and benefits, similar to the analysis of commodities. The analysis would need to map which products would maximise the impact of the intervention — covering more ground in terms of embodied deforestation — at the smallest potential cost. In addition, simply including all potential products in the scope without a clear map of which products these are would imply that the EU would be </w:t>
      </w:r>
      <w:r w:rsidR="00A716EF">
        <w:rPr>
          <w:rFonts w:cs="Times New Roman"/>
          <w:noProof/>
          <w:szCs w:val="24"/>
        </w:rPr>
        <w:t xml:space="preserve">proposing </w:t>
      </w:r>
      <w:r w:rsidR="00F3247A">
        <w:rPr>
          <w:rFonts w:cs="Times New Roman"/>
          <w:noProof/>
          <w:szCs w:val="24"/>
        </w:rPr>
        <w:t xml:space="preserve">new rules whose exact scope and impacts are blurred, which would be against the Better Regulation </w:t>
      </w:r>
      <w:r w:rsidR="00BA7A57">
        <w:rPr>
          <w:rFonts w:cs="Times New Roman"/>
          <w:noProof/>
          <w:szCs w:val="24"/>
        </w:rPr>
        <w:t>principles</w:t>
      </w:r>
      <w:r w:rsidR="00F3247A">
        <w:rPr>
          <w:rFonts w:cs="Times New Roman"/>
          <w:noProof/>
          <w:szCs w:val="24"/>
        </w:rPr>
        <w:t>.</w:t>
      </w:r>
    </w:p>
    <w:p w14:paraId="3475280C" w14:textId="184443FE" w:rsidR="006E4177" w:rsidRDefault="00F3247A" w:rsidP="006E4177">
      <w:pPr>
        <w:jc w:val="both"/>
        <w:rPr>
          <w:rFonts w:cs="Times New Roman"/>
          <w:noProof/>
          <w:szCs w:val="24"/>
        </w:rPr>
      </w:pPr>
      <w:r>
        <w:rPr>
          <w:rFonts w:cs="Times New Roman"/>
          <w:noProof/>
          <w:szCs w:val="24"/>
        </w:rPr>
        <w:t xml:space="preserve">The progressive scope </w:t>
      </w:r>
      <w:r w:rsidR="006E4177" w:rsidRPr="007C1494">
        <w:rPr>
          <w:rFonts w:cs="Times New Roman"/>
          <w:noProof/>
          <w:szCs w:val="24"/>
        </w:rPr>
        <w:t>for both commodities and derived products</w:t>
      </w:r>
      <w:r>
        <w:rPr>
          <w:rFonts w:cs="Times New Roman"/>
          <w:noProof/>
          <w:szCs w:val="24"/>
        </w:rPr>
        <w:t xml:space="preserve"> would</w:t>
      </w:r>
      <w:r w:rsidR="006E4177" w:rsidRPr="007C1494" w:rsidDel="00F3247A">
        <w:rPr>
          <w:rFonts w:cs="Times New Roman"/>
          <w:noProof/>
          <w:szCs w:val="24"/>
        </w:rPr>
        <w:t xml:space="preserve"> </w:t>
      </w:r>
      <w:r>
        <w:rPr>
          <w:rFonts w:cs="Times New Roman"/>
          <w:noProof/>
          <w:szCs w:val="24"/>
        </w:rPr>
        <w:t xml:space="preserve">also favour </w:t>
      </w:r>
      <w:r w:rsidR="006E4177" w:rsidRPr="007C1494">
        <w:rPr>
          <w:rFonts w:cs="Times New Roman"/>
          <w:noProof/>
          <w:szCs w:val="24"/>
        </w:rPr>
        <w:t>flexibility and adaptability to changes in consumption in the EU</w:t>
      </w:r>
      <w:r w:rsidR="00441B18">
        <w:rPr>
          <w:rFonts w:cs="Times New Roman"/>
          <w:noProof/>
          <w:szCs w:val="24"/>
        </w:rPr>
        <w:t>, global deforestation patterns,</w:t>
      </w:r>
      <w:r w:rsidR="006E4177" w:rsidRPr="007C1494">
        <w:rPr>
          <w:rFonts w:cs="Times New Roman"/>
          <w:noProof/>
          <w:szCs w:val="24"/>
        </w:rPr>
        <w:t xml:space="preserve"> as well as to new knowledge or technological developments. The list of commodities and derived products included in the legislative instruments </w:t>
      </w:r>
      <w:r w:rsidR="0067055E">
        <w:rPr>
          <w:rFonts w:cs="Times New Roman"/>
          <w:noProof/>
          <w:szCs w:val="24"/>
        </w:rPr>
        <w:t>would</w:t>
      </w:r>
      <w:r w:rsidR="006E4177" w:rsidRPr="007C1494">
        <w:rPr>
          <w:rFonts w:cs="Times New Roman"/>
          <w:noProof/>
          <w:szCs w:val="24"/>
        </w:rPr>
        <w:t xml:space="preserve"> be regularly reviewed, based on the latest available evidence and scientific data on deforestation and forest degradation associated with those products or </w:t>
      </w:r>
      <w:r w:rsidR="00503028" w:rsidRPr="00760D6B">
        <w:rPr>
          <w:rFonts w:cs="Times New Roman"/>
          <w:noProof/>
          <w:szCs w:val="24"/>
        </w:rPr>
        <w:t>potential</w:t>
      </w:r>
      <w:r w:rsidR="006E4177" w:rsidRPr="007C1494">
        <w:rPr>
          <w:rFonts w:cs="Times New Roman"/>
          <w:noProof/>
          <w:szCs w:val="24"/>
        </w:rPr>
        <w:t xml:space="preserve"> additional product</w:t>
      </w:r>
      <w:r w:rsidR="00503028">
        <w:rPr>
          <w:rFonts w:cs="Times New Roman"/>
          <w:noProof/>
          <w:szCs w:val="24"/>
        </w:rPr>
        <w:t>s</w:t>
      </w:r>
      <w:r w:rsidR="006E4177" w:rsidRPr="007C1494">
        <w:rPr>
          <w:rFonts w:cs="Times New Roman"/>
          <w:noProof/>
          <w:szCs w:val="24"/>
        </w:rPr>
        <w:t xml:space="preserve">, and updated to address </w:t>
      </w:r>
      <w:r w:rsidR="00441B18">
        <w:rPr>
          <w:rFonts w:cs="Times New Roman"/>
          <w:noProof/>
          <w:szCs w:val="24"/>
        </w:rPr>
        <w:t xml:space="preserve">potential </w:t>
      </w:r>
      <w:r w:rsidR="006E4177" w:rsidRPr="007C1494">
        <w:rPr>
          <w:rFonts w:cs="Times New Roman"/>
          <w:noProof/>
          <w:szCs w:val="24"/>
        </w:rPr>
        <w:t xml:space="preserve">leakage </w:t>
      </w:r>
      <w:r w:rsidR="00441B18">
        <w:rPr>
          <w:rFonts w:cs="Times New Roman"/>
          <w:noProof/>
          <w:szCs w:val="24"/>
        </w:rPr>
        <w:t>issues (</w:t>
      </w:r>
      <w:r w:rsidR="00903CB3">
        <w:rPr>
          <w:rFonts w:cs="Times New Roman"/>
          <w:noProof/>
          <w:szCs w:val="24"/>
        </w:rPr>
        <w:t>see section 6.1.4.</w:t>
      </w:r>
      <w:r w:rsidR="00441B18">
        <w:rPr>
          <w:rFonts w:cs="Times New Roman"/>
          <w:noProof/>
          <w:szCs w:val="24"/>
        </w:rPr>
        <w:t>)</w:t>
      </w:r>
    </w:p>
    <w:p w14:paraId="13B566C6" w14:textId="2C99062F" w:rsidR="00162EB8" w:rsidRDefault="0067055E" w:rsidP="00162EB8">
      <w:pPr>
        <w:jc w:val="both"/>
        <w:rPr>
          <w:rFonts w:cs="Times New Roman"/>
          <w:noProof/>
          <w:szCs w:val="24"/>
        </w:rPr>
      </w:pPr>
      <w:r>
        <w:rPr>
          <w:rFonts w:cs="Times New Roman"/>
          <w:noProof/>
          <w:szCs w:val="24"/>
        </w:rPr>
        <w:t xml:space="preserve">The identification of derived products to be </w:t>
      </w:r>
      <w:r w:rsidR="00CB3BAC">
        <w:rPr>
          <w:rFonts w:cs="Times New Roman"/>
          <w:noProof/>
          <w:szCs w:val="24"/>
        </w:rPr>
        <w:t xml:space="preserve">specified </w:t>
      </w:r>
      <w:r>
        <w:rPr>
          <w:rFonts w:cs="Times New Roman"/>
          <w:noProof/>
          <w:szCs w:val="24"/>
        </w:rPr>
        <w:t xml:space="preserve">in the scope requires a specific study. </w:t>
      </w:r>
      <w:r w:rsidR="00162EB8">
        <w:rPr>
          <w:rFonts w:cs="Times New Roman"/>
          <w:noProof/>
          <w:szCs w:val="24"/>
        </w:rPr>
        <w:t xml:space="preserve">Some of the commodities </w:t>
      </w:r>
      <w:r w:rsidR="00503028" w:rsidRPr="00760D6B">
        <w:rPr>
          <w:rFonts w:cs="Times New Roman"/>
          <w:noProof/>
          <w:szCs w:val="24"/>
        </w:rPr>
        <w:t>in</w:t>
      </w:r>
      <w:r w:rsidR="00162EB8">
        <w:rPr>
          <w:rFonts w:cs="Times New Roman"/>
          <w:noProof/>
          <w:szCs w:val="24"/>
        </w:rPr>
        <w:t xml:space="preserve"> the scope, in particular palm oil and soya, are present in </w:t>
      </w:r>
      <w:r w:rsidR="00CB3BAC">
        <w:rPr>
          <w:rFonts w:cs="Times New Roman"/>
          <w:noProof/>
          <w:szCs w:val="24"/>
        </w:rPr>
        <w:t>high number of derived</w:t>
      </w:r>
      <w:r w:rsidR="00162EB8">
        <w:rPr>
          <w:rFonts w:cs="Times New Roman"/>
          <w:noProof/>
          <w:szCs w:val="24"/>
        </w:rPr>
        <w:t xml:space="preserve"> product</w:t>
      </w:r>
      <w:r w:rsidR="00696120">
        <w:rPr>
          <w:rFonts w:cs="Times New Roman"/>
          <w:noProof/>
          <w:szCs w:val="24"/>
        </w:rPr>
        <w:t>s</w:t>
      </w:r>
      <w:r w:rsidR="00162EB8">
        <w:rPr>
          <w:rFonts w:cs="Times New Roman"/>
          <w:noProof/>
          <w:szCs w:val="24"/>
        </w:rPr>
        <w:t xml:space="preserve">. Palm oil for example is widely used in </w:t>
      </w:r>
      <w:r w:rsidR="00162EB8" w:rsidRPr="00EA2215">
        <w:rPr>
          <w:rFonts w:cs="Times New Roman"/>
          <w:noProof/>
          <w:szCs w:val="24"/>
        </w:rPr>
        <w:t>food and snack</w:t>
      </w:r>
      <w:r w:rsidR="00162EB8">
        <w:rPr>
          <w:rFonts w:cs="Times New Roman"/>
          <w:noProof/>
          <w:szCs w:val="24"/>
        </w:rPr>
        <w:t xml:space="preserve">s, </w:t>
      </w:r>
      <w:r w:rsidR="00162EB8" w:rsidRPr="00EA2215">
        <w:rPr>
          <w:rFonts w:cs="Times New Roman"/>
          <w:noProof/>
          <w:szCs w:val="24"/>
        </w:rPr>
        <w:t>cosmetics</w:t>
      </w:r>
      <w:r w:rsidR="00162EB8">
        <w:rPr>
          <w:rFonts w:cs="Times New Roman"/>
          <w:noProof/>
          <w:szCs w:val="24"/>
        </w:rPr>
        <w:t>, b</w:t>
      </w:r>
      <w:r w:rsidR="00162EB8" w:rsidRPr="00EA2215">
        <w:rPr>
          <w:rFonts w:cs="Times New Roman"/>
          <w:noProof/>
          <w:szCs w:val="24"/>
        </w:rPr>
        <w:t>iofuel</w:t>
      </w:r>
      <w:r w:rsidR="00162EB8">
        <w:rPr>
          <w:rFonts w:cs="Times New Roman"/>
          <w:noProof/>
          <w:szCs w:val="24"/>
        </w:rPr>
        <w:t>, a</w:t>
      </w:r>
      <w:r w:rsidR="00162EB8" w:rsidRPr="00EA2215">
        <w:rPr>
          <w:rFonts w:cs="Times New Roman"/>
          <w:noProof/>
          <w:szCs w:val="24"/>
        </w:rPr>
        <w:t>nimal feed</w:t>
      </w:r>
      <w:r w:rsidR="00162EB8">
        <w:rPr>
          <w:rFonts w:cs="Times New Roman"/>
          <w:noProof/>
          <w:szCs w:val="24"/>
        </w:rPr>
        <w:t>, p</w:t>
      </w:r>
      <w:r w:rsidR="00162EB8" w:rsidRPr="00EA2215">
        <w:rPr>
          <w:rFonts w:cs="Times New Roman"/>
          <w:noProof/>
          <w:szCs w:val="24"/>
        </w:rPr>
        <w:t>harmaceutical</w:t>
      </w:r>
      <w:r w:rsidR="00162EB8">
        <w:rPr>
          <w:rFonts w:cs="Times New Roman"/>
          <w:noProof/>
          <w:szCs w:val="24"/>
        </w:rPr>
        <w:t xml:space="preserve"> and other industrial products</w:t>
      </w:r>
      <w:r w:rsidR="00162EB8" w:rsidRPr="00EA2215">
        <w:rPr>
          <w:rFonts w:cs="Times New Roman"/>
          <w:noProof/>
          <w:szCs w:val="24"/>
        </w:rPr>
        <w:t>.</w:t>
      </w:r>
      <w:r w:rsidR="00162EB8">
        <w:rPr>
          <w:rFonts w:cs="Times New Roman"/>
          <w:noProof/>
          <w:szCs w:val="24"/>
        </w:rPr>
        <w:t xml:space="preserve"> </w:t>
      </w:r>
      <w:r w:rsidR="005665CD">
        <w:rPr>
          <w:rFonts w:cs="Times New Roman"/>
          <w:noProof/>
          <w:szCs w:val="24"/>
        </w:rPr>
        <w:t>The literature review and the consultation with stakeholders</w:t>
      </w:r>
      <w:r w:rsidR="007322CD">
        <w:rPr>
          <w:rFonts w:cs="Times New Roman"/>
          <w:noProof/>
          <w:szCs w:val="24"/>
        </w:rPr>
        <w:t xml:space="preserve">, in particular </w:t>
      </w:r>
      <w:r w:rsidR="00974236">
        <w:rPr>
          <w:rFonts w:cs="Times New Roman"/>
          <w:noProof/>
          <w:szCs w:val="24"/>
        </w:rPr>
        <w:t xml:space="preserve">with </w:t>
      </w:r>
      <w:r w:rsidR="007322CD">
        <w:rPr>
          <w:rFonts w:cs="Times New Roman"/>
          <w:noProof/>
          <w:szCs w:val="24"/>
        </w:rPr>
        <w:t>industry associations,</w:t>
      </w:r>
      <w:r w:rsidR="005665CD">
        <w:rPr>
          <w:rFonts w:cs="Times New Roman"/>
          <w:noProof/>
          <w:szCs w:val="24"/>
        </w:rPr>
        <w:t xml:space="preserve"> </w:t>
      </w:r>
      <w:r w:rsidR="005C65E6">
        <w:rPr>
          <w:rFonts w:cs="Times New Roman"/>
          <w:noProof/>
          <w:szCs w:val="24"/>
        </w:rPr>
        <w:t>did not provide</w:t>
      </w:r>
      <w:r w:rsidR="005665CD">
        <w:rPr>
          <w:rFonts w:cs="Times New Roman"/>
          <w:noProof/>
          <w:szCs w:val="24"/>
        </w:rPr>
        <w:t xml:space="preserve"> </w:t>
      </w:r>
      <w:r w:rsidR="005C65E6">
        <w:rPr>
          <w:rFonts w:cs="Times New Roman"/>
          <w:noProof/>
          <w:szCs w:val="24"/>
        </w:rPr>
        <w:t xml:space="preserve">any ready-made </w:t>
      </w:r>
      <w:r w:rsidR="00974236">
        <w:rPr>
          <w:rFonts w:cs="Times New Roman"/>
          <w:noProof/>
          <w:szCs w:val="24"/>
        </w:rPr>
        <w:t xml:space="preserve">listing </w:t>
      </w:r>
      <w:r w:rsidR="005C65E6">
        <w:rPr>
          <w:rFonts w:cs="Times New Roman"/>
          <w:noProof/>
          <w:szCs w:val="24"/>
        </w:rPr>
        <w:t xml:space="preserve">or other </w:t>
      </w:r>
      <w:r w:rsidR="003F4290">
        <w:rPr>
          <w:rFonts w:cs="Times New Roman"/>
          <w:noProof/>
          <w:szCs w:val="24"/>
        </w:rPr>
        <w:t>materials</w:t>
      </w:r>
      <w:r w:rsidR="005665CD">
        <w:rPr>
          <w:rFonts w:cs="Times New Roman"/>
          <w:noProof/>
          <w:szCs w:val="24"/>
        </w:rPr>
        <w:t xml:space="preserve">. </w:t>
      </w:r>
      <w:r w:rsidR="00162EB8">
        <w:rPr>
          <w:rFonts w:cs="Times New Roman"/>
          <w:noProof/>
          <w:szCs w:val="24"/>
        </w:rPr>
        <w:t xml:space="preserve">This made the mapping of </w:t>
      </w:r>
      <w:r w:rsidR="00CB3BAC">
        <w:rPr>
          <w:rFonts w:cs="Times New Roman"/>
          <w:noProof/>
          <w:szCs w:val="24"/>
        </w:rPr>
        <w:t xml:space="preserve">derived </w:t>
      </w:r>
      <w:r w:rsidR="00162EB8">
        <w:rPr>
          <w:rFonts w:cs="Times New Roman"/>
          <w:noProof/>
          <w:szCs w:val="24"/>
        </w:rPr>
        <w:t xml:space="preserve">products to be </w:t>
      </w:r>
      <w:r w:rsidR="00CB3BAC">
        <w:rPr>
          <w:rFonts w:cs="Times New Roman"/>
          <w:noProof/>
          <w:szCs w:val="24"/>
        </w:rPr>
        <w:t xml:space="preserve">identified </w:t>
      </w:r>
      <w:r w:rsidR="00162EB8">
        <w:rPr>
          <w:rFonts w:cs="Times New Roman"/>
          <w:noProof/>
          <w:szCs w:val="24"/>
        </w:rPr>
        <w:t xml:space="preserve">in the scope a </w:t>
      </w:r>
      <w:r w:rsidR="005665CD">
        <w:rPr>
          <w:rFonts w:cs="Times New Roman"/>
          <w:noProof/>
          <w:szCs w:val="24"/>
        </w:rPr>
        <w:t xml:space="preserve">daunting task that exceeded the capacity </w:t>
      </w:r>
      <w:r w:rsidR="00503028" w:rsidRPr="00760D6B">
        <w:rPr>
          <w:rFonts w:cs="Times New Roman"/>
          <w:noProof/>
          <w:szCs w:val="24"/>
        </w:rPr>
        <w:t>of</w:t>
      </w:r>
      <w:r w:rsidR="007322CD">
        <w:rPr>
          <w:rFonts w:cs="Times New Roman"/>
          <w:noProof/>
          <w:szCs w:val="24"/>
        </w:rPr>
        <w:t xml:space="preserve"> this impact assessment.</w:t>
      </w:r>
    </w:p>
    <w:p w14:paraId="0517354C" w14:textId="4FBEC1AB" w:rsidR="00A511C0" w:rsidRDefault="00903CB3" w:rsidP="00B34B8F">
      <w:pPr>
        <w:jc w:val="both"/>
        <w:rPr>
          <w:rFonts w:cs="Times New Roman"/>
          <w:noProof/>
          <w:szCs w:val="24"/>
          <w:lang w:eastAsia="fr-BE"/>
        </w:rPr>
      </w:pPr>
      <w:r>
        <w:rPr>
          <w:rFonts w:cs="Times New Roman"/>
          <w:noProof/>
          <w:szCs w:val="24"/>
          <w:lang w:eastAsia="fr-BE"/>
        </w:rPr>
        <w:t>Therefore</w:t>
      </w:r>
      <w:r w:rsidR="00F020F3">
        <w:rPr>
          <w:rFonts w:cs="Times New Roman"/>
          <w:noProof/>
          <w:szCs w:val="24"/>
          <w:lang w:eastAsia="fr-BE"/>
        </w:rPr>
        <w:t>, due to the</w:t>
      </w:r>
      <w:r w:rsidR="003745F4">
        <w:rPr>
          <w:rFonts w:cs="Times New Roman"/>
          <w:noProof/>
          <w:szCs w:val="24"/>
          <w:lang w:eastAsia="fr-BE"/>
        </w:rPr>
        <w:t>se</w:t>
      </w:r>
      <w:r w:rsidR="00F020F3">
        <w:rPr>
          <w:rFonts w:cs="Times New Roman"/>
          <w:noProof/>
          <w:szCs w:val="24"/>
          <w:lang w:eastAsia="fr-BE"/>
        </w:rPr>
        <w:t xml:space="preserve"> technical difficulties</w:t>
      </w:r>
      <w:r w:rsidR="00433BB4">
        <w:rPr>
          <w:rFonts w:cs="Times New Roman"/>
          <w:noProof/>
          <w:szCs w:val="24"/>
          <w:lang w:eastAsia="fr-BE"/>
        </w:rPr>
        <w:t xml:space="preserve">, it was not possible within this impact assessment to perform the necessary analysis to map and list the products </w:t>
      </w:r>
      <w:r w:rsidR="00CB3BAC">
        <w:rPr>
          <w:rFonts w:cs="Times New Roman"/>
          <w:noProof/>
          <w:szCs w:val="24"/>
          <w:lang w:eastAsia="fr-BE"/>
        </w:rPr>
        <w:t>derived from</w:t>
      </w:r>
      <w:r w:rsidR="00433BB4">
        <w:rPr>
          <w:rFonts w:cs="Times New Roman"/>
          <w:noProof/>
          <w:szCs w:val="24"/>
          <w:lang w:eastAsia="fr-BE"/>
        </w:rPr>
        <w:t xml:space="preserve"> the relevant commodities that should be </w:t>
      </w:r>
      <w:r w:rsidR="00CB3BAC">
        <w:rPr>
          <w:rFonts w:cs="Times New Roman"/>
          <w:noProof/>
          <w:szCs w:val="24"/>
          <w:lang w:eastAsia="fr-BE"/>
        </w:rPr>
        <w:t>i</w:t>
      </w:r>
      <w:r>
        <w:rPr>
          <w:rFonts w:cs="Times New Roman"/>
          <w:noProof/>
          <w:szCs w:val="24"/>
          <w:lang w:eastAsia="fr-BE"/>
        </w:rPr>
        <w:t>ncluded</w:t>
      </w:r>
      <w:r w:rsidR="00CB3BAC" w:rsidDel="00903CB3">
        <w:rPr>
          <w:rFonts w:cs="Times New Roman"/>
          <w:noProof/>
          <w:szCs w:val="24"/>
          <w:lang w:eastAsia="fr-BE"/>
        </w:rPr>
        <w:t xml:space="preserve"> </w:t>
      </w:r>
      <w:r w:rsidR="00CB3BAC">
        <w:rPr>
          <w:rFonts w:cs="Times New Roman"/>
          <w:noProof/>
          <w:szCs w:val="24"/>
          <w:lang w:eastAsia="fr-BE"/>
        </w:rPr>
        <w:t>in</w:t>
      </w:r>
      <w:r w:rsidR="00433BB4">
        <w:rPr>
          <w:rFonts w:cs="Times New Roman"/>
          <w:noProof/>
          <w:szCs w:val="24"/>
          <w:lang w:eastAsia="fr-BE"/>
        </w:rPr>
        <w:t xml:space="preserve"> the scope. An exception </w:t>
      </w:r>
      <w:r w:rsidR="003745F4">
        <w:rPr>
          <w:rFonts w:cs="Times New Roman"/>
          <w:noProof/>
          <w:szCs w:val="24"/>
          <w:lang w:eastAsia="fr-BE"/>
        </w:rPr>
        <w:t>are</w:t>
      </w:r>
      <w:r w:rsidR="00433BB4">
        <w:rPr>
          <w:rFonts w:cs="Times New Roman"/>
          <w:noProof/>
          <w:szCs w:val="24"/>
          <w:lang w:eastAsia="fr-BE"/>
        </w:rPr>
        <w:t xml:space="preserve"> wood products, where the product scope of the EU Timber Regulation already provides a base to build on. </w:t>
      </w:r>
    </w:p>
    <w:p w14:paraId="42A961D2" w14:textId="77BB50FA" w:rsidR="00433BB4" w:rsidRDefault="00A511C0" w:rsidP="00B34B8F">
      <w:pPr>
        <w:jc w:val="both"/>
        <w:rPr>
          <w:rFonts w:cs="Times New Roman"/>
          <w:noProof/>
          <w:szCs w:val="24"/>
          <w:lang w:eastAsia="fr-BE"/>
        </w:rPr>
      </w:pPr>
      <w:r>
        <w:rPr>
          <w:rFonts w:cs="Times New Roman"/>
          <w:noProof/>
          <w:szCs w:val="24"/>
          <w:lang w:eastAsia="fr-BE"/>
        </w:rPr>
        <w:t>As a consequence,</w:t>
      </w:r>
      <w:r w:rsidR="00433BB4">
        <w:rPr>
          <w:rFonts w:cs="Times New Roman"/>
          <w:noProof/>
          <w:szCs w:val="24"/>
          <w:lang w:eastAsia="fr-BE"/>
        </w:rPr>
        <w:t xml:space="preserve"> </w:t>
      </w:r>
      <w:r w:rsidR="00E76826">
        <w:rPr>
          <w:rFonts w:cs="Times New Roman"/>
          <w:noProof/>
          <w:szCs w:val="24"/>
          <w:lang w:eastAsia="fr-BE"/>
        </w:rPr>
        <w:t>the conclusion is to</w:t>
      </w:r>
      <w:r w:rsidR="00433BB4">
        <w:rPr>
          <w:rFonts w:cs="Times New Roman"/>
          <w:noProof/>
          <w:szCs w:val="24"/>
          <w:lang w:eastAsia="fr-BE"/>
        </w:rPr>
        <w:t xml:space="preserve"> initially </w:t>
      </w:r>
      <w:r w:rsidR="00F1660B">
        <w:rPr>
          <w:rFonts w:cs="Times New Roman"/>
          <w:noProof/>
          <w:szCs w:val="24"/>
          <w:lang w:eastAsia="fr-BE"/>
        </w:rPr>
        <w:t xml:space="preserve">identify </w:t>
      </w:r>
      <w:r w:rsidR="00433BB4">
        <w:rPr>
          <w:rFonts w:cs="Times New Roman"/>
          <w:noProof/>
          <w:szCs w:val="24"/>
          <w:lang w:eastAsia="fr-BE"/>
        </w:rPr>
        <w:t xml:space="preserve">the </w:t>
      </w:r>
      <w:r w:rsidR="00433BB4" w:rsidRPr="00433BB4">
        <w:rPr>
          <w:rFonts w:cs="Times New Roman"/>
          <w:noProof/>
          <w:szCs w:val="24"/>
          <w:lang w:eastAsia="fr-BE"/>
        </w:rPr>
        <w:t>main trading forms for each commodity</w:t>
      </w:r>
      <w:r w:rsidR="00433BB4">
        <w:rPr>
          <w:rFonts w:cs="Times New Roman"/>
          <w:noProof/>
          <w:szCs w:val="24"/>
          <w:lang w:eastAsia="fr-BE"/>
        </w:rPr>
        <w:t xml:space="preserve"> — as they appear in trade databases, see table below —</w:t>
      </w:r>
      <w:r w:rsidR="006B0CD1">
        <w:rPr>
          <w:rFonts w:cs="Times New Roman"/>
          <w:noProof/>
          <w:szCs w:val="24"/>
          <w:lang w:eastAsia="fr-BE"/>
        </w:rPr>
        <w:t>,</w:t>
      </w:r>
      <w:r w:rsidR="006B0CD1" w:rsidRPr="006B0CD1">
        <w:rPr>
          <w:rFonts w:cs="Times New Roman"/>
          <w:noProof/>
          <w:szCs w:val="24"/>
          <w:lang w:eastAsia="fr-BE"/>
        </w:rPr>
        <w:t xml:space="preserve"> </w:t>
      </w:r>
      <w:r w:rsidR="006B0CD1">
        <w:rPr>
          <w:rFonts w:cs="Times New Roman"/>
          <w:noProof/>
          <w:szCs w:val="24"/>
          <w:lang w:eastAsia="fr-BE"/>
        </w:rPr>
        <w:t xml:space="preserve">with the exception of wood, where the EUTR scope would </w:t>
      </w:r>
      <w:r w:rsidR="00D36F99">
        <w:rPr>
          <w:rFonts w:cs="Times New Roman"/>
          <w:noProof/>
          <w:szCs w:val="24"/>
          <w:lang w:eastAsia="fr-BE"/>
        </w:rPr>
        <w:t>be used</w:t>
      </w:r>
      <w:r w:rsidR="006B0CD1">
        <w:rPr>
          <w:rFonts w:cs="Times New Roman"/>
          <w:noProof/>
          <w:szCs w:val="24"/>
          <w:lang w:eastAsia="fr-BE"/>
        </w:rPr>
        <w:t xml:space="preserve">, </w:t>
      </w:r>
      <w:r w:rsidR="00433BB4">
        <w:rPr>
          <w:rFonts w:cs="Times New Roman"/>
          <w:noProof/>
          <w:szCs w:val="24"/>
          <w:lang w:eastAsia="fr-BE"/>
        </w:rPr>
        <w:t xml:space="preserve">and to postpone the </w:t>
      </w:r>
      <w:r w:rsidR="00AA4790">
        <w:rPr>
          <w:rFonts w:cs="Times New Roman"/>
          <w:noProof/>
          <w:szCs w:val="24"/>
          <w:lang w:eastAsia="fr-BE"/>
        </w:rPr>
        <w:t xml:space="preserve">detailed </w:t>
      </w:r>
      <w:r w:rsidR="00433BB4">
        <w:rPr>
          <w:rFonts w:cs="Times New Roman"/>
          <w:noProof/>
          <w:szCs w:val="24"/>
          <w:lang w:eastAsia="fr-BE"/>
        </w:rPr>
        <w:t xml:space="preserve">listing of </w:t>
      </w:r>
      <w:r w:rsidR="00F1660B">
        <w:rPr>
          <w:rFonts w:cs="Times New Roman"/>
          <w:noProof/>
          <w:szCs w:val="24"/>
          <w:lang w:eastAsia="fr-BE"/>
        </w:rPr>
        <w:t>derived</w:t>
      </w:r>
      <w:r w:rsidR="00433BB4">
        <w:rPr>
          <w:rFonts w:cs="Times New Roman"/>
          <w:noProof/>
          <w:szCs w:val="24"/>
          <w:lang w:eastAsia="fr-BE"/>
        </w:rPr>
        <w:t xml:space="preserve"> products to a specific impact assessment and </w:t>
      </w:r>
      <w:r w:rsidR="00E76826">
        <w:rPr>
          <w:rFonts w:cs="Times New Roman"/>
          <w:noProof/>
          <w:szCs w:val="24"/>
          <w:lang w:eastAsia="fr-BE"/>
        </w:rPr>
        <w:t xml:space="preserve">subsequent </w:t>
      </w:r>
      <w:r w:rsidR="00433BB4">
        <w:rPr>
          <w:rFonts w:cs="Times New Roman"/>
          <w:noProof/>
          <w:szCs w:val="24"/>
          <w:lang w:eastAsia="fr-BE"/>
        </w:rPr>
        <w:t>implementing legislation.</w:t>
      </w:r>
    </w:p>
    <w:p w14:paraId="4F81B049" w14:textId="541CE087" w:rsidR="0065121A" w:rsidRPr="00EA04FC" w:rsidRDefault="005E6293" w:rsidP="0065121A">
      <w:pPr>
        <w:pStyle w:val="WDFigureTitle"/>
        <w:jc w:val="both"/>
        <w:rPr>
          <w:rFonts w:cs="Segoe UI"/>
          <w:noProof/>
          <w:color w:val="auto"/>
        </w:rPr>
      </w:pPr>
      <w:r>
        <w:rPr>
          <w:rFonts w:cs="Segoe UI"/>
          <w:noProof/>
          <w:color w:val="auto"/>
        </w:rPr>
        <w:t>Table</w:t>
      </w:r>
      <w:r w:rsidR="00B07AE5">
        <w:rPr>
          <w:rFonts w:cs="Segoe UI"/>
          <w:noProof/>
          <w:color w:val="auto"/>
        </w:rPr>
        <w:t xml:space="preserve"> </w:t>
      </w:r>
      <w:r>
        <w:rPr>
          <w:rFonts w:cs="Segoe UI"/>
          <w:noProof/>
          <w:color w:val="auto"/>
        </w:rPr>
        <w:t>2</w:t>
      </w:r>
      <w:r w:rsidR="0065121A" w:rsidRPr="00EA04FC">
        <w:rPr>
          <w:rFonts w:cs="Segoe UI"/>
          <w:noProof/>
          <w:color w:val="auto"/>
        </w:rPr>
        <w:tab/>
      </w:r>
      <w:r w:rsidR="0065121A">
        <w:rPr>
          <w:rFonts w:cs="Segoe UI"/>
          <w:noProof/>
          <w:color w:val="auto"/>
        </w:rPr>
        <w:t>HS codes of the commodities and products to be included in the initial scope of the EU intervention</w:t>
      </w:r>
      <w:r w:rsidR="0065121A" w:rsidRPr="00EA04FC">
        <w:rPr>
          <w:rFonts w:cs="Segoe UI"/>
          <w:noProof/>
          <w:color w:val="auto"/>
        </w:rPr>
        <w:t>. Source</w:t>
      </w:r>
      <w:r w:rsidR="0065121A">
        <w:rPr>
          <w:rFonts w:cs="Segoe UI"/>
          <w:noProof/>
          <w:color w:val="auto"/>
        </w:rPr>
        <w:t>:</w:t>
      </w:r>
      <w:r w:rsidR="0065121A" w:rsidRPr="00EA04FC">
        <w:rPr>
          <w:rFonts w:cs="Segoe UI"/>
          <w:noProof/>
          <w:color w:val="auto"/>
        </w:rPr>
        <w:t xml:space="preserve"> </w:t>
      </w:r>
      <w:r w:rsidR="0065121A">
        <w:rPr>
          <w:rFonts w:cs="Segoe UI"/>
          <w:noProof/>
          <w:color w:val="auto"/>
        </w:rPr>
        <w:t>Own elaboration</w:t>
      </w:r>
      <w:r w:rsidR="0065121A" w:rsidRPr="00EA04FC">
        <w:rPr>
          <w:rFonts w:cs="Segoe UI"/>
          <w:noProof/>
          <w:color w:val="auto"/>
        </w:rPr>
        <w:t xml:space="preserve">. </w:t>
      </w:r>
    </w:p>
    <w:tbl>
      <w:tblPr>
        <w:tblStyle w:val="TableGrid2"/>
        <w:tblW w:w="5353" w:type="dxa"/>
        <w:tblLook w:val="04A0" w:firstRow="1" w:lastRow="0" w:firstColumn="1" w:lastColumn="0" w:noHBand="0" w:noVBand="1"/>
      </w:tblPr>
      <w:tblGrid>
        <w:gridCol w:w="1431"/>
        <w:gridCol w:w="3922"/>
      </w:tblGrid>
      <w:tr w:rsidR="00F02B2B" w:rsidRPr="005D6D16" w14:paraId="41994EB3" w14:textId="77777777" w:rsidTr="00841C68">
        <w:tc>
          <w:tcPr>
            <w:tcW w:w="1431" w:type="dxa"/>
          </w:tcPr>
          <w:p w14:paraId="270D5B2D" w14:textId="77777777" w:rsidR="00F02B2B" w:rsidRPr="00BF5002" w:rsidRDefault="00F02B2B" w:rsidP="00F02B2B">
            <w:pPr>
              <w:rPr>
                <w:rFonts w:eastAsia="Calibri" w:cs="Times New Roman"/>
                <w:noProof/>
                <w:color w:val="000000" w:themeColor="text1"/>
                <w:lang w:val="en-GB"/>
              </w:rPr>
            </w:pPr>
            <w:r w:rsidRPr="00BF5002">
              <w:rPr>
                <w:rFonts w:eastAsia="Calibri" w:cs="Times New Roman"/>
                <w:noProof/>
                <w:color w:val="000000" w:themeColor="text1"/>
                <w:lang w:val="en-GB"/>
              </w:rPr>
              <w:t>Wood</w:t>
            </w:r>
          </w:p>
        </w:tc>
        <w:tc>
          <w:tcPr>
            <w:tcW w:w="3922" w:type="dxa"/>
          </w:tcPr>
          <w:p w14:paraId="466F944E" w14:textId="26536718" w:rsidR="00F02B2B" w:rsidRPr="00BF5002" w:rsidRDefault="00F02B2B" w:rsidP="007016AF">
            <w:pPr>
              <w:rPr>
                <w:rFonts w:eastAsia="Calibri" w:cs="Times New Roman"/>
                <w:noProof/>
                <w:color w:val="000000" w:themeColor="text1"/>
                <w:lang w:val="de-DE"/>
              </w:rPr>
            </w:pPr>
            <w:r w:rsidRPr="00BF5002">
              <w:rPr>
                <w:rFonts w:eastAsia="Calibri" w:cs="Times New Roman"/>
                <w:noProof/>
                <w:color w:val="000000" w:themeColor="text1"/>
                <w:lang w:val="de-DE"/>
              </w:rPr>
              <w:t xml:space="preserve">HS codes in EUTR scope </w:t>
            </w:r>
          </w:p>
        </w:tc>
      </w:tr>
      <w:tr w:rsidR="00F02B2B" w:rsidRPr="007C1494" w14:paraId="056C1BE7" w14:textId="77777777" w:rsidTr="00841C68">
        <w:tc>
          <w:tcPr>
            <w:tcW w:w="1431" w:type="dxa"/>
          </w:tcPr>
          <w:p w14:paraId="316D051E" w14:textId="77777777" w:rsidR="00F02B2B" w:rsidRPr="00BF5002" w:rsidRDefault="00F02B2B" w:rsidP="00F02B2B">
            <w:pPr>
              <w:rPr>
                <w:rFonts w:eastAsia="Calibri" w:cs="Times New Roman"/>
                <w:noProof/>
                <w:color w:val="000000" w:themeColor="text1"/>
              </w:rPr>
            </w:pPr>
            <w:r w:rsidRPr="00BF5002">
              <w:rPr>
                <w:rFonts w:eastAsia="Calibri" w:cs="Times New Roman"/>
                <w:noProof/>
                <w:color w:val="000000" w:themeColor="text1"/>
                <w:lang w:val="en-GB"/>
              </w:rPr>
              <w:t>Beef</w:t>
            </w:r>
          </w:p>
        </w:tc>
        <w:tc>
          <w:tcPr>
            <w:tcW w:w="3922" w:type="dxa"/>
          </w:tcPr>
          <w:p w14:paraId="3E6A0C71" w14:textId="681E7AF5" w:rsidR="00F02B2B" w:rsidRPr="00BF5002" w:rsidRDefault="00F02B2B" w:rsidP="00BA3652">
            <w:pPr>
              <w:rPr>
                <w:rFonts w:eastAsia="Calibri" w:cs="Times New Roman"/>
                <w:noProof/>
                <w:color w:val="000000" w:themeColor="text1"/>
              </w:rPr>
            </w:pPr>
            <w:r w:rsidRPr="00BF5002">
              <w:rPr>
                <w:rFonts w:eastAsia="Calibri" w:cs="Times New Roman"/>
                <w:noProof/>
                <w:color w:val="000000" w:themeColor="text1"/>
                <w:lang w:val="en-GB"/>
              </w:rPr>
              <w:t>HS</w:t>
            </w:r>
            <w:r w:rsidR="00BA3652" w:rsidRPr="00BF5002">
              <w:rPr>
                <w:noProof/>
                <w:color w:val="000000" w:themeColor="text1"/>
              </w:rPr>
              <w:t xml:space="preserve">0102, </w:t>
            </w:r>
            <w:r w:rsidRPr="00BF5002">
              <w:rPr>
                <w:rFonts w:eastAsia="Calibri" w:cs="Times New Roman"/>
                <w:noProof/>
                <w:color w:val="000000" w:themeColor="text1"/>
                <w:lang w:val="en-GB"/>
              </w:rPr>
              <w:t>0201</w:t>
            </w:r>
            <w:r w:rsidR="00BA3652" w:rsidRPr="00BF5002">
              <w:rPr>
                <w:rFonts w:eastAsia="Calibri" w:cs="Times New Roman"/>
                <w:noProof/>
                <w:color w:val="000000" w:themeColor="text1"/>
                <w:lang w:val="en-GB"/>
              </w:rPr>
              <w:t xml:space="preserve">, </w:t>
            </w:r>
            <w:r w:rsidRPr="00BF5002">
              <w:rPr>
                <w:rFonts w:eastAsia="Calibri" w:cs="Times New Roman"/>
                <w:noProof/>
                <w:color w:val="000000" w:themeColor="text1"/>
                <w:lang w:val="en-GB"/>
              </w:rPr>
              <w:t>0202</w:t>
            </w:r>
            <w:r w:rsidR="00BA3652" w:rsidRPr="00BF5002">
              <w:rPr>
                <w:rFonts w:eastAsia="Calibri" w:cs="Times New Roman"/>
                <w:noProof/>
                <w:color w:val="000000" w:themeColor="text1"/>
                <w:lang w:val="en-GB"/>
              </w:rPr>
              <w:t xml:space="preserve">, </w:t>
            </w:r>
            <w:r w:rsidR="00BA3652" w:rsidRPr="00BF5002">
              <w:rPr>
                <w:noProof/>
                <w:color w:val="000000" w:themeColor="text1"/>
              </w:rPr>
              <w:t>020610, 020622, 020629, 4101, 4104 and 4107</w:t>
            </w:r>
          </w:p>
        </w:tc>
      </w:tr>
      <w:tr w:rsidR="00F02B2B" w:rsidRPr="007C1494" w14:paraId="7A427BB8" w14:textId="77777777" w:rsidTr="00841C68">
        <w:tc>
          <w:tcPr>
            <w:tcW w:w="1431" w:type="dxa"/>
          </w:tcPr>
          <w:p w14:paraId="1F772005" w14:textId="77777777" w:rsidR="00F02B2B" w:rsidRPr="00BF5002" w:rsidRDefault="00F02B2B" w:rsidP="00F02B2B">
            <w:pPr>
              <w:rPr>
                <w:rFonts w:eastAsia="Calibri" w:cs="Times New Roman"/>
                <w:noProof/>
                <w:color w:val="000000" w:themeColor="text1"/>
                <w:lang w:val="en-GB"/>
              </w:rPr>
            </w:pPr>
            <w:r w:rsidRPr="00BF5002">
              <w:rPr>
                <w:rFonts w:eastAsia="Calibri" w:cs="Times New Roman"/>
                <w:noProof/>
                <w:color w:val="000000" w:themeColor="text1"/>
                <w:lang w:val="en-GB"/>
              </w:rPr>
              <w:t>Cocoa</w:t>
            </w:r>
          </w:p>
        </w:tc>
        <w:tc>
          <w:tcPr>
            <w:tcW w:w="3922" w:type="dxa"/>
          </w:tcPr>
          <w:p w14:paraId="38143503" w14:textId="745FF7D2" w:rsidR="00F02B2B" w:rsidRPr="00BF5002" w:rsidRDefault="00F02B2B" w:rsidP="00F02B2B">
            <w:pPr>
              <w:rPr>
                <w:rFonts w:eastAsia="Calibri" w:cs="Times New Roman"/>
                <w:noProof/>
                <w:color w:val="000000" w:themeColor="text1"/>
                <w:lang w:val="en-GB"/>
              </w:rPr>
            </w:pPr>
            <w:r w:rsidRPr="00BF5002">
              <w:rPr>
                <w:rFonts w:eastAsia="Calibri" w:cs="Times New Roman"/>
                <w:noProof/>
                <w:color w:val="000000" w:themeColor="text1"/>
                <w:lang w:val="en-GB"/>
              </w:rPr>
              <w:t>HS1801 to 180</w:t>
            </w:r>
            <w:r w:rsidR="00BA3652" w:rsidRPr="00BF5002">
              <w:rPr>
                <w:rFonts w:eastAsia="Calibri" w:cs="Times New Roman"/>
                <w:noProof/>
                <w:color w:val="000000" w:themeColor="text1"/>
                <w:lang w:val="en-GB"/>
              </w:rPr>
              <w:t>6</w:t>
            </w:r>
          </w:p>
        </w:tc>
      </w:tr>
      <w:tr w:rsidR="00F02B2B" w:rsidRPr="007C1494" w14:paraId="3A18AFD9" w14:textId="77777777" w:rsidTr="00841C68">
        <w:tc>
          <w:tcPr>
            <w:tcW w:w="1431" w:type="dxa"/>
          </w:tcPr>
          <w:p w14:paraId="6391348F" w14:textId="77777777" w:rsidR="00F02B2B" w:rsidRPr="00BF5002" w:rsidRDefault="00F02B2B" w:rsidP="00F02B2B">
            <w:pPr>
              <w:rPr>
                <w:rFonts w:eastAsia="Calibri" w:cs="Times New Roman"/>
                <w:noProof/>
                <w:color w:val="000000" w:themeColor="text1"/>
                <w:lang w:val="en-GB"/>
              </w:rPr>
            </w:pPr>
            <w:r w:rsidRPr="00BF5002">
              <w:rPr>
                <w:rFonts w:eastAsia="Calibri" w:cs="Times New Roman"/>
                <w:noProof/>
                <w:color w:val="000000" w:themeColor="text1"/>
                <w:lang w:val="en-GB"/>
              </w:rPr>
              <w:t>Coffee</w:t>
            </w:r>
          </w:p>
        </w:tc>
        <w:tc>
          <w:tcPr>
            <w:tcW w:w="3922" w:type="dxa"/>
          </w:tcPr>
          <w:p w14:paraId="549A2F62" w14:textId="77777777" w:rsidR="00F02B2B" w:rsidRPr="00BF5002" w:rsidRDefault="00F02B2B" w:rsidP="00F02B2B">
            <w:pPr>
              <w:rPr>
                <w:rFonts w:eastAsia="Calibri" w:cs="Times New Roman"/>
                <w:noProof/>
                <w:color w:val="000000" w:themeColor="text1"/>
                <w:lang w:val="en-GB"/>
              </w:rPr>
            </w:pPr>
            <w:r w:rsidRPr="00BF5002">
              <w:rPr>
                <w:rFonts w:eastAsia="Calibri" w:cs="Times New Roman"/>
                <w:noProof/>
                <w:color w:val="000000" w:themeColor="text1"/>
                <w:lang w:val="en-GB"/>
              </w:rPr>
              <w:t>HS0901</w:t>
            </w:r>
          </w:p>
        </w:tc>
      </w:tr>
      <w:tr w:rsidR="00F02B2B" w:rsidRPr="007C1494" w14:paraId="4638B653" w14:textId="77777777" w:rsidTr="00841C68">
        <w:tc>
          <w:tcPr>
            <w:tcW w:w="1431" w:type="dxa"/>
          </w:tcPr>
          <w:p w14:paraId="601EEB3A" w14:textId="77777777" w:rsidR="00F02B2B" w:rsidRPr="00BF5002" w:rsidRDefault="00F02B2B" w:rsidP="00F02B2B">
            <w:pPr>
              <w:rPr>
                <w:rFonts w:eastAsia="Calibri" w:cs="Times New Roman"/>
                <w:noProof/>
                <w:color w:val="000000" w:themeColor="text1"/>
                <w:lang w:val="en-GB"/>
              </w:rPr>
            </w:pPr>
            <w:r w:rsidRPr="00BF5002">
              <w:rPr>
                <w:rFonts w:eastAsia="Calibri" w:cs="Times New Roman"/>
                <w:noProof/>
                <w:color w:val="000000" w:themeColor="text1"/>
                <w:lang w:val="en-GB"/>
              </w:rPr>
              <w:t>Palm oil</w:t>
            </w:r>
          </w:p>
        </w:tc>
        <w:tc>
          <w:tcPr>
            <w:tcW w:w="3922" w:type="dxa"/>
          </w:tcPr>
          <w:p w14:paraId="1D32F048" w14:textId="20B325EE" w:rsidR="00F02B2B" w:rsidRPr="00BF5002" w:rsidRDefault="00F02B2B" w:rsidP="00696C97">
            <w:pPr>
              <w:rPr>
                <w:rFonts w:eastAsia="Calibri" w:cs="Times New Roman"/>
                <w:noProof/>
                <w:color w:val="000000" w:themeColor="text1"/>
                <w:lang w:val="en-GB"/>
              </w:rPr>
            </w:pPr>
            <w:r w:rsidRPr="00BF5002">
              <w:rPr>
                <w:rFonts w:eastAsia="Calibri" w:cs="Times New Roman"/>
                <w:noProof/>
                <w:color w:val="000000" w:themeColor="text1"/>
                <w:lang w:val="en-GB"/>
              </w:rPr>
              <w:t>HS</w:t>
            </w:r>
            <w:r w:rsidR="00696C97" w:rsidRPr="00BF5002">
              <w:rPr>
                <w:noProof/>
                <w:color w:val="000000" w:themeColor="text1"/>
              </w:rPr>
              <w:t>120710</w:t>
            </w:r>
            <w:r w:rsidR="00696C97" w:rsidRPr="00BF5002">
              <w:rPr>
                <w:noProof/>
                <w:color w:val="000000" w:themeColor="text1"/>
                <w:lang w:val="en-GB"/>
              </w:rPr>
              <w:t>,</w:t>
            </w:r>
            <w:r w:rsidR="00696C97" w:rsidRPr="00BF5002">
              <w:rPr>
                <w:noProof/>
                <w:color w:val="000000" w:themeColor="text1"/>
              </w:rPr>
              <w:t xml:space="preserve"> </w:t>
            </w:r>
            <w:r w:rsidRPr="00BF5002">
              <w:rPr>
                <w:rFonts w:eastAsia="Calibri" w:cs="Times New Roman"/>
                <w:noProof/>
                <w:color w:val="000000" w:themeColor="text1"/>
                <w:lang w:val="en-GB"/>
              </w:rPr>
              <w:t>1511</w:t>
            </w:r>
            <w:r w:rsidR="00BA3652" w:rsidRPr="00BF5002">
              <w:rPr>
                <w:noProof/>
                <w:color w:val="000000" w:themeColor="text1"/>
              </w:rPr>
              <w:t>, 151321, 151329 and 230660</w:t>
            </w:r>
          </w:p>
        </w:tc>
      </w:tr>
      <w:tr w:rsidR="00F02B2B" w:rsidRPr="007C1494" w14:paraId="30098749" w14:textId="77777777" w:rsidTr="00841C68">
        <w:tc>
          <w:tcPr>
            <w:tcW w:w="1431" w:type="dxa"/>
          </w:tcPr>
          <w:p w14:paraId="08B76286" w14:textId="77777777" w:rsidR="00F02B2B" w:rsidRPr="00BF5002" w:rsidRDefault="00F02B2B" w:rsidP="00F02B2B">
            <w:pPr>
              <w:rPr>
                <w:rFonts w:eastAsia="Calibri" w:cs="Times New Roman"/>
                <w:noProof/>
                <w:color w:val="000000" w:themeColor="text1"/>
                <w:lang w:val="en-GB"/>
              </w:rPr>
            </w:pPr>
            <w:r w:rsidRPr="00BF5002">
              <w:rPr>
                <w:rFonts w:eastAsia="Calibri" w:cs="Times New Roman"/>
                <w:noProof/>
                <w:color w:val="000000" w:themeColor="text1"/>
                <w:lang w:val="en-GB"/>
              </w:rPr>
              <w:t xml:space="preserve">Soy </w:t>
            </w:r>
          </w:p>
        </w:tc>
        <w:tc>
          <w:tcPr>
            <w:tcW w:w="3922" w:type="dxa"/>
          </w:tcPr>
          <w:p w14:paraId="7E4B7662" w14:textId="13C2F202" w:rsidR="00F02B2B" w:rsidRPr="00BF5002" w:rsidRDefault="00F02B2B" w:rsidP="00D21097">
            <w:pPr>
              <w:rPr>
                <w:rFonts w:eastAsia="Calibri" w:cs="Times New Roman"/>
                <w:noProof/>
                <w:color w:val="000000" w:themeColor="text1"/>
                <w:lang w:val="en-GB"/>
              </w:rPr>
            </w:pPr>
            <w:r w:rsidRPr="00BF5002">
              <w:rPr>
                <w:rFonts w:eastAsia="Calibri" w:cs="Times New Roman"/>
                <w:noProof/>
                <w:color w:val="000000" w:themeColor="text1"/>
                <w:lang w:val="en-GB"/>
              </w:rPr>
              <w:t>HS1201, 120810</w:t>
            </w:r>
            <w:r w:rsidR="00D21097" w:rsidRPr="00BF5002">
              <w:rPr>
                <w:rFonts w:eastAsia="Calibri" w:cs="Times New Roman"/>
                <w:noProof/>
                <w:color w:val="000000" w:themeColor="text1"/>
                <w:lang w:val="en-GB"/>
              </w:rPr>
              <w:t>,</w:t>
            </w:r>
            <w:r w:rsidRPr="00BF5002">
              <w:rPr>
                <w:rFonts w:eastAsia="Calibri" w:cs="Times New Roman"/>
                <w:noProof/>
                <w:color w:val="000000" w:themeColor="text1"/>
                <w:lang w:val="en-GB"/>
              </w:rPr>
              <w:t xml:space="preserve"> 1507 </w:t>
            </w:r>
            <w:r w:rsidR="00D21097" w:rsidRPr="00BF5002">
              <w:rPr>
                <w:rFonts w:eastAsia="Calibri" w:cs="Times New Roman"/>
                <w:noProof/>
                <w:color w:val="000000" w:themeColor="text1"/>
                <w:lang w:val="en-GB"/>
              </w:rPr>
              <w:t>and 2304</w:t>
            </w:r>
          </w:p>
        </w:tc>
      </w:tr>
    </w:tbl>
    <w:p w14:paraId="3A057F18" w14:textId="2BCEBE6E" w:rsidR="00BF4B77" w:rsidRDefault="00BF4B77" w:rsidP="00B34B8F">
      <w:pPr>
        <w:jc w:val="both"/>
        <w:rPr>
          <w:rFonts w:cs="Times New Roman"/>
          <w:noProof/>
          <w:szCs w:val="24"/>
          <w:lang w:eastAsia="fr-BE"/>
        </w:rPr>
      </w:pPr>
    </w:p>
    <w:p w14:paraId="2E20CD27" w14:textId="690B4B8B" w:rsidR="00244E6A" w:rsidRPr="007C1494" w:rsidRDefault="00335526" w:rsidP="00335526">
      <w:pPr>
        <w:pStyle w:val="Heading2"/>
        <w:rPr>
          <w:noProof/>
        </w:rPr>
      </w:pPr>
      <w:bookmarkStart w:id="103" w:name="_Toc67074990"/>
      <w:bookmarkStart w:id="104" w:name="_Toc75542185"/>
      <w:bookmarkStart w:id="105" w:name="_Toc75543218"/>
      <w:bookmarkStart w:id="106" w:name="_Toc84591906"/>
      <w:r w:rsidRPr="00335526">
        <w:t>5.2</w:t>
      </w:r>
      <w:r w:rsidRPr="00335526">
        <w:tab/>
      </w:r>
      <w:r w:rsidR="00244E6A" w:rsidRPr="007C1494">
        <w:rPr>
          <w:noProof/>
        </w:rPr>
        <w:t>What is the baseline from which options are assessed?</w:t>
      </w:r>
      <w:bookmarkEnd w:id="102"/>
      <w:bookmarkEnd w:id="103"/>
      <w:bookmarkEnd w:id="104"/>
      <w:bookmarkEnd w:id="105"/>
      <w:bookmarkEnd w:id="106"/>
    </w:p>
    <w:p w14:paraId="438AD8DE" w14:textId="5A695601" w:rsidR="00C10573" w:rsidRPr="007C1494" w:rsidRDefault="00C10573" w:rsidP="00C10573">
      <w:pPr>
        <w:jc w:val="both"/>
        <w:rPr>
          <w:rFonts w:cs="Times New Roman"/>
          <w:noProof/>
          <w:szCs w:val="24"/>
        </w:rPr>
      </w:pPr>
      <w:r w:rsidRPr="007C1494">
        <w:rPr>
          <w:rFonts w:cs="Times New Roman"/>
          <w:noProof/>
          <w:szCs w:val="24"/>
        </w:rPr>
        <w:t xml:space="preserve">The baseline quantified hereafter reflects the deforestation </w:t>
      </w:r>
      <w:r w:rsidR="0041316B" w:rsidRPr="007C1494">
        <w:rPr>
          <w:rFonts w:cs="Times New Roman"/>
          <w:noProof/>
          <w:szCs w:val="24"/>
        </w:rPr>
        <w:t xml:space="preserve">and forest degradation </w:t>
      </w:r>
      <w:r w:rsidRPr="007C1494">
        <w:rPr>
          <w:rFonts w:cs="Times New Roman"/>
          <w:noProof/>
          <w:szCs w:val="24"/>
        </w:rPr>
        <w:t>impacts of EU consumption in the context of these existing measures and settings.</w:t>
      </w:r>
      <w:r w:rsidR="00AC035B">
        <w:rPr>
          <w:rFonts w:cs="Times New Roman"/>
          <w:noProof/>
          <w:szCs w:val="24"/>
        </w:rPr>
        <w:t>.</w:t>
      </w:r>
    </w:p>
    <w:p w14:paraId="5462A98F" w14:textId="0A2D62BC" w:rsidR="00AA696F" w:rsidRPr="007C1494" w:rsidRDefault="00E1151E" w:rsidP="00E1151E">
      <w:pPr>
        <w:jc w:val="both"/>
        <w:rPr>
          <w:rFonts w:cs="Times New Roman"/>
          <w:noProof/>
          <w:szCs w:val="24"/>
        </w:rPr>
      </w:pPr>
      <w:r w:rsidRPr="007C1494">
        <w:rPr>
          <w:rFonts w:cs="Times New Roman"/>
          <w:noProof/>
          <w:szCs w:val="24"/>
        </w:rPr>
        <w:t xml:space="preserve">The baseline builds on the qualitative and quantitative overview of the commodities placed on the EU market that present a </w:t>
      </w:r>
      <w:r w:rsidR="00D762CB" w:rsidRPr="007C1494">
        <w:rPr>
          <w:rFonts w:cs="Times New Roman"/>
          <w:noProof/>
          <w:szCs w:val="24"/>
        </w:rPr>
        <w:t xml:space="preserve">deforestation </w:t>
      </w:r>
      <w:r w:rsidR="0041316B" w:rsidRPr="007C1494">
        <w:rPr>
          <w:rFonts w:cs="Times New Roman"/>
          <w:noProof/>
          <w:szCs w:val="24"/>
        </w:rPr>
        <w:t xml:space="preserve">and forest degradation </w:t>
      </w:r>
      <w:r w:rsidRPr="007C1494">
        <w:rPr>
          <w:rFonts w:cs="Times New Roman"/>
          <w:noProof/>
          <w:szCs w:val="24"/>
        </w:rPr>
        <w:t xml:space="preserve">risk to forests. The baseline attempts to </w:t>
      </w:r>
      <w:r w:rsidR="00D762CB" w:rsidRPr="007C1494">
        <w:rPr>
          <w:rFonts w:cs="Times New Roman"/>
          <w:noProof/>
          <w:szCs w:val="24"/>
        </w:rPr>
        <w:t xml:space="preserve">model </w:t>
      </w:r>
      <w:r w:rsidRPr="007C1494">
        <w:rPr>
          <w:rFonts w:cs="Times New Roman"/>
          <w:noProof/>
          <w:szCs w:val="24"/>
        </w:rPr>
        <w:t xml:space="preserve">future consumption </w:t>
      </w:r>
      <w:r w:rsidR="00D762CB" w:rsidRPr="007C1494">
        <w:rPr>
          <w:rFonts w:cs="Times New Roman"/>
          <w:noProof/>
          <w:szCs w:val="24"/>
        </w:rPr>
        <w:t>trends</w:t>
      </w:r>
      <w:r w:rsidR="00D762CB" w:rsidRPr="007C1494" w:rsidDel="004F1BA9">
        <w:rPr>
          <w:rFonts w:cs="Times New Roman"/>
          <w:noProof/>
          <w:szCs w:val="24"/>
        </w:rPr>
        <w:t xml:space="preserve"> </w:t>
      </w:r>
      <w:r w:rsidRPr="007C1494">
        <w:rPr>
          <w:rFonts w:cs="Times New Roman"/>
          <w:noProof/>
          <w:szCs w:val="24"/>
        </w:rPr>
        <w:t xml:space="preserve">in the absence of additional policy </w:t>
      </w:r>
      <w:r w:rsidR="00C139FC" w:rsidRPr="007C1494">
        <w:rPr>
          <w:rFonts w:cs="Times New Roman"/>
          <w:noProof/>
          <w:szCs w:val="24"/>
        </w:rPr>
        <w:t>measures</w:t>
      </w:r>
      <w:r w:rsidRPr="007C1494">
        <w:rPr>
          <w:rFonts w:cs="Times New Roman"/>
          <w:noProof/>
          <w:szCs w:val="24"/>
        </w:rPr>
        <w:t xml:space="preserve">, and to estimate the impact of these trends on deforestation and </w:t>
      </w:r>
      <w:r w:rsidR="0041316B" w:rsidRPr="007C1494">
        <w:rPr>
          <w:rFonts w:cs="Times New Roman"/>
          <w:noProof/>
          <w:szCs w:val="24"/>
        </w:rPr>
        <w:t>forest degradation</w:t>
      </w:r>
      <w:r w:rsidRPr="007C1494">
        <w:rPr>
          <w:rFonts w:cs="Times New Roman"/>
          <w:noProof/>
          <w:szCs w:val="24"/>
        </w:rPr>
        <w:t xml:space="preserve"> and CO2 emissions. The baseline, therefore, aims to illustrate the impact of EU consumption on deforestation and </w:t>
      </w:r>
      <w:r w:rsidR="0041316B" w:rsidRPr="007C1494">
        <w:rPr>
          <w:rFonts w:cs="Times New Roman"/>
          <w:noProof/>
          <w:szCs w:val="24"/>
        </w:rPr>
        <w:t xml:space="preserve">forest degradation </w:t>
      </w:r>
      <w:r w:rsidRPr="007C1494">
        <w:rPr>
          <w:rFonts w:cs="Times New Roman"/>
          <w:noProof/>
          <w:szCs w:val="24"/>
        </w:rPr>
        <w:t xml:space="preserve">and CO2 emissions. It considers that unsustainable </w:t>
      </w:r>
      <w:r w:rsidR="00D762CB" w:rsidRPr="007C1494">
        <w:rPr>
          <w:rFonts w:cs="Times New Roman"/>
          <w:noProof/>
          <w:szCs w:val="24"/>
        </w:rPr>
        <w:t xml:space="preserve">patterns of </w:t>
      </w:r>
      <w:r w:rsidRPr="007C1494">
        <w:rPr>
          <w:rFonts w:cs="Times New Roman"/>
          <w:noProof/>
          <w:szCs w:val="24"/>
        </w:rPr>
        <w:t xml:space="preserve">commodity production will remain the same in the absence of EU </w:t>
      </w:r>
      <w:r w:rsidR="00D762CB" w:rsidRPr="007C1494">
        <w:rPr>
          <w:rFonts w:cs="Times New Roman"/>
          <w:noProof/>
          <w:szCs w:val="24"/>
        </w:rPr>
        <w:t xml:space="preserve">policy </w:t>
      </w:r>
      <w:r w:rsidRPr="007C1494">
        <w:rPr>
          <w:rFonts w:cs="Times New Roman"/>
          <w:noProof/>
          <w:szCs w:val="24"/>
        </w:rPr>
        <w:t xml:space="preserve">intervention. </w:t>
      </w:r>
      <w:r w:rsidR="0099060B" w:rsidRPr="00760D6B">
        <w:rPr>
          <w:rFonts w:cs="Times New Roman"/>
          <w:noProof/>
          <w:szCs w:val="24"/>
        </w:rPr>
        <w:t>The</w:t>
      </w:r>
      <w:r w:rsidRPr="007C1494">
        <w:rPr>
          <w:rFonts w:cs="Times New Roman"/>
          <w:noProof/>
          <w:szCs w:val="24"/>
        </w:rPr>
        <w:t xml:space="preserve"> policy options </w:t>
      </w:r>
      <w:r w:rsidR="0099060B" w:rsidRPr="00760D6B">
        <w:rPr>
          <w:rFonts w:cs="Times New Roman"/>
          <w:noProof/>
          <w:szCs w:val="24"/>
        </w:rPr>
        <w:t>analysed below</w:t>
      </w:r>
      <w:r w:rsidR="0099060B">
        <w:rPr>
          <w:rFonts w:cs="Times New Roman"/>
          <w:noProof/>
          <w:szCs w:val="24"/>
        </w:rPr>
        <w:t xml:space="preserve"> </w:t>
      </w:r>
      <w:r w:rsidRPr="007C1494">
        <w:rPr>
          <w:rFonts w:cs="Times New Roman"/>
          <w:noProof/>
          <w:szCs w:val="24"/>
        </w:rPr>
        <w:t xml:space="preserve">aim to </w:t>
      </w:r>
      <w:r w:rsidR="00D762CB" w:rsidRPr="007C1494">
        <w:rPr>
          <w:rFonts w:cs="Times New Roman"/>
          <w:noProof/>
          <w:szCs w:val="24"/>
        </w:rPr>
        <w:t xml:space="preserve">enable replacing </w:t>
      </w:r>
      <w:r w:rsidRPr="007C1494">
        <w:rPr>
          <w:rFonts w:cs="Times New Roman"/>
          <w:noProof/>
          <w:szCs w:val="24"/>
        </w:rPr>
        <w:t xml:space="preserve">unsustainable consumption with sustainable consumption, by incentivising countries and companies to clean up their commodity production and supply chains. </w:t>
      </w:r>
    </w:p>
    <w:p w14:paraId="3A76633E" w14:textId="072B11EE" w:rsidR="00C139FC" w:rsidRPr="007C1494" w:rsidRDefault="00C139FC" w:rsidP="00C139FC">
      <w:pPr>
        <w:jc w:val="both"/>
        <w:rPr>
          <w:rFonts w:eastAsia="Calibri" w:cs="Times New Roman"/>
          <w:noProof/>
          <w:szCs w:val="24"/>
        </w:rPr>
      </w:pPr>
      <w:bookmarkStart w:id="107" w:name="_Toc481484474"/>
      <w:bookmarkStart w:id="108" w:name="_Toc67074996"/>
      <w:r w:rsidRPr="007C1494">
        <w:rPr>
          <w:rFonts w:eastAsia="Calibri" w:cs="Times New Roman"/>
          <w:noProof/>
          <w:szCs w:val="24"/>
        </w:rPr>
        <w:t>To quantify a baseline one has to draw on data about the production of key selected commodities, the volumes that are placed on the EU market and key impacts associated with their consumption within the EU such as embodied deforestation and greenhouse gas emissions</w:t>
      </w:r>
      <w:r w:rsidRPr="007C1494">
        <w:rPr>
          <w:rFonts w:eastAsia="Calibri" w:cs="Times New Roman"/>
          <w:noProof/>
        </w:rPr>
        <w:t>.</w:t>
      </w:r>
      <w:r w:rsidR="00FA7667" w:rsidRPr="007C1494">
        <w:rPr>
          <w:rFonts w:eastAsia="Calibri" w:cs="Times New Roman"/>
          <w:noProof/>
        </w:rPr>
        <w:t xml:space="preserve"> </w:t>
      </w:r>
    </w:p>
    <w:p w14:paraId="50359ABE" w14:textId="28194718" w:rsidR="00507DBC" w:rsidRPr="007C1494" w:rsidRDefault="00B24232" w:rsidP="00507DBC">
      <w:pPr>
        <w:jc w:val="both"/>
        <w:rPr>
          <w:rFonts w:eastAsia="Calibri" w:cs="Times New Roman"/>
          <w:noProof/>
          <w:szCs w:val="24"/>
        </w:rPr>
      </w:pPr>
      <w:r w:rsidRPr="007C1494">
        <w:rPr>
          <w:rFonts w:eastAsia="Calibri" w:cs="Times New Roman"/>
          <w:noProof/>
          <w:szCs w:val="24"/>
        </w:rPr>
        <w:t xml:space="preserve">In estimating the quantitative baseline, </w:t>
      </w:r>
      <w:r w:rsidR="001F219F" w:rsidRPr="007C1494">
        <w:rPr>
          <w:rFonts w:eastAsia="Calibri" w:cs="Times New Roman"/>
          <w:noProof/>
          <w:szCs w:val="24"/>
        </w:rPr>
        <w:t>t</w:t>
      </w:r>
      <w:r w:rsidR="00507DBC" w:rsidRPr="007C1494">
        <w:rPr>
          <w:rFonts w:eastAsia="Calibri" w:cs="Times New Roman"/>
          <w:noProof/>
          <w:szCs w:val="24"/>
        </w:rPr>
        <w:t>he evolution of imports to 2030 was estimated based on projected annual growth rates found in literature (where possible) or otherwise based on historical trends</w:t>
      </w:r>
      <w:r w:rsidR="008075CC" w:rsidRPr="007C1494">
        <w:rPr>
          <w:rStyle w:val="FootnoteReference"/>
          <w:rFonts w:eastAsia="Calibri" w:cs="Times New Roman"/>
          <w:noProof/>
          <w:szCs w:val="24"/>
        </w:rPr>
        <w:footnoteReference w:id="105"/>
      </w:r>
      <w:r w:rsidR="00507DBC" w:rsidRPr="007C1494">
        <w:rPr>
          <w:rFonts w:eastAsia="Calibri" w:cs="Times New Roman"/>
          <w:noProof/>
          <w:szCs w:val="24"/>
        </w:rPr>
        <w:t xml:space="preserve">. To calculate the impact of </w:t>
      </w:r>
      <w:r w:rsidR="00507DBC" w:rsidRPr="00760D6B">
        <w:rPr>
          <w:rFonts w:eastAsia="Calibri" w:cs="Times New Roman"/>
          <w:noProof/>
          <w:szCs w:val="24"/>
        </w:rPr>
        <w:t>th</w:t>
      </w:r>
      <w:r w:rsidR="0099060B" w:rsidRPr="00760D6B">
        <w:rPr>
          <w:rFonts w:eastAsia="Calibri" w:cs="Times New Roman"/>
          <w:noProof/>
          <w:szCs w:val="24"/>
        </w:rPr>
        <w:t>is</w:t>
      </w:r>
      <w:r w:rsidR="00507DBC" w:rsidRPr="007C1494">
        <w:rPr>
          <w:rFonts w:eastAsia="Calibri" w:cs="Times New Roman"/>
          <w:noProof/>
          <w:szCs w:val="24"/>
        </w:rPr>
        <w:t xml:space="preserve"> </w:t>
      </w:r>
      <w:r w:rsidR="0099060B" w:rsidRPr="00760D6B">
        <w:rPr>
          <w:rFonts w:eastAsia="Calibri" w:cs="Times New Roman"/>
          <w:noProof/>
          <w:szCs w:val="24"/>
        </w:rPr>
        <w:t>projected</w:t>
      </w:r>
      <w:r w:rsidR="00507DBC" w:rsidRPr="007C1494">
        <w:rPr>
          <w:rFonts w:eastAsia="Calibri" w:cs="Times New Roman"/>
          <w:noProof/>
          <w:szCs w:val="24"/>
        </w:rPr>
        <w:t xml:space="preserve"> </w:t>
      </w:r>
      <w:r w:rsidR="008075CC" w:rsidRPr="007C1494">
        <w:rPr>
          <w:rFonts w:eastAsia="Calibri" w:cs="Times New Roman"/>
          <w:noProof/>
          <w:szCs w:val="24"/>
        </w:rPr>
        <w:t xml:space="preserve">growth </w:t>
      </w:r>
      <w:r w:rsidR="0099060B" w:rsidRPr="00760D6B">
        <w:rPr>
          <w:rFonts w:eastAsia="Calibri" w:cs="Times New Roman"/>
          <w:noProof/>
          <w:szCs w:val="24"/>
        </w:rPr>
        <w:t>in consumption</w:t>
      </w:r>
      <w:r w:rsidR="008075CC" w:rsidRPr="007C1494">
        <w:rPr>
          <w:rFonts w:eastAsia="Calibri" w:cs="Times New Roman"/>
          <w:noProof/>
          <w:szCs w:val="24"/>
        </w:rPr>
        <w:t xml:space="preserve"> </w:t>
      </w:r>
      <w:r w:rsidR="00507DBC" w:rsidRPr="007C1494">
        <w:rPr>
          <w:rFonts w:eastAsia="Calibri" w:cs="Times New Roman"/>
          <w:noProof/>
          <w:szCs w:val="24"/>
        </w:rPr>
        <w:t>on global deforestation and CO</w:t>
      </w:r>
      <w:r w:rsidR="00507DBC" w:rsidRPr="007C1494">
        <w:rPr>
          <w:rFonts w:eastAsia="Calibri" w:cs="Times New Roman"/>
          <w:noProof/>
          <w:szCs w:val="24"/>
          <w:vertAlign w:val="subscript"/>
        </w:rPr>
        <w:t>2</w:t>
      </w:r>
      <w:r w:rsidR="00507DBC" w:rsidRPr="007C1494">
        <w:rPr>
          <w:rFonts w:eastAsia="Calibri" w:cs="Times New Roman"/>
          <w:noProof/>
          <w:szCs w:val="24"/>
        </w:rPr>
        <w:t xml:space="preserve"> emissions, </w:t>
      </w:r>
      <w:r w:rsidR="008075CC" w:rsidRPr="007C1494">
        <w:rPr>
          <w:rFonts w:eastAsia="Calibri" w:cs="Times New Roman"/>
          <w:noProof/>
          <w:szCs w:val="24"/>
        </w:rPr>
        <w:t>average intensity factors (i.e. deforestation and emission ratios in ha/tonne and tCO2/tonne, respectively) were derived from literature</w:t>
      </w:r>
      <w:r w:rsidRPr="007C1494">
        <w:rPr>
          <w:rFonts w:eastAsia="Calibri" w:cs="Times New Roman"/>
          <w:noProof/>
          <w:szCs w:val="24"/>
        </w:rPr>
        <w:t xml:space="preserve"> and applied to import volumes (historical and projected)</w:t>
      </w:r>
      <w:r w:rsidR="008075CC" w:rsidRPr="007C1494">
        <w:rPr>
          <w:rFonts w:eastAsia="Calibri" w:cs="Times New Roman"/>
          <w:noProof/>
          <w:szCs w:val="24"/>
        </w:rPr>
        <w:t>.</w:t>
      </w:r>
      <w:r w:rsidRPr="007C1494">
        <w:rPr>
          <w:rFonts w:eastAsia="Calibri" w:cs="Times New Roman"/>
          <w:noProof/>
          <w:szCs w:val="24"/>
        </w:rPr>
        <w:t xml:space="preserve"> </w:t>
      </w:r>
      <w:r w:rsidR="001F219F" w:rsidRPr="007C1494">
        <w:rPr>
          <w:rFonts w:eastAsia="Calibri" w:cs="Times New Roman"/>
          <w:noProof/>
          <w:szCs w:val="24"/>
        </w:rPr>
        <w:t>The impact of imports on deforestation and emissions is assumed to remain the same until 2030 (i.e. the same average ‘intensity factors’ are applied on an annual basis between 2009 and 2030).</w:t>
      </w:r>
    </w:p>
    <w:p w14:paraId="61FFAA89" w14:textId="22FF866D" w:rsidR="00507DBC" w:rsidRPr="007C1494" w:rsidRDefault="005E6293">
      <w:pPr>
        <w:pStyle w:val="WDFigureTitle"/>
        <w:jc w:val="both"/>
        <w:rPr>
          <w:rFonts w:eastAsia="Calibri" w:cs="Times New Roman"/>
          <w:noProof/>
          <w:szCs w:val="24"/>
        </w:rPr>
      </w:pPr>
      <w:r>
        <w:rPr>
          <w:rFonts w:cs="Segoe UI"/>
          <w:noProof/>
          <w:color w:val="auto"/>
        </w:rPr>
        <w:t>Table</w:t>
      </w:r>
      <w:r w:rsidR="00B07AE5">
        <w:rPr>
          <w:rFonts w:cs="Segoe UI"/>
          <w:noProof/>
          <w:color w:val="auto"/>
        </w:rPr>
        <w:t xml:space="preserve"> </w:t>
      </w:r>
      <w:r>
        <w:rPr>
          <w:rFonts w:cs="Segoe UI"/>
          <w:noProof/>
          <w:color w:val="auto"/>
        </w:rPr>
        <w:t>3</w:t>
      </w:r>
      <w:r w:rsidR="006E09F6" w:rsidRPr="00EA04FC">
        <w:rPr>
          <w:rFonts w:cs="Segoe UI"/>
          <w:noProof/>
          <w:color w:val="auto"/>
        </w:rPr>
        <w:tab/>
      </w:r>
      <w:r w:rsidR="006E09F6">
        <w:rPr>
          <w:rFonts w:cs="Segoe UI"/>
          <w:noProof/>
          <w:color w:val="auto"/>
        </w:rPr>
        <w:t>Baseline figures for the EU intervention</w:t>
      </w:r>
      <w:r w:rsidR="006E09F6" w:rsidRPr="00EA04FC">
        <w:rPr>
          <w:rFonts w:cs="Segoe UI"/>
          <w:noProof/>
          <w:color w:val="auto"/>
        </w:rPr>
        <w:t>. Source</w:t>
      </w:r>
      <w:r w:rsidR="006E09F6">
        <w:rPr>
          <w:rFonts w:cs="Segoe UI"/>
          <w:noProof/>
          <w:color w:val="auto"/>
        </w:rPr>
        <w:t>:</w:t>
      </w:r>
      <w:r w:rsidR="006E09F6" w:rsidRPr="00EA04FC">
        <w:rPr>
          <w:rFonts w:cs="Segoe UI"/>
          <w:noProof/>
          <w:color w:val="auto"/>
        </w:rPr>
        <w:t xml:space="preserve"> </w:t>
      </w:r>
      <w:r w:rsidR="006E09F6" w:rsidRPr="006E09F6">
        <w:rPr>
          <w:rFonts w:cs="Segoe UI"/>
          <w:noProof/>
          <w:color w:val="auto"/>
        </w:rPr>
        <w:t>Analysis based on COMEXT, DG AGRI</w:t>
      </w:r>
      <w:r w:rsidR="006E09F6" w:rsidRPr="006E09F6">
        <w:rPr>
          <w:rFonts w:cs="Segoe UI"/>
          <w:noProof/>
          <w:color w:val="auto"/>
          <w:vertAlign w:val="superscript"/>
        </w:rPr>
        <w:footnoteReference w:id="106"/>
      </w:r>
      <w:r w:rsidR="006E09F6" w:rsidRPr="006E09F6">
        <w:rPr>
          <w:rFonts w:cs="Segoe UI"/>
          <w:noProof/>
          <w:color w:val="auto"/>
        </w:rPr>
        <w:t>, OECD-FAO</w:t>
      </w:r>
      <w:r w:rsidR="006E09F6" w:rsidRPr="006E09F6">
        <w:rPr>
          <w:rFonts w:cs="Segoe UI"/>
          <w:noProof/>
          <w:color w:val="auto"/>
          <w:vertAlign w:val="superscript"/>
        </w:rPr>
        <w:footnoteReference w:id="107"/>
      </w:r>
      <w:r w:rsidR="006E09F6" w:rsidRPr="006E09F6">
        <w:rPr>
          <w:rFonts w:cs="Segoe UI"/>
          <w:noProof/>
          <w:color w:val="auto"/>
          <w:vertAlign w:val="superscript"/>
        </w:rPr>
        <w:t>,</w:t>
      </w:r>
      <w:r w:rsidR="006E09F6" w:rsidRPr="006E09F6">
        <w:rPr>
          <w:rFonts w:cs="Segoe UI"/>
          <w:noProof/>
          <w:color w:val="auto"/>
        </w:rPr>
        <w:t xml:space="preserve"> Jonsson et al. (2021)</w:t>
      </w:r>
      <w:r w:rsidR="006E09F6" w:rsidRPr="006E09F6">
        <w:rPr>
          <w:rFonts w:cs="Segoe UI"/>
          <w:noProof/>
          <w:color w:val="auto"/>
          <w:vertAlign w:val="superscript"/>
        </w:rPr>
        <w:footnoteReference w:id="108"/>
      </w:r>
      <w:r w:rsidR="006E09F6" w:rsidRPr="006E09F6">
        <w:rPr>
          <w:rFonts w:cs="Segoe UI"/>
          <w:noProof/>
          <w:color w:val="auto"/>
          <w:vertAlign w:val="superscript"/>
        </w:rPr>
        <w:t xml:space="preserve">, </w:t>
      </w:r>
      <w:r w:rsidR="006E09F6" w:rsidRPr="006E09F6">
        <w:rPr>
          <w:rFonts w:cs="Segoe UI"/>
          <w:noProof/>
          <w:color w:val="auto"/>
        </w:rPr>
        <w:t>Pendrill et al. (2020)</w:t>
      </w:r>
      <w:r w:rsidR="006E09F6" w:rsidRPr="006E09F6">
        <w:rPr>
          <w:rFonts w:cs="Segoe UI"/>
          <w:noProof/>
          <w:color w:val="auto"/>
          <w:vertAlign w:val="superscript"/>
        </w:rPr>
        <w:footnoteReference w:id="109"/>
      </w:r>
      <w:r w:rsidR="006E09F6" w:rsidRPr="006E09F6">
        <w:rPr>
          <w:rFonts w:cs="Segoe UI"/>
          <w:noProof/>
          <w:color w:val="auto"/>
          <w:vertAlign w:val="superscript"/>
        </w:rPr>
        <w:t>,</w:t>
      </w:r>
      <w:r w:rsidR="006E09F6" w:rsidRPr="006E09F6">
        <w:rPr>
          <w:rFonts w:cs="Segoe UI"/>
          <w:noProof/>
          <w:color w:val="auto"/>
        </w:rPr>
        <w:t xml:space="preserve"> Global Forest Watch (GFW)</w:t>
      </w:r>
      <w:r w:rsidR="006E09F6" w:rsidRPr="006E09F6">
        <w:rPr>
          <w:rFonts w:cs="Segoe UI"/>
          <w:noProof/>
          <w:color w:val="auto"/>
          <w:vertAlign w:val="superscript"/>
        </w:rPr>
        <w:footnoteReference w:id="110"/>
      </w:r>
      <w:r w:rsidR="006E09F6" w:rsidRPr="006E09F6">
        <w:rPr>
          <w:rFonts w:cs="Segoe UI"/>
          <w:noProof/>
          <w:color w:val="auto"/>
        </w:rPr>
        <w:t>, and FAOSTAT</w:t>
      </w:r>
      <w:r w:rsidR="006E09F6" w:rsidRPr="006E09F6">
        <w:rPr>
          <w:rFonts w:cs="Segoe UI"/>
          <w:noProof/>
          <w:color w:val="auto"/>
          <w:vertAlign w:val="superscript"/>
        </w:rPr>
        <w:footnoteReference w:id="111"/>
      </w:r>
      <w:r w:rsidR="006E09F6" w:rsidRPr="006E09F6">
        <w:rPr>
          <w:rFonts w:cs="Segoe UI"/>
          <w:noProof/>
          <w:color w:val="auto"/>
        </w:rPr>
        <w:t>.</w:t>
      </w:r>
      <w:r w:rsidR="006E09F6" w:rsidRPr="00EA04FC">
        <w:rPr>
          <w:rFonts w:cs="Segoe UI"/>
          <w:noProof/>
          <w:color w:val="auto"/>
        </w:rPr>
        <w:t xml:space="preserve"> </w:t>
      </w:r>
    </w:p>
    <w:tbl>
      <w:tblPr>
        <w:tblStyle w:val="WoodEISUKReportTable11"/>
        <w:tblW w:w="0" w:type="auto"/>
        <w:tblInd w:w="0" w:type="dxa"/>
        <w:tblLayout w:type="fixed"/>
        <w:tblLook w:val="04A0" w:firstRow="1" w:lastRow="0" w:firstColumn="1" w:lastColumn="0" w:noHBand="0" w:noVBand="1"/>
      </w:tblPr>
      <w:tblGrid>
        <w:gridCol w:w="5637"/>
        <w:gridCol w:w="1569"/>
        <w:gridCol w:w="1581"/>
      </w:tblGrid>
      <w:tr w:rsidR="00E44E68" w:rsidRPr="007C1494" w14:paraId="16591F08" w14:textId="77777777" w:rsidTr="00B242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14:paraId="294B0295" w14:textId="77777777" w:rsidR="00E44E68" w:rsidRPr="007C1494" w:rsidRDefault="00E44E68" w:rsidP="00B24232">
            <w:pPr>
              <w:spacing w:after="0"/>
              <w:rPr>
                <w:rFonts w:cs="Times New Roman"/>
                <w:noProof/>
                <w:color w:val="000000"/>
              </w:rPr>
            </w:pPr>
          </w:p>
        </w:tc>
        <w:tc>
          <w:tcPr>
            <w:tcW w:w="1569" w:type="dxa"/>
            <w:hideMark/>
          </w:tcPr>
          <w:p w14:paraId="3DAEE7AB" w14:textId="77777777" w:rsidR="00E44E68" w:rsidRPr="007C1494" w:rsidRDefault="00E44E68" w:rsidP="00B7136A">
            <w:pPr>
              <w:spacing w:after="0"/>
              <w:jc w:val="right"/>
              <w:cnfStyle w:val="100000000000" w:firstRow="1" w:lastRow="0" w:firstColumn="0" w:lastColumn="0" w:oddVBand="0" w:evenVBand="0" w:oddHBand="0" w:evenHBand="0" w:firstRowFirstColumn="0" w:firstRowLastColumn="0" w:lastRowFirstColumn="0" w:lastRowLastColumn="0"/>
              <w:rPr>
                <w:rFonts w:cs="Times New Roman"/>
                <w:noProof/>
                <w:color w:val="000000"/>
              </w:rPr>
            </w:pPr>
            <w:r w:rsidRPr="007C1494">
              <w:rPr>
                <w:rFonts w:cs="Times New Roman"/>
                <w:noProof/>
                <w:color w:val="000000"/>
              </w:rPr>
              <w:t>2009-2019</w:t>
            </w:r>
          </w:p>
        </w:tc>
        <w:tc>
          <w:tcPr>
            <w:tcW w:w="1581" w:type="dxa"/>
            <w:hideMark/>
          </w:tcPr>
          <w:p w14:paraId="79FA6748" w14:textId="77777777" w:rsidR="00E44E68" w:rsidRPr="007C1494" w:rsidRDefault="00E44E68" w:rsidP="00B7136A">
            <w:pPr>
              <w:spacing w:after="0"/>
              <w:jc w:val="right"/>
              <w:cnfStyle w:val="100000000000" w:firstRow="1" w:lastRow="0" w:firstColumn="0" w:lastColumn="0" w:oddVBand="0" w:evenVBand="0" w:oddHBand="0" w:evenHBand="0" w:firstRowFirstColumn="0" w:firstRowLastColumn="0" w:lastRowFirstColumn="0" w:lastRowLastColumn="0"/>
              <w:rPr>
                <w:rFonts w:cs="Times New Roman"/>
                <w:noProof/>
                <w:color w:val="000000"/>
              </w:rPr>
            </w:pPr>
            <w:r w:rsidRPr="007C1494">
              <w:rPr>
                <w:rFonts w:cs="Times New Roman"/>
                <w:noProof/>
                <w:color w:val="000000"/>
              </w:rPr>
              <w:t>2020-2030</w:t>
            </w:r>
          </w:p>
        </w:tc>
      </w:tr>
      <w:tr w:rsidR="00B24232" w:rsidRPr="007C1494" w14:paraId="09327F21" w14:textId="77777777" w:rsidTr="00B242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Borders>
              <w:top w:val="nil"/>
              <w:bottom w:val="nil"/>
            </w:tcBorders>
            <w:hideMark/>
          </w:tcPr>
          <w:p w14:paraId="740842B4" w14:textId="77777777" w:rsidR="00B24232" w:rsidRPr="007C1494" w:rsidRDefault="00B24232" w:rsidP="00B24232">
            <w:pPr>
              <w:rPr>
                <w:noProof/>
                <w:color w:val="000000"/>
                <w:szCs w:val="20"/>
              </w:rPr>
            </w:pPr>
            <w:r w:rsidRPr="007C1494">
              <w:rPr>
                <w:noProof/>
                <w:color w:val="000000"/>
                <w:szCs w:val="20"/>
              </w:rPr>
              <w:t>Cumulated total imports placed on the EU27 market (Mtonne)</w:t>
            </w:r>
          </w:p>
        </w:tc>
        <w:tc>
          <w:tcPr>
            <w:tcW w:w="1569" w:type="dxa"/>
            <w:tcBorders>
              <w:top w:val="nil"/>
              <w:bottom w:val="nil"/>
            </w:tcBorders>
            <w:hideMark/>
          </w:tcPr>
          <w:p w14:paraId="7BF3FA8F" w14:textId="2E16C80E" w:rsidR="00B24232" w:rsidRPr="007C1494" w:rsidRDefault="00B24232" w:rsidP="00B24232">
            <w:pPr>
              <w:jc w:val="right"/>
              <w:cnfStyle w:val="000000100000" w:firstRow="0" w:lastRow="0" w:firstColumn="0" w:lastColumn="0" w:oddVBand="0" w:evenVBand="0" w:oddHBand="1" w:evenHBand="0" w:firstRowFirstColumn="0" w:firstRowLastColumn="0" w:lastRowFirstColumn="0" w:lastRowLastColumn="0"/>
              <w:rPr>
                <w:noProof/>
                <w:color w:val="000000"/>
                <w:szCs w:val="20"/>
              </w:rPr>
            </w:pPr>
            <w:r w:rsidRPr="007C1494">
              <w:rPr>
                <w:noProof/>
                <w:szCs w:val="20"/>
              </w:rPr>
              <w:t>810.5</w:t>
            </w:r>
          </w:p>
        </w:tc>
        <w:tc>
          <w:tcPr>
            <w:tcW w:w="1581" w:type="dxa"/>
            <w:tcBorders>
              <w:top w:val="nil"/>
              <w:bottom w:val="nil"/>
            </w:tcBorders>
            <w:hideMark/>
          </w:tcPr>
          <w:p w14:paraId="59E033DD" w14:textId="587B90B8" w:rsidR="00B24232" w:rsidRPr="007C1494" w:rsidRDefault="00B24232" w:rsidP="00B24232">
            <w:pPr>
              <w:jc w:val="right"/>
              <w:cnfStyle w:val="000000100000" w:firstRow="0" w:lastRow="0" w:firstColumn="0" w:lastColumn="0" w:oddVBand="0" w:evenVBand="0" w:oddHBand="1" w:evenHBand="0" w:firstRowFirstColumn="0" w:firstRowLastColumn="0" w:lastRowFirstColumn="0" w:lastRowLastColumn="0"/>
              <w:rPr>
                <w:noProof/>
                <w:color w:val="000000"/>
                <w:szCs w:val="20"/>
              </w:rPr>
            </w:pPr>
            <w:r w:rsidRPr="007C1494">
              <w:rPr>
                <w:noProof/>
                <w:szCs w:val="20"/>
              </w:rPr>
              <w:t>1,042.3</w:t>
            </w:r>
          </w:p>
        </w:tc>
      </w:tr>
      <w:tr w:rsidR="00B24232" w:rsidRPr="007C1494" w14:paraId="67B6D7B1" w14:textId="77777777" w:rsidTr="00B242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Borders>
              <w:top w:val="nil"/>
              <w:left w:val="nil"/>
              <w:bottom w:val="nil"/>
              <w:right w:val="nil"/>
            </w:tcBorders>
            <w:hideMark/>
          </w:tcPr>
          <w:p w14:paraId="7143C04B" w14:textId="77777777" w:rsidR="00B24232" w:rsidRPr="007C1494" w:rsidRDefault="00B24232" w:rsidP="00B24232">
            <w:pPr>
              <w:rPr>
                <w:noProof/>
                <w:color w:val="000000"/>
                <w:szCs w:val="20"/>
              </w:rPr>
            </w:pPr>
            <w:r w:rsidRPr="007C1494">
              <w:rPr>
                <w:noProof/>
                <w:color w:val="000000"/>
                <w:szCs w:val="20"/>
              </w:rPr>
              <w:t>Cumulated total embodied deforestation (‘000 ha)</w:t>
            </w:r>
          </w:p>
        </w:tc>
        <w:tc>
          <w:tcPr>
            <w:tcW w:w="1569" w:type="dxa"/>
            <w:tcBorders>
              <w:top w:val="nil"/>
              <w:left w:val="nil"/>
              <w:bottom w:val="nil"/>
              <w:right w:val="nil"/>
            </w:tcBorders>
            <w:hideMark/>
          </w:tcPr>
          <w:p w14:paraId="4F34FD00" w14:textId="5A383CF7" w:rsidR="00B24232" w:rsidRPr="007C1494" w:rsidRDefault="00B24232" w:rsidP="00B24232">
            <w:pPr>
              <w:jc w:val="right"/>
              <w:cnfStyle w:val="000000010000" w:firstRow="0" w:lastRow="0" w:firstColumn="0" w:lastColumn="0" w:oddVBand="0" w:evenVBand="0" w:oddHBand="0" w:evenHBand="1" w:firstRowFirstColumn="0" w:firstRowLastColumn="0" w:lastRowFirstColumn="0" w:lastRowLastColumn="0"/>
              <w:rPr>
                <w:noProof/>
                <w:color w:val="000000"/>
                <w:szCs w:val="20"/>
              </w:rPr>
            </w:pPr>
            <w:r w:rsidRPr="007C1494">
              <w:rPr>
                <w:noProof/>
                <w:szCs w:val="20"/>
              </w:rPr>
              <w:t>2,302.6</w:t>
            </w:r>
          </w:p>
        </w:tc>
        <w:tc>
          <w:tcPr>
            <w:tcW w:w="1581" w:type="dxa"/>
            <w:tcBorders>
              <w:top w:val="nil"/>
              <w:left w:val="nil"/>
              <w:bottom w:val="nil"/>
              <w:right w:val="nil"/>
            </w:tcBorders>
            <w:hideMark/>
          </w:tcPr>
          <w:p w14:paraId="3EDAB74D" w14:textId="1AD26595" w:rsidR="00B24232" w:rsidRPr="007C1494" w:rsidRDefault="00B24232" w:rsidP="00B24232">
            <w:pPr>
              <w:jc w:val="right"/>
              <w:cnfStyle w:val="000000010000" w:firstRow="0" w:lastRow="0" w:firstColumn="0" w:lastColumn="0" w:oddVBand="0" w:evenVBand="0" w:oddHBand="0" w:evenHBand="1" w:firstRowFirstColumn="0" w:firstRowLastColumn="0" w:lastRowFirstColumn="0" w:lastRowLastColumn="0"/>
              <w:rPr>
                <w:noProof/>
                <w:color w:val="000000"/>
                <w:szCs w:val="20"/>
              </w:rPr>
            </w:pPr>
            <w:r w:rsidRPr="007C1494">
              <w:rPr>
                <w:noProof/>
                <w:szCs w:val="20"/>
              </w:rPr>
              <w:t>2,516.8</w:t>
            </w:r>
          </w:p>
        </w:tc>
      </w:tr>
      <w:tr w:rsidR="00B24232" w:rsidRPr="007C1494" w14:paraId="2C9BBA33" w14:textId="77777777" w:rsidTr="00B242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Borders>
              <w:top w:val="nil"/>
              <w:bottom w:val="single" w:sz="2" w:space="0" w:color="000000" w:themeColor="text1"/>
            </w:tcBorders>
            <w:hideMark/>
          </w:tcPr>
          <w:p w14:paraId="6C7D8F85" w14:textId="77777777" w:rsidR="00B24232" w:rsidRPr="007C1494" w:rsidRDefault="00B24232" w:rsidP="00B24232">
            <w:pPr>
              <w:rPr>
                <w:noProof/>
                <w:color w:val="000000"/>
                <w:szCs w:val="20"/>
              </w:rPr>
            </w:pPr>
            <w:r w:rsidRPr="007C1494">
              <w:rPr>
                <w:noProof/>
                <w:color w:val="000000"/>
                <w:szCs w:val="20"/>
              </w:rPr>
              <w:t>Cumulated total embodied emissions (MtCO</w:t>
            </w:r>
            <w:r w:rsidRPr="007C1494">
              <w:rPr>
                <w:noProof/>
                <w:color w:val="000000"/>
                <w:szCs w:val="20"/>
                <w:vertAlign w:val="subscript"/>
              </w:rPr>
              <w:t>2</w:t>
            </w:r>
            <w:r w:rsidRPr="007C1494">
              <w:rPr>
                <w:noProof/>
                <w:color w:val="000000"/>
                <w:szCs w:val="20"/>
              </w:rPr>
              <w:t>)</w:t>
            </w:r>
          </w:p>
        </w:tc>
        <w:tc>
          <w:tcPr>
            <w:tcW w:w="1569" w:type="dxa"/>
            <w:tcBorders>
              <w:top w:val="nil"/>
              <w:bottom w:val="single" w:sz="2" w:space="0" w:color="000000" w:themeColor="text1"/>
            </w:tcBorders>
            <w:hideMark/>
          </w:tcPr>
          <w:p w14:paraId="27F7C293" w14:textId="75D9C7FC" w:rsidR="00B24232" w:rsidRPr="007C1494" w:rsidRDefault="00B24232" w:rsidP="00B24232">
            <w:pPr>
              <w:jc w:val="right"/>
              <w:cnfStyle w:val="000000100000" w:firstRow="0" w:lastRow="0" w:firstColumn="0" w:lastColumn="0" w:oddVBand="0" w:evenVBand="0" w:oddHBand="1" w:evenHBand="0" w:firstRowFirstColumn="0" w:firstRowLastColumn="0" w:lastRowFirstColumn="0" w:lastRowLastColumn="0"/>
              <w:rPr>
                <w:noProof/>
                <w:color w:val="000000"/>
                <w:szCs w:val="20"/>
              </w:rPr>
            </w:pPr>
            <w:r w:rsidRPr="007C1494">
              <w:rPr>
                <w:noProof/>
                <w:szCs w:val="20"/>
              </w:rPr>
              <w:t>1,021.8</w:t>
            </w:r>
          </w:p>
        </w:tc>
        <w:tc>
          <w:tcPr>
            <w:tcW w:w="1581" w:type="dxa"/>
            <w:tcBorders>
              <w:top w:val="nil"/>
              <w:bottom w:val="single" w:sz="2" w:space="0" w:color="000000" w:themeColor="text1"/>
            </w:tcBorders>
            <w:hideMark/>
          </w:tcPr>
          <w:p w14:paraId="66F0528C" w14:textId="6D0512E1" w:rsidR="00B24232" w:rsidRPr="007C1494" w:rsidRDefault="00B24232" w:rsidP="00B24232">
            <w:pPr>
              <w:jc w:val="right"/>
              <w:cnfStyle w:val="000000100000" w:firstRow="0" w:lastRow="0" w:firstColumn="0" w:lastColumn="0" w:oddVBand="0" w:evenVBand="0" w:oddHBand="1" w:evenHBand="0" w:firstRowFirstColumn="0" w:firstRowLastColumn="0" w:lastRowFirstColumn="0" w:lastRowLastColumn="0"/>
              <w:rPr>
                <w:noProof/>
                <w:color w:val="000000"/>
                <w:szCs w:val="20"/>
              </w:rPr>
            </w:pPr>
            <w:r w:rsidRPr="007C1494">
              <w:rPr>
                <w:noProof/>
                <w:szCs w:val="20"/>
              </w:rPr>
              <w:t>1,103.0</w:t>
            </w:r>
          </w:p>
        </w:tc>
      </w:tr>
    </w:tbl>
    <w:p w14:paraId="1ECCC5D4" w14:textId="0142ACAC" w:rsidR="000F103C" w:rsidRPr="007C1494" w:rsidRDefault="000F103C" w:rsidP="00B7136A">
      <w:pPr>
        <w:spacing w:after="0" w:line="240" w:lineRule="auto"/>
        <w:jc w:val="both"/>
        <w:rPr>
          <w:rFonts w:eastAsia="Calibri" w:cs="Times New Roman"/>
          <w:noProof/>
          <w:color w:val="000000"/>
          <w:sz w:val="16"/>
          <w:szCs w:val="16"/>
        </w:rPr>
      </w:pPr>
    </w:p>
    <w:p w14:paraId="6D42FB3C" w14:textId="3F04E043" w:rsidR="00E44E68" w:rsidRPr="007C1494" w:rsidRDefault="00E44E68" w:rsidP="00E44E68">
      <w:pPr>
        <w:jc w:val="both"/>
        <w:rPr>
          <w:rFonts w:eastAsia="Calibri" w:cs="Times New Roman"/>
          <w:noProof/>
          <w:szCs w:val="24"/>
        </w:rPr>
      </w:pPr>
    </w:p>
    <w:p w14:paraId="391C4AEC" w14:textId="4713D18C" w:rsidR="0080098F" w:rsidRPr="00065811" w:rsidRDefault="000F2FB1" w:rsidP="00E44E68">
      <w:pPr>
        <w:jc w:val="both"/>
        <w:rPr>
          <w:rFonts w:eastAsia="Calibri" w:cs="Times New Roman"/>
          <w:noProof/>
          <w:szCs w:val="24"/>
        </w:rPr>
      </w:pPr>
      <w:r w:rsidRPr="00065811">
        <w:rPr>
          <w:rFonts w:eastAsia="Calibri" w:cs="Times New Roman"/>
          <w:noProof/>
          <w:szCs w:val="24"/>
        </w:rPr>
        <w:t>The analysis results in 248</w:t>
      </w:r>
      <w:r w:rsidR="0023378C">
        <w:rPr>
          <w:rFonts w:eastAsia="Calibri" w:cs="Times New Roman"/>
          <w:noProof/>
          <w:szCs w:val="24"/>
        </w:rPr>
        <w:t>,000</w:t>
      </w:r>
      <w:r w:rsidRPr="00065811">
        <w:rPr>
          <w:rFonts w:eastAsia="Calibri" w:cs="Times New Roman"/>
          <w:noProof/>
          <w:szCs w:val="24"/>
        </w:rPr>
        <w:t xml:space="preserve"> </w:t>
      </w:r>
      <w:r w:rsidR="0023378C">
        <w:rPr>
          <w:rFonts w:eastAsia="Calibri" w:cs="Times New Roman"/>
          <w:noProof/>
          <w:szCs w:val="24"/>
        </w:rPr>
        <w:t>hectares</w:t>
      </w:r>
      <w:r w:rsidR="0023378C" w:rsidRPr="00445513">
        <w:rPr>
          <w:rFonts w:eastAsia="Calibri" w:cs="Times New Roman"/>
          <w:noProof/>
          <w:szCs w:val="24"/>
        </w:rPr>
        <w:t xml:space="preserve"> </w:t>
      </w:r>
      <w:r w:rsidRPr="00065811">
        <w:rPr>
          <w:rFonts w:eastAsia="Calibri" w:cs="Times New Roman"/>
          <w:noProof/>
          <w:szCs w:val="24"/>
        </w:rPr>
        <w:t xml:space="preserve">of embodied deforestation </w:t>
      </w:r>
      <w:r w:rsidR="00EE2BCE" w:rsidRPr="00065811">
        <w:rPr>
          <w:rFonts w:eastAsia="Calibri" w:cs="Times New Roman"/>
          <w:noProof/>
          <w:szCs w:val="24"/>
        </w:rPr>
        <w:t xml:space="preserve">and 110 MtCO2 </w:t>
      </w:r>
      <w:r w:rsidR="003244DF">
        <w:rPr>
          <w:rFonts w:eastAsia="Calibri" w:cs="Times New Roman"/>
          <w:noProof/>
          <w:szCs w:val="24"/>
        </w:rPr>
        <w:t xml:space="preserve">annual </w:t>
      </w:r>
      <w:r w:rsidR="00EE2BCE" w:rsidRPr="00065811">
        <w:rPr>
          <w:rFonts w:eastAsia="Calibri" w:cs="Times New Roman"/>
          <w:noProof/>
          <w:szCs w:val="24"/>
        </w:rPr>
        <w:t>emissions</w:t>
      </w:r>
      <w:r w:rsidR="0023378C" w:rsidRPr="00445513">
        <w:rPr>
          <w:rFonts w:eastAsia="Calibri" w:cs="Times New Roman"/>
          <w:noProof/>
          <w:szCs w:val="24"/>
        </w:rPr>
        <w:t xml:space="preserve"> </w:t>
      </w:r>
      <w:r w:rsidR="0023378C">
        <w:rPr>
          <w:rFonts w:eastAsia="Calibri" w:cs="Times New Roman"/>
          <w:noProof/>
          <w:szCs w:val="24"/>
        </w:rPr>
        <w:t>by</w:t>
      </w:r>
      <w:r w:rsidR="0023378C" w:rsidRPr="00065811">
        <w:rPr>
          <w:rFonts w:eastAsia="Calibri" w:cs="Times New Roman"/>
          <w:noProof/>
          <w:szCs w:val="24"/>
        </w:rPr>
        <w:t xml:space="preserve"> </w:t>
      </w:r>
      <w:r w:rsidRPr="00065811">
        <w:rPr>
          <w:rFonts w:eastAsia="Calibri" w:cs="Times New Roman"/>
          <w:noProof/>
          <w:szCs w:val="24"/>
        </w:rPr>
        <w:t>2030</w:t>
      </w:r>
      <w:r w:rsidR="0023378C">
        <w:rPr>
          <w:rFonts w:eastAsia="Calibri" w:cs="Times New Roman"/>
          <w:noProof/>
          <w:szCs w:val="24"/>
        </w:rPr>
        <w:t xml:space="preserve"> linked to the commodities in the scope.</w:t>
      </w:r>
      <w:r w:rsidRPr="00065811">
        <w:rPr>
          <w:rFonts w:eastAsia="Calibri" w:cs="Times New Roman"/>
          <w:noProof/>
          <w:szCs w:val="24"/>
        </w:rPr>
        <w:t xml:space="preserve"> </w:t>
      </w:r>
      <w:r w:rsidR="0023378C">
        <w:rPr>
          <w:rFonts w:eastAsia="Calibri" w:cs="Times New Roman"/>
          <w:noProof/>
          <w:szCs w:val="24"/>
        </w:rPr>
        <w:t>T</w:t>
      </w:r>
      <w:r w:rsidR="00EE2BCE" w:rsidRPr="00065811">
        <w:rPr>
          <w:rFonts w:eastAsia="Calibri" w:cs="Times New Roman"/>
          <w:noProof/>
          <w:szCs w:val="24"/>
        </w:rPr>
        <w:t xml:space="preserve">hese figures </w:t>
      </w:r>
      <w:r w:rsidR="0068457E" w:rsidRPr="00065811">
        <w:rPr>
          <w:rFonts w:eastAsia="Calibri" w:cs="Times New Roman"/>
          <w:noProof/>
          <w:szCs w:val="24"/>
        </w:rPr>
        <w:t>will be the basis for the calculation of benefits of policy options in section 6.</w:t>
      </w:r>
    </w:p>
    <w:p w14:paraId="53289581" w14:textId="708A724F" w:rsidR="0080098F" w:rsidRPr="007C1494" w:rsidRDefault="0059789E" w:rsidP="00E44E68">
      <w:pPr>
        <w:jc w:val="both"/>
        <w:rPr>
          <w:rFonts w:eastAsia="Calibri" w:cs="Times New Roman"/>
          <w:noProof/>
          <w:szCs w:val="24"/>
        </w:rPr>
      </w:pPr>
      <w:r w:rsidRPr="007C1494">
        <w:rPr>
          <w:rFonts w:eastAsia="Calibri" w:cs="Times New Roman"/>
          <w:noProof/>
          <w:szCs w:val="24"/>
        </w:rPr>
        <w:t xml:space="preserve">The figures of cumulated embodied deforestation and emissions need to be read with caution. The simplified approach taken in the underlying study likely results in a conservative estimate of the contribution of EU consumption to </w:t>
      </w:r>
      <w:r w:rsidR="001F219F" w:rsidRPr="007C1494">
        <w:rPr>
          <w:rFonts w:eastAsia="Calibri" w:cs="Times New Roman"/>
          <w:noProof/>
          <w:szCs w:val="24"/>
        </w:rPr>
        <w:t xml:space="preserve">global </w:t>
      </w:r>
      <w:r w:rsidRPr="007C1494">
        <w:rPr>
          <w:rFonts w:eastAsia="Calibri" w:cs="Times New Roman"/>
          <w:noProof/>
          <w:szCs w:val="24"/>
        </w:rPr>
        <w:t xml:space="preserve">deforestation. </w:t>
      </w:r>
      <w:r w:rsidR="0080098F" w:rsidRPr="007C1494">
        <w:rPr>
          <w:rFonts w:eastAsia="Calibri" w:cs="Times New Roman"/>
          <w:noProof/>
          <w:szCs w:val="24"/>
        </w:rPr>
        <w:t>Generally figures in the literature and previous studies are not directly comparable due to methodological differences</w:t>
      </w:r>
      <w:r w:rsidR="00116760" w:rsidRPr="007C1494">
        <w:rPr>
          <w:rFonts w:eastAsia="Calibri" w:cs="Times New Roman"/>
          <w:noProof/>
          <w:szCs w:val="24"/>
        </w:rPr>
        <w:t>,</w:t>
      </w:r>
      <w:r w:rsidR="0080098F" w:rsidRPr="007C1494">
        <w:rPr>
          <w:rFonts w:eastAsia="Calibri" w:cs="Times New Roman"/>
          <w:noProof/>
          <w:szCs w:val="24"/>
        </w:rPr>
        <w:t xml:space="preserve"> but are mentioned here in order to </w:t>
      </w:r>
      <w:r w:rsidR="0099060B" w:rsidRPr="00760D6B">
        <w:rPr>
          <w:rFonts w:eastAsia="Calibri" w:cs="Times New Roman"/>
          <w:noProof/>
          <w:szCs w:val="24"/>
        </w:rPr>
        <w:t>underpin</w:t>
      </w:r>
      <w:r w:rsidR="0080098F" w:rsidRPr="007C1494">
        <w:rPr>
          <w:rFonts w:eastAsia="Calibri" w:cs="Times New Roman"/>
          <w:noProof/>
          <w:szCs w:val="24"/>
        </w:rPr>
        <w:t xml:space="preserve"> the call for caution in using those results. </w:t>
      </w:r>
    </w:p>
    <w:p w14:paraId="0C472E5A" w14:textId="188F2873" w:rsidR="00B24232" w:rsidRPr="007C1494" w:rsidRDefault="0059789E" w:rsidP="00E44E68">
      <w:pPr>
        <w:jc w:val="both"/>
        <w:rPr>
          <w:rFonts w:eastAsia="Calibri" w:cs="Times New Roman"/>
          <w:noProof/>
          <w:szCs w:val="24"/>
        </w:rPr>
      </w:pPr>
      <w:r w:rsidRPr="007C1494">
        <w:rPr>
          <w:rFonts w:eastAsia="Calibri" w:cs="Times New Roman"/>
          <w:noProof/>
          <w:szCs w:val="24"/>
        </w:rPr>
        <w:t xml:space="preserve">The 2013 study </w:t>
      </w:r>
      <w:r w:rsidR="00DB6490" w:rsidRPr="007C1494">
        <w:rPr>
          <w:rFonts w:eastAsia="Calibri" w:cs="Times New Roman"/>
          <w:noProof/>
          <w:szCs w:val="24"/>
        </w:rPr>
        <w:t xml:space="preserve">referred to in section 1 </w:t>
      </w:r>
      <w:r w:rsidR="00EA31BA" w:rsidRPr="007C1494">
        <w:rPr>
          <w:noProof/>
          <w:szCs w:val="24"/>
        </w:rPr>
        <w:t xml:space="preserve">estimated that the EU imported </w:t>
      </w:r>
      <w:r w:rsidR="00DB6490" w:rsidRPr="007C1494">
        <w:rPr>
          <w:noProof/>
          <w:szCs w:val="24"/>
        </w:rPr>
        <w:t xml:space="preserve">commodities resulting in embodied deforestation between </w:t>
      </w:r>
      <w:r w:rsidR="00EA31BA" w:rsidRPr="007C1494">
        <w:rPr>
          <w:noProof/>
          <w:szCs w:val="24"/>
        </w:rPr>
        <w:t xml:space="preserve">500 000 </w:t>
      </w:r>
      <w:r w:rsidR="00DB6490" w:rsidRPr="007C1494">
        <w:rPr>
          <w:noProof/>
          <w:szCs w:val="24"/>
        </w:rPr>
        <w:t xml:space="preserve">and 732 000 </w:t>
      </w:r>
      <w:r w:rsidR="00EA31BA" w:rsidRPr="007C1494">
        <w:rPr>
          <w:noProof/>
          <w:szCs w:val="24"/>
        </w:rPr>
        <w:t>Ha per year on average</w:t>
      </w:r>
      <w:r w:rsidR="00DB6490" w:rsidRPr="007C1494">
        <w:rPr>
          <w:noProof/>
          <w:szCs w:val="24"/>
        </w:rPr>
        <w:t xml:space="preserve"> during the period 1990-2008. These figures are much higher than the ones resulting from the above baseline. </w:t>
      </w:r>
      <w:r w:rsidR="0080098F" w:rsidRPr="007C1494">
        <w:rPr>
          <w:noProof/>
          <w:szCs w:val="24"/>
        </w:rPr>
        <w:t xml:space="preserve">Apart from </w:t>
      </w:r>
      <w:r w:rsidR="001F219F" w:rsidRPr="007C1494">
        <w:rPr>
          <w:noProof/>
          <w:szCs w:val="24"/>
        </w:rPr>
        <w:t xml:space="preserve">differences in </w:t>
      </w:r>
      <w:r w:rsidR="0080098F" w:rsidRPr="007C1494">
        <w:rPr>
          <w:noProof/>
          <w:szCs w:val="24"/>
        </w:rPr>
        <w:t xml:space="preserve">methodological </w:t>
      </w:r>
      <w:r w:rsidR="001F219F" w:rsidRPr="007C1494">
        <w:rPr>
          <w:noProof/>
          <w:szCs w:val="24"/>
        </w:rPr>
        <w:t xml:space="preserve">approach </w:t>
      </w:r>
      <w:r w:rsidR="0080098F" w:rsidRPr="007C1494">
        <w:rPr>
          <w:noProof/>
          <w:szCs w:val="24"/>
        </w:rPr>
        <w:t xml:space="preserve">and </w:t>
      </w:r>
      <w:r w:rsidR="001F219F" w:rsidRPr="007C1494">
        <w:rPr>
          <w:noProof/>
          <w:szCs w:val="24"/>
        </w:rPr>
        <w:t xml:space="preserve">time </w:t>
      </w:r>
      <w:r w:rsidR="0080098F" w:rsidRPr="007C1494">
        <w:rPr>
          <w:noProof/>
          <w:szCs w:val="24"/>
        </w:rPr>
        <w:t xml:space="preserve">periods, the </w:t>
      </w:r>
      <w:r w:rsidR="00DB6490" w:rsidRPr="007C1494">
        <w:rPr>
          <w:noProof/>
          <w:szCs w:val="24"/>
        </w:rPr>
        <w:t xml:space="preserve">scope of the commodities assessed </w:t>
      </w:r>
      <w:r w:rsidR="0080098F" w:rsidRPr="007C1494">
        <w:rPr>
          <w:noProof/>
          <w:szCs w:val="24"/>
        </w:rPr>
        <w:t>in the 2013 wa</w:t>
      </w:r>
      <w:r w:rsidR="00DB6490" w:rsidRPr="007C1494">
        <w:rPr>
          <w:noProof/>
          <w:szCs w:val="24"/>
        </w:rPr>
        <w:t xml:space="preserve">s broader, and </w:t>
      </w:r>
      <w:r w:rsidR="0080098F" w:rsidRPr="007C1494">
        <w:rPr>
          <w:noProof/>
          <w:szCs w:val="24"/>
        </w:rPr>
        <w:t xml:space="preserve">at the time of the analysis </w:t>
      </w:r>
      <w:r w:rsidR="00DB6490" w:rsidRPr="007C1494">
        <w:rPr>
          <w:noProof/>
          <w:szCs w:val="24"/>
        </w:rPr>
        <w:t xml:space="preserve">the </w:t>
      </w:r>
      <w:r w:rsidR="0080098F" w:rsidRPr="007C1494">
        <w:rPr>
          <w:noProof/>
          <w:szCs w:val="24"/>
        </w:rPr>
        <w:t>EU included UK</w:t>
      </w:r>
      <w:r w:rsidR="000A1967" w:rsidRPr="007C1494">
        <w:rPr>
          <w:noProof/>
          <w:szCs w:val="24"/>
        </w:rPr>
        <w:t>,</w:t>
      </w:r>
      <w:r w:rsidR="0080098F" w:rsidRPr="007C1494">
        <w:rPr>
          <w:noProof/>
          <w:szCs w:val="24"/>
        </w:rPr>
        <w:t xml:space="preserve"> </w:t>
      </w:r>
      <w:r w:rsidR="000A1967" w:rsidRPr="007C1494">
        <w:rPr>
          <w:noProof/>
          <w:szCs w:val="24"/>
        </w:rPr>
        <w:t>but</w:t>
      </w:r>
      <w:r w:rsidR="0080098F" w:rsidRPr="007C1494">
        <w:rPr>
          <w:noProof/>
          <w:szCs w:val="24"/>
        </w:rPr>
        <w:t xml:space="preserve"> not </w:t>
      </w:r>
      <w:r w:rsidR="00DB6490" w:rsidRPr="007C1494">
        <w:rPr>
          <w:noProof/>
          <w:szCs w:val="24"/>
        </w:rPr>
        <w:t>Croatia.</w:t>
      </w:r>
      <w:r w:rsidR="0080098F" w:rsidRPr="007C1494">
        <w:rPr>
          <w:noProof/>
          <w:szCs w:val="24"/>
        </w:rPr>
        <w:t xml:space="preserve"> T</w:t>
      </w:r>
      <w:r w:rsidR="001F219F" w:rsidRPr="007C1494">
        <w:rPr>
          <w:noProof/>
          <w:szCs w:val="24"/>
        </w:rPr>
        <w:t xml:space="preserve">hese factors can all contribute to the </w:t>
      </w:r>
      <w:r w:rsidR="0080098F" w:rsidRPr="007C1494">
        <w:rPr>
          <w:noProof/>
          <w:szCs w:val="24"/>
        </w:rPr>
        <w:t>differen</w:t>
      </w:r>
      <w:r w:rsidR="001F219F" w:rsidRPr="007C1494">
        <w:rPr>
          <w:noProof/>
          <w:szCs w:val="24"/>
        </w:rPr>
        <w:t>t results</w:t>
      </w:r>
      <w:r w:rsidR="0080098F" w:rsidRPr="007C1494">
        <w:rPr>
          <w:noProof/>
          <w:szCs w:val="24"/>
        </w:rPr>
        <w:t xml:space="preserve">. </w:t>
      </w:r>
      <w:r w:rsidR="00DB6490" w:rsidRPr="007C1494">
        <w:rPr>
          <w:noProof/>
          <w:szCs w:val="24"/>
        </w:rPr>
        <w:t xml:space="preserve"> </w:t>
      </w:r>
    </w:p>
    <w:p w14:paraId="7E7D3A82" w14:textId="3B5F2478" w:rsidR="00F77B51" w:rsidRPr="007C1494" w:rsidRDefault="0080098F" w:rsidP="0080098F">
      <w:pPr>
        <w:jc w:val="both"/>
        <w:rPr>
          <w:rFonts w:eastAsia="Calibri" w:cs="Times New Roman"/>
          <w:noProof/>
          <w:szCs w:val="24"/>
        </w:rPr>
      </w:pPr>
      <w:r w:rsidRPr="007C1494">
        <w:rPr>
          <w:rFonts w:eastAsia="Calibri" w:cs="Times New Roman"/>
          <w:noProof/>
          <w:szCs w:val="24"/>
        </w:rPr>
        <w:t xml:space="preserve">Other more recent estimates are </w:t>
      </w:r>
      <w:r w:rsidR="00F81C8C" w:rsidRPr="007C1494">
        <w:rPr>
          <w:rFonts w:eastAsia="Calibri" w:cs="Times New Roman"/>
          <w:noProof/>
          <w:szCs w:val="24"/>
        </w:rPr>
        <w:t xml:space="preserve">closer </w:t>
      </w:r>
      <w:r w:rsidRPr="007C1494">
        <w:rPr>
          <w:rFonts w:eastAsia="Calibri" w:cs="Times New Roman"/>
          <w:noProof/>
          <w:szCs w:val="24"/>
        </w:rPr>
        <w:t>to the baseline presented in the table above, such as a study for the European Parliament</w:t>
      </w:r>
      <w:r w:rsidRPr="007C1494">
        <w:rPr>
          <w:rFonts w:eastAsia="Calibri" w:cs="Times New Roman"/>
          <w:noProof/>
          <w:szCs w:val="24"/>
          <w:vertAlign w:val="superscript"/>
        </w:rPr>
        <w:footnoteReference w:id="112"/>
      </w:r>
      <w:r w:rsidRPr="007C1494">
        <w:rPr>
          <w:rFonts w:eastAsia="Calibri" w:cs="Times New Roman"/>
          <w:noProof/>
          <w:szCs w:val="24"/>
        </w:rPr>
        <w:t>, which estimated the impact of consumption (of maize, soy, rapeseed, other oil crops, sugar crops, and beef) to amount to at least 258 219 ha and 73.8 MtCO</w:t>
      </w:r>
      <w:r w:rsidRPr="007C1494">
        <w:rPr>
          <w:rFonts w:eastAsia="Calibri" w:cs="Times New Roman"/>
          <w:noProof/>
          <w:szCs w:val="24"/>
          <w:vertAlign w:val="subscript"/>
        </w:rPr>
        <w:t>2</w:t>
      </w:r>
      <w:r w:rsidRPr="007C1494">
        <w:rPr>
          <w:rFonts w:eastAsia="Calibri" w:cs="Times New Roman"/>
          <w:noProof/>
          <w:szCs w:val="24"/>
        </w:rPr>
        <w:t xml:space="preserve">. Pendrill (2020) </w:t>
      </w:r>
      <w:r w:rsidR="004E23AE" w:rsidRPr="007C1494">
        <w:rPr>
          <w:rFonts w:eastAsia="Calibri" w:cs="Times New Roman"/>
          <w:noProof/>
          <w:szCs w:val="24"/>
        </w:rPr>
        <w:t xml:space="preserve">model </w:t>
      </w:r>
      <w:r w:rsidR="00606093" w:rsidRPr="007C1494">
        <w:rPr>
          <w:rFonts w:eastAsia="Calibri" w:cs="Times New Roman"/>
          <w:noProof/>
          <w:szCs w:val="24"/>
        </w:rPr>
        <w:t xml:space="preserve">estimates EU total embodied deforestation to be </w:t>
      </w:r>
      <w:r w:rsidR="001F219F" w:rsidRPr="007C1494">
        <w:rPr>
          <w:rFonts w:eastAsia="Calibri" w:cs="Times New Roman"/>
          <w:noProof/>
          <w:szCs w:val="24"/>
        </w:rPr>
        <w:t>220 000 Ha per year</w:t>
      </w:r>
      <w:r w:rsidR="00606093" w:rsidRPr="007C1494">
        <w:rPr>
          <w:rFonts w:eastAsia="Calibri" w:cs="Times New Roman"/>
          <w:noProof/>
          <w:szCs w:val="24"/>
        </w:rPr>
        <w:t xml:space="preserve"> (when considering the complete set of commodities included in the model</w:t>
      </w:r>
      <w:r w:rsidR="001046C1">
        <w:rPr>
          <w:rFonts w:eastAsia="Calibri" w:cs="Times New Roman"/>
          <w:noProof/>
          <w:szCs w:val="24"/>
        </w:rPr>
        <w:t xml:space="preserve">, which is broader than the commodities covered </w:t>
      </w:r>
      <w:r w:rsidR="005E6293">
        <w:rPr>
          <w:rFonts w:eastAsia="Calibri" w:cs="Times New Roman"/>
          <w:noProof/>
          <w:szCs w:val="24"/>
        </w:rPr>
        <w:t>in the scope</w:t>
      </w:r>
      <w:r w:rsidR="00606093" w:rsidRPr="007C1494">
        <w:rPr>
          <w:rFonts w:eastAsia="Calibri" w:cs="Times New Roman"/>
          <w:noProof/>
          <w:szCs w:val="24"/>
        </w:rPr>
        <w:t>).</w:t>
      </w:r>
    </w:p>
    <w:p w14:paraId="134D7734" w14:textId="699DC4F7" w:rsidR="0080098F" w:rsidRPr="007C1494" w:rsidRDefault="00F77B51" w:rsidP="0080098F">
      <w:pPr>
        <w:jc w:val="both"/>
        <w:rPr>
          <w:rFonts w:eastAsia="Calibri" w:cs="Times New Roman"/>
          <w:noProof/>
          <w:szCs w:val="24"/>
        </w:rPr>
      </w:pPr>
      <w:r w:rsidRPr="007C1494">
        <w:rPr>
          <w:rFonts w:eastAsia="Calibri" w:cs="Times New Roman"/>
          <w:noProof/>
          <w:szCs w:val="24"/>
        </w:rPr>
        <w:t>The figure below presents the contribution to the baseline of each commodity considered</w:t>
      </w:r>
      <w:r w:rsidR="005E6293">
        <w:rPr>
          <w:rFonts w:eastAsia="Calibri" w:cs="Times New Roman"/>
          <w:noProof/>
          <w:szCs w:val="24"/>
        </w:rPr>
        <w:t xml:space="preserve"> — taking into account only the commodities of the scope</w:t>
      </w:r>
      <w:r w:rsidRPr="007C1494">
        <w:rPr>
          <w:rFonts w:eastAsia="Calibri" w:cs="Times New Roman"/>
          <w:noProof/>
          <w:szCs w:val="24"/>
        </w:rPr>
        <w:t>.</w:t>
      </w:r>
      <w:r w:rsidR="0080098F" w:rsidRPr="007C1494">
        <w:rPr>
          <w:rFonts w:eastAsia="Calibri" w:cs="Times New Roman"/>
          <w:noProof/>
          <w:szCs w:val="24"/>
        </w:rPr>
        <w:t xml:space="preserve"> </w:t>
      </w:r>
    </w:p>
    <w:p w14:paraId="15FC8F82" w14:textId="0D7855AA" w:rsidR="0059789E" w:rsidRPr="007C0083" w:rsidRDefault="0059789E">
      <w:pPr>
        <w:pStyle w:val="WDFigureTitle"/>
        <w:jc w:val="both"/>
        <w:rPr>
          <w:rFonts w:ascii="Times New Roman" w:eastAsia="Calibri" w:hAnsi="Times New Roman" w:cs="Times New Roman"/>
          <w:noProof/>
          <w:color w:val="auto"/>
          <w:sz w:val="18"/>
        </w:rPr>
      </w:pPr>
      <w:r w:rsidRPr="007C0083">
        <w:rPr>
          <w:rFonts w:ascii="Times New Roman" w:eastAsia="Calibri" w:hAnsi="Times New Roman" w:cs="Times New Roman"/>
          <w:noProof/>
          <w:color w:val="auto"/>
          <w:sz w:val="18"/>
        </w:rPr>
        <w:t>Figure</w:t>
      </w:r>
      <w:bookmarkStart w:id="109" w:name="_Toc68121179"/>
      <w:r w:rsidR="00277348" w:rsidRPr="007C0083">
        <w:rPr>
          <w:rFonts w:ascii="Times New Roman" w:eastAsia="Calibri" w:hAnsi="Times New Roman" w:cs="Times New Roman"/>
          <w:noProof/>
          <w:color w:val="auto"/>
          <w:sz w:val="18"/>
        </w:rPr>
        <w:t xml:space="preserve"> </w:t>
      </w:r>
      <w:r w:rsidR="00277348" w:rsidRPr="007C0083" w:rsidDel="00B07AE5">
        <w:rPr>
          <w:rFonts w:ascii="Times New Roman" w:eastAsia="Calibri" w:hAnsi="Times New Roman" w:cs="Times New Roman"/>
          <w:noProof/>
          <w:color w:val="auto"/>
          <w:sz w:val="18"/>
        </w:rPr>
        <w:t>6</w:t>
      </w:r>
      <w:r w:rsidR="00277348" w:rsidRPr="007C0083">
        <w:rPr>
          <w:rFonts w:ascii="Times New Roman" w:eastAsia="Calibri" w:hAnsi="Times New Roman" w:cs="Times New Roman"/>
          <w:noProof/>
          <w:color w:val="auto"/>
          <w:sz w:val="18"/>
        </w:rPr>
        <w:tab/>
      </w:r>
      <w:r w:rsidRPr="007C0083">
        <w:rPr>
          <w:rFonts w:ascii="Times New Roman" w:eastAsia="Calibri" w:hAnsi="Times New Roman" w:cs="Times New Roman"/>
          <w:noProof/>
          <w:color w:val="auto"/>
          <w:sz w:val="18"/>
        </w:rPr>
        <w:t xml:space="preserve"> Baseline prediction of total embodied deforestation of EU27 imports of key commodities, 2009-2030</w:t>
      </w:r>
      <w:bookmarkEnd w:id="109"/>
      <w:r w:rsidRPr="007C0083">
        <w:rPr>
          <w:rFonts w:ascii="Times New Roman" w:eastAsia="Calibri" w:hAnsi="Times New Roman" w:cs="Times New Roman"/>
          <w:noProof/>
          <w:color w:val="auto"/>
          <w:sz w:val="18"/>
        </w:rPr>
        <w:t>, in hectares</w:t>
      </w:r>
    </w:p>
    <w:p w14:paraId="151A24A1" w14:textId="77777777" w:rsidR="0059789E" w:rsidRPr="007C1494" w:rsidRDefault="0059789E" w:rsidP="0059789E">
      <w:pPr>
        <w:pStyle w:val="WDBody"/>
        <w:jc w:val="both"/>
        <w:rPr>
          <w:rFonts w:eastAsia="Calibri"/>
          <w:noProof/>
        </w:rPr>
      </w:pPr>
      <w:r w:rsidRPr="007C1494">
        <w:rPr>
          <w:rFonts w:eastAsia="Calibri"/>
          <w:noProof/>
        </w:rPr>
        <w:t xml:space="preserve"> </w:t>
      </w:r>
      <w:r w:rsidRPr="007C1494">
        <w:rPr>
          <w:noProof/>
          <w:lang w:eastAsia="en-GB"/>
        </w:rPr>
        <w:drawing>
          <wp:inline distT="0" distB="0" distL="0" distR="0" wp14:anchorId="26FBE305" wp14:editId="507BEF47">
            <wp:extent cx="3965417" cy="2353823"/>
            <wp:effectExtent l="0" t="0" r="0" b="8890"/>
            <wp:docPr id="1229210763" name="Picture 1229210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81523" cy="2363383"/>
                    </a:xfrm>
                    <a:prstGeom prst="rect">
                      <a:avLst/>
                    </a:prstGeom>
                    <a:noFill/>
                    <a:ln>
                      <a:noFill/>
                    </a:ln>
                  </pic:spPr>
                </pic:pic>
              </a:graphicData>
            </a:graphic>
          </wp:inline>
        </w:drawing>
      </w:r>
    </w:p>
    <w:p w14:paraId="3DAD1C4A" w14:textId="79DB319D" w:rsidR="00E44E68" w:rsidRPr="007C1494" w:rsidRDefault="00335526" w:rsidP="00335526">
      <w:pPr>
        <w:pStyle w:val="Heading2"/>
        <w:rPr>
          <w:noProof/>
          <w:szCs w:val="24"/>
        </w:rPr>
      </w:pPr>
      <w:bookmarkStart w:id="110" w:name="_Toc75542186"/>
      <w:bookmarkStart w:id="111" w:name="_Toc75543219"/>
      <w:bookmarkStart w:id="112" w:name="_Toc84591907"/>
      <w:r w:rsidRPr="00335526">
        <w:t>5.3</w:t>
      </w:r>
      <w:r w:rsidRPr="00335526">
        <w:tab/>
      </w:r>
      <w:r w:rsidR="00E44E68" w:rsidRPr="00B02CBC">
        <w:rPr>
          <w:noProof/>
        </w:rPr>
        <w:t>Description of the policy options</w:t>
      </w:r>
      <w:bookmarkEnd w:id="110"/>
      <w:bookmarkEnd w:id="111"/>
      <w:bookmarkEnd w:id="112"/>
    </w:p>
    <w:p w14:paraId="030F7964" w14:textId="7B9DB5BF" w:rsidR="005635C4" w:rsidRDefault="005635C4" w:rsidP="005635C4">
      <w:pPr>
        <w:jc w:val="both"/>
        <w:rPr>
          <w:rFonts w:eastAsia="Calibri" w:cs="Times New Roman"/>
          <w:noProof/>
          <w:color w:val="000000"/>
          <w:szCs w:val="24"/>
        </w:rPr>
      </w:pPr>
      <w:r>
        <w:rPr>
          <w:rFonts w:eastAsia="Calibri" w:cs="Times New Roman"/>
          <w:noProof/>
          <w:color w:val="000000"/>
          <w:szCs w:val="24"/>
        </w:rPr>
        <w:t>A list of five</w:t>
      </w:r>
      <w:r w:rsidR="00A22005">
        <w:rPr>
          <w:rFonts w:eastAsia="Calibri" w:cs="Times New Roman"/>
          <w:noProof/>
          <w:color w:val="000000"/>
          <w:szCs w:val="24"/>
        </w:rPr>
        <w:t xml:space="preserve"> possible</w:t>
      </w:r>
      <w:r>
        <w:rPr>
          <w:rFonts w:eastAsia="Calibri" w:cs="Times New Roman"/>
          <w:noProof/>
          <w:color w:val="000000"/>
          <w:szCs w:val="24"/>
        </w:rPr>
        <w:t xml:space="preserve"> policy options was elaborated to achieve </w:t>
      </w:r>
      <w:r w:rsidR="00E44E68" w:rsidRPr="007C1494">
        <w:rPr>
          <w:rFonts w:eastAsia="Calibri" w:cs="Times New Roman"/>
          <w:noProof/>
          <w:color w:val="000000"/>
          <w:szCs w:val="24"/>
        </w:rPr>
        <w:t>the objectives of the initiative</w:t>
      </w:r>
      <w:r>
        <w:rPr>
          <w:rFonts w:eastAsia="Calibri" w:cs="Times New Roman"/>
          <w:noProof/>
          <w:color w:val="000000"/>
          <w:szCs w:val="24"/>
        </w:rPr>
        <w:t xml:space="preserve">. </w:t>
      </w:r>
      <w:r w:rsidR="00D325D9">
        <w:rPr>
          <w:rFonts w:eastAsia="Calibri" w:cs="Times New Roman"/>
          <w:noProof/>
          <w:color w:val="000000"/>
          <w:szCs w:val="24"/>
        </w:rPr>
        <w:t xml:space="preserve">The sources and the criteria through which the policy measures </w:t>
      </w:r>
      <w:r>
        <w:rPr>
          <w:rFonts w:eastAsia="Calibri" w:cs="Times New Roman"/>
          <w:noProof/>
          <w:color w:val="000000"/>
          <w:szCs w:val="24"/>
        </w:rPr>
        <w:t>were selected are elaborated in section 5.4.</w:t>
      </w:r>
    </w:p>
    <w:p w14:paraId="6C524DEE" w14:textId="561703FA" w:rsidR="00D676FA" w:rsidRDefault="00D676FA" w:rsidP="00D676FA">
      <w:pPr>
        <w:jc w:val="both"/>
        <w:rPr>
          <w:rFonts w:eastAsia="Calibri" w:cs="Times New Roman"/>
          <w:noProof/>
          <w:color w:val="000000"/>
          <w:szCs w:val="24"/>
        </w:rPr>
      </w:pPr>
      <w:r>
        <w:rPr>
          <w:rFonts w:eastAsia="Calibri" w:cs="Times New Roman"/>
          <w:noProof/>
          <w:color w:val="000000"/>
          <w:szCs w:val="24"/>
        </w:rPr>
        <w:t>The five policy options have then been assessed following the Better Regulation Guidelines, measuring t</w:t>
      </w:r>
      <w:r w:rsidRPr="00D676FA">
        <w:rPr>
          <w:rFonts w:eastAsia="Calibri" w:cs="Times New Roman"/>
          <w:noProof/>
          <w:color w:val="000000"/>
          <w:szCs w:val="24"/>
        </w:rPr>
        <w:t>he extent to which they would achieve the objectives (effectiveness);</w:t>
      </w:r>
      <w:r>
        <w:rPr>
          <w:rFonts w:eastAsia="Calibri" w:cs="Times New Roman"/>
          <w:noProof/>
          <w:color w:val="000000"/>
          <w:szCs w:val="24"/>
        </w:rPr>
        <w:t xml:space="preserve"> t</w:t>
      </w:r>
      <w:r w:rsidRPr="00D676FA">
        <w:rPr>
          <w:rFonts w:eastAsia="Calibri" w:cs="Times New Roman"/>
          <w:noProof/>
          <w:color w:val="000000"/>
          <w:szCs w:val="24"/>
        </w:rPr>
        <w:t>heir respective key economic, social and environmental impacts and benefit/cost ratio, cost-effectiveness (efficiency); and</w:t>
      </w:r>
      <w:r>
        <w:rPr>
          <w:rFonts w:eastAsia="Calibri" w:cs="Times New Roman"/>
          <w:noProof/>
          <w:color w:val="000000"/>
          <w:szCs w:val="24"/>
        </w:rPr>
        <w:t xml:space="preserve"> t</w:t>
      </w:r>
      <w:r w:rsidRPr="00D676FA">
        <w:rPr>
          <w:rFonts w:eastAsia="Calibri" w:cs="Times New Roman"/>
          <w:noProof/>
          <w:color w:val="000000"/>
          <w:szCs w:val="24"/>
        </w:rPr>
        <w:t>he coherence of each option with other EU policy objectives</w:t>
      </w:r>
      <w:r>
        <w:rPr>
          <w:rFonts w:eastAsia="Calibri" w:cs="Times New Roman"/>
          <w:noProof/>
          <w:color w:val="000000"/>
          <w:szCs w:val="24"/>
        </w:rPr>
        <w:t xml:space="preserve"> </w:t>
      </w:r>
      <w:r w:rsidRPr="00D676FA">
        <w:rPr>
          <w:rFonts w:eastAsia="Calibri" w:cs="Times New Roman"/>
          <w:noProof/>
          <w:color w:val="000000"/>
          <w:szCs w:val="24"/>
        </w:rPr>
        <w:t>(coherence)</w:t>
      </w:r>
      <w:r>
        <w:rPr>
          <w:rFonts w:eastAsia="Calibri" w:cs="Times New Roman"/>
          <w:noProof/>
          <w:color w:val="000000"/>
          <w:szCs w:val="24"/>
        </w:rPr>
        <w:t xml:space="preserve">. The </w:t>
      </w:r>
      <w:r w:rsidR="007B7274">
        <w:rPr>
          <w:rFonts w:eastAsia="Calibri" w:cs="Times New Roman"/>
          <w:noProof/>
          <w:color w:val="000000"/>
          <w:szCs w:val="24"/>
        </w:rPr>
        <w:t>impacts</w:t>
      </w:r>
      <w:r>
        <w:rPr>
          <w:rFonts w:eastAsia="Calibri" w:cs="Times New Roman"/>
          <w:noProof/>
          <w:color w:val="000000"/>
          <w:szCs w:val="24"/>
        </w:rPr>
        <w:t xml:space="preserve"> </w:t>
      </w:r>
      <w:r w:rsidR="007B7274">
        <w:rPr>
          <w:rFonts w:eastAsia="Calibri" w:cs="Times New Roman"/>
          <w:noProof/>
          <w:color w:val="000000"/>
          <w:szCs w:val="24"/>
        </w:rPr>
        <w:t>have</w:t>
      </w:r>
      <w:r>
        <w:rPr>
          <w:rFonts w:eastAsia="Calibri" w:cs="Times New Roman"/>
          <w:noProof/>
          <w:color w:val="000000"/>
          <w:szCs w:val="24"/>
        </w:rPr>
        <w:t xml:space="preserve"> been measured against </w:t>
      </w:r>
      <w:r w:rsidR="00DB5BE8">
        <w:rPr>
          <w:rFonts w:eastAsia="Calibri" w:cs="Times New Roman"/>
          <w:noProof/>
          <w:color w:val="000000"/>
          <w:szCs w:val="24"/>
        </w:rPr>
        <w:t xml:space="preserve">the </w:t>
      </w:r>
      <w:r>
        <w:rPr>
          <w:rFonts w:eastAsia="Calibri" w:cs="Times New Roman"/>
          <w:noProof/>
          <w:color w:val="000000"/>
          <w:szCs w:val="24"/>
        </w:rPr>
        <w:t xml:space="preserve">baseline </w:t>
      </w:r>
      <w:r w:rsidR="00DB5BE8">
        <w:rPr>
          <w:rFonts w:eastAsia="Calibri" w:cs="Times New Roman"/>
          <w:noProof/>
          <w:color w:val="000000"/>
          <w:szCs w:val="24"/>
        </w:rPr>
        <w:t xml:space="preserve">previously described </w:t>
      </w:r>
      <w:r w:rsidR="007B7274">
        <w:rPr>
          <w:rFonts w:eastAsia="Calibri" w:cs="Times New Roman"/>
          <w:noProof/>
          <w:color w:val="000000"/>
          <w:szCs w:val="24"/>
        </w:rPr>
        <w:t xml:space="preserve">in order to be able </w:t>
      </w:r>
      <w:r>
        <w:rPr>
          <w:rFonts w:eastAsia="Calibri" w:cs="Times New Roman"/>
          <w:noProof/>
          <w:color w:val="000000"/>
          <w:szCs w:val="24"/>
        </w:rPr>
        <w:t xml:space="preserve">to quantify </w:t>
      </w:r>
      <w:r w:rsidR="007B7274">
        <w:rPr>
          <w:rFonts w:eastAsia="Calibri" w:cs="Times New Roman"/>
          <w:noProof/>
          <w:color w:val="000000"/>
          <w:szCs w:val="24"/>
        </w:rPr>
        <w:t xml:space="preserve">them </w:t>
      </w:r>
      <w:r>
        <w:rPr>
          <w:rFonts w:eastAsia="Calibri" w:cs="Times New Roman"/>
          <w:noProof/>
          <w:color w:val="000000"/>
          <w:szCs w:val="24"/>
        </w:rPr>
        <w:t>more precisely. A summary of this assessment is shown on Table 8.</w:t>
      </w:r>
    </w:p>
    <w:p w14:paraId="262A9084" w14:textId="77777777" w:rsidR="005635C4" w:rsidRPr="007C1494" w:rsidRDefault="005635C4" w:rsidP="005635C4">
      <w:pPr>
        <w:jc w:val="both"/>
        <w:rPr>
          <w:rFonts w:eastAsia="Calibri" w:cs="Times New Roman"/>
          <w:noProof/>
          <w:szCs w:val="24"/>
        </w:rPr>
      </w:pPr>
      <w:r w:rsidRPr="007C1494">
        <w:rPr>
          <w:rFonts w:eastAsia="Calibri" w:cs="Times New Roman"/>
          <w:noProof/>
          <w:szCs w:val="24"/>
        </w:rPr>
        <w:t>All options described below include the following elements:</w:t>
      </w:r>
    </w:p>
    <w:p w14:paraId="49F6CF36" w14:textId="034960FD" w:rsidR="005635C4" w:rsidRPr="007C1494" w:rsidRDefault="005635C4" w:rsidP="005635C4">
      <w:pPr>
        <w:pStyle w:val="ListParagraph"/>
        <w:numPr>
          <w:ilvl w:val="0"/>
          <w:numId w:val="38"/>
        </w:numPr>
        <w:jc w:val="both"/>
        <w:rPr>
          <w:rFonts w:eastAsia="Calibri" w:cs="Times New Roman"/>
          <w:noProof/>
          <w:szCs w:val="24"/>
        </w:rPr>
      </w:pPr>
      <w:r w:rsidRPr="007C1494">
        <w:rPr>
          <w:rFonts w:eastAsia="Calibri" w:cs="Times New Roman"/>
          <w:noProof/>
          <w:szCs w:val="24"/>
        </w:rPr>
        <w:t xml:space="preserve">A prohibition to place products on the EU market that have not been produced and/or harvested in accordance with ‘deforestation-free’ </w:t>
      </w:r>
      <w:r w:rsidR="0034593A">
        <w:rPr>
          <w:rFonts w:eastAsia="Calibri" w:cs="Times New Roman"/>
          <w:noProof/>
          <w:szCs w:val="24"/>
        </w:rPr>
        <w:t>definition</w:t>
      </w:r>
      <w:r w:rsidRPr="007C1494">
        <w:rPr>
          <w:rFonts w:eastAsia="Calibri" w:cs="Times New Roman"/>
          <w:noProof/>
          <w:szCs w:val="24"/>
        </w:rPr>
        <w:t xml:space="preserve"> (as described above) and with the laws of the countries of origin.</w:t>
      </w:r>
    </w:p>
    <w:p w14:paraId="1C78361B" w14:textId="5C75B49A" w:rsidR="005635C4" w:rsidRPr="007C1494" w:rsidRDefault="005635C4" w:rsidP="005635C4">
      <w:pPr>
        <w:numPr>
          <w:ilvl w:val="0"/>
          <w:numId w:val="38"/>
        </w:numPr>
        <w:contextualSpacing/>
        <w:jc w:val="both"/>
        <w:rPr>
          <w:rFonts w:eastAsia="Calibri" w:cs="Times New Roman"/>
          <w:noProof/>
          <w:szCs w:val="24"/>
        </w:rPr>
      </w:pPr>
      <w:r w:rsidRPr="007C1494">
        <w:rPr>
          <w:rFonts w:eastAsia="Calibri" w:cs="Times New Roman"/>
          <w:noProof/>
          <w:szCs w:val="24"/>
        </w:rPr>
        <w:t>The same product scope covering a number commodities and products</w:t>
      </w:r>
      <w:r w:rsidR="00CE2AA5">
        <w:rPr>
          <w:rFonts w:eastAsia="Calibri" w:cs="Times New Roman"/>
          <w:noProof/>
          <w:szCs w:val="24"/>
        </w:rPr>
        <w:t xml:space="preserve"> derived from them</w:t>
      </w:r>
      <w:r w:rsidRPr="007C1494">
        <w:rPr>
          <w:rFonts w:eastAsia="Calibri" w:cs="Times New Roman"/>
          <w:noProof/>
          <w:szCs w:val="24"/>
        </w:rPr>
        <w:t xml:space="preserve">, subject to review and revision (as described </w:t>
      </w:r>
      <w:r>
        <w:rPr>
          <w:rFonts w:eastAsia="Calibri" w:cs="Times New Roman"/>
          <w:noProof/>
          <w:szCs w:val="24"/>
        </w:rPr>
        <w:t xml:space="preserve">in section 5.1 </w:t>
      </w:r>
      <w:r w:rsidRPr="007C1494">
        <w:rPr>
          <w:rFonts w:eastAsia="Calibri" w:cs="Times New Roman"/>
          <w:noProof/>
          <w:szCs w:val="24"/>
        </w:rPr>
        <w:t>above).</w:t>
      </w:r>
    </w:p>
    <w:p w14:paraId="5D27BFF8" w14:textId="591C5E1A" w:rsidR="00E44E68" w:rsidRPr="00A1118F" w:rsidRDefault="001631F6">
      <w:pPr>
        <w:contextualSpacing/>
        <w:jc w:val="both"/>
        <w:rPr>
          <w:rFonts w:eastAsia="Calibri" w:cs="Times New Roman"/>
          <w:noProof/>
          <w:szCs w:val="24"/>
        </w:rPr>
      </w:pPr>
      <w:r w:rsidRPr="001631F6">
        <w:rPr>
          <w:rFonts w:eastAsia="Calibri" w:cs="Times New Roman"/>
          <w:noProof/>
          <w:szCs w:val="24"/>
          <w:lang w:eastAsia="en-GB"/>
        </w:rPr>
        <mc:AlternateContent>
          <mc:Choice Requires="wps">
            <w:drawing>
              <wp:anchor distT="45720" distB="45720" distL="114300" distR="114300" simplePos="0" relativeHeight="251557376" behindDoc="0" locked="0" layoutInCell="1" allowOverlap="1" wp14:anchorId="7A058646" wp14:editId="3D975880">
                <wp:simplePos x="0" y="0"/>
                <wp:positionH relativeFrom="column">
                  <wp:posOffset>-1270</wp:posOffset>
                </wp:positionH>
                <wp:positionV relativeFrom="paragraph">
                  <wp:posOffset>382270</wp:posOffset>
                </wp:positionV>
                <wp:extent cx="5451475" cy="1404620"/>
                <wp:effectExtent l="0" t="0" r="15875" b="1714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1404620"/>
                        </a:xfrm>
                        <a:prstGeom prst="rect">
                          <a:avLst/>
                        </a:prstGeom>
                        <a:solidFill>
                          <a:srgbClr val="FFFFFF"/>
                        </a:solidFill>
                        <a:ln w="9525">
                          <a:solidFill>
                            <a:srgbClr val="000000"/>
                          </a:solidFill>
                          <a:miter lim="800000"/>
                          <a:headEnd/>
                          <a:tailEnd/>
                        </a:ln>
                      </wps:spPr>
                      <wps:txbx>
                        <w:txbxContent>
                          <w:p w14:paraId="1C9865AB" w14:textId="4FBE9B45" w:rsidR="00EA7989" w:rsidRPr="00E60356" w:rsidRDefault="00EA7989">
                            <w:pPr>
                              <w:rPr>
                                <w:b/>
                                <w:i/>
                              </w:rPr>
                            </w:pPr>
                            <w:r w:rsidRPr="00E60356">
                              <w:rPr>
                                <w:b/>
                                <w:i/>
                              </w:rPr>
                              <w:t>Box 2: Key findings from the Fitness Check on the EUTR</w:t>
                            </w:r>
                          </w:p>
                          <w:p w14:paraId="796A321C" w14:textId="1CF648FE" w:rsidR="00EA7989" w:rsidRDefault="00EA7989" w:rsidP="00141096">
                            <w:pPr>
                              <w:spacing w:after="120" w:line="240" w:lineRule="auto"/>
                              <w:jc w:val="both"/>
                              <w:rPr>
                                <w:lang w:val="en-US"/>
                              </w:rPr>
                            </w:pPr>
                            <w:r>
                              <w:rPr>
                                <w:rFonts w:cs="Times New Roman"/>
                                <w:szCs w:val="24"/>
                                <w:lang w:val="en-US"/>
                              </w:rPr>
                              <w:t xml:space="preserve">The Fitness check has shown that the EUTR resulted in an improved situation </w:t>
                            </w:r>
                            <w:r w:rsidRPr="00E60356">
                              <w:rPr>
                                <w:lang w:val="en-US"/>
                              </w:rPr>
                              <w:t xml:space="preserve">in third countries, including countries that have chosen not to engage in VPA processes. Main EU trade partners (Brazil, Russia, and Ukraine, for example) have taken steps to strengthen their forest governance systems and reduce illegal logging to meet the requirements of the EUTR. </w:t>
                            </w:r>
                          </w:p>
                          <w:p w14:paraId="158B2E35" w14:textId="7923A413" w:rsidR="00EA7989" w:rsidRDefault="00EA7989" w:rsidP="00C93262">
                            <w:pPr>
                              <w:spacing w:after="120" w:line="240" w:lineRule="auto"/>
                              <w:jc w:val="both"/>
                              <w:rPr>
                                <w:lang w:val="en-US"/>
                              </w:rPr>
                            </w:pPr>
                            <w:r>
                              <w:rPr>
                                <w:lang w:val="en-US"/>
                              </w:rPr>
                              <w:t xml:space="preserve">The EUTR – even if hampered by a number of design elements and enforcement weaknesses – has shown some positive results in terms of both effectiveness and efficiency. Its worldwide coverage has provided the EU with </w:t>
                            </w:r>
                            <w:r w:rsidRPr="00E60356">
                              <w:rPr>
                                <w:lang w:val="en-US"/>
                              </w:rPr>
                              <w:t xml:space="preserve">a basis to work closely together with other consumer countries to address the problem of leakage. This resulted in some main consumer countries adopting similar legislative approaches. Australia, Japan, and Korea are some of the main trade partners who followed the EUTR albeit with variations, while the US extended existing legislation to cover similar situations as the ones covered by the EUTR (Lacey Act). In the broader deforestation context, this is particularly important to bear in mind, as it shows that the EU, even with </w:t>
                            </w:r>
                            <w:r>
                              <w:rPr>
                                <w:lang w:val="en-US"/>
                              </w:rPr>
                              <w:t xml:space="preserve">a </w:t>
                            </w:r>
                            <w:r w:rsidRPr="00E60356">
                              <w:rPr>
                                <w:lang w:val="en-US"/>
                              </w:rPr>
                              <w:t>decreasing market share, can have an impact and lead the way globally.</w:t>
                            </w:r>
                            <w:r w:rsidRPr="00141096">
                              <w:rPr>
                                <w:lang w:val="en-US"/>
                              </w:rPr>
                              <w:t xml:space="preserve"> </w:t>
                            </w:r>
                          </w:p>
                          <w:p w14:paraId="45118EF7" w14:textId="5F5074E4" w:rsidR="00EA7989" w:rsidRPr="00C93262" w:rsidRDefault="00EA7989" w:rsidP="00E60356">
                            <w:pPr>
                              <w:spacing w:after="120" w:line="240" w:lineRule="auto"/>
                              <w:jc w:val="both"/>
                              <w:rPr>
                                <w:rFonts w:eastAsia="Calibri" w:cs="Times New Roman"/>
                                <w:szCs w:val="24"/>
                                <w:lang w:val="en-US"/>
                              </w:rPr>
                            </w:pPr>
                            <w:r w:rsidRPr="00E60356">
                              <w:rPr>
                                <w:lang w:val="en-US"/>
                              </w:rPr>
                              <w:t xml:space="preserve">The Due Diligence system set up under the EUTR must however be improved to be efficient, </w:t>
                            </w:r>
                            <w:r w:rsidRPr="00E60356">
                              <w:rPr>
                                <w:i/>
                                <w:iCs/>
                                <w:lang w:val="en-US"/>
                              </w:rPr>
                              <w:t xml:space="preserve">inter alia </w:t>
                            </w:r>
                            <w:r w:rsidRPr="00E60356">
                              <w:rPr>
                                <w:lang w:val="en-US"/>
                              </w:rPr>
                              <w:t xml:space="preserve">through </w:t>
                            </w:r>
                            <w:r>
                              <w:rPr>
                                <w:lang w:val="en-US"/>
                              </w:rPr>
                              <w:t xml:space="preserve">the introduction of multiple new features which are taken into consideration in this impact assessment and are described below (section 5.3.1.)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058646" id="_x0000_s1027" type="#_x0000_t202" style="position:absolute;left:0;text-align:left;margin-left:-.1pt;margin-top:30.1pt;width:429.25pt;height:110.6pt;z-index:251557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">
                <v:textbox style="mso-fit-shape-to-text:t">
                  <w:txbxContent>
                    <w:p w14:paraId="1C9865AB" w14:textId="4FBE9B45" w:rsidR="00EA7989" w:rsidRPr="00E60356" w:rsidRDefault="00EA7989">
                      <w:pPr>
                        <w:rPr>
                          <w:b/>
                          <w:i/>
                        </w:rPr>
                      </w:pPr>
                      <w:r w:rsidRPr="00E60356">
                        <w:rPr>
                          <w:b/>
                          <w:i/>
                        </w:rPr>
                        <w:t>Box 2: Key findings from the Fitness Check on the EUTR</w:t>
                      </w:r>
                    </w:p>
                    <w:p w14:paraId="796A321C" w14:textId="1CF648FE" w:rsidR="00EA7989" w:rsidRDefault="00EA7989" w:rsidP="00141096">
                      <w:pPr>
                        <w:spacing w:after="120" w:line="240" w:lineRule="auto"/>
                        <w:jc w:val="both"/>
                        <w:rPr>
                          <w:lang w:val="en-US"/>
                        </w:rPr>
                      </w:pPr>
                      <w:r>
                        <w:rPr>
                          <w:rFonts w:cs="Times New Roman"/>
                          <w:szCs w:val="24"/>
                          <w:lang w:val="en-US"/>
                        </w:rPr>
                        <w:t xml:space="preserve">The Fitness check has shown that the EUTR resulted in an improved situation </w:t>
                      </w:r>
                      <w:r w:rsidRPr="00E60356">
                        <w:rPr>
                          <w:lang w:val="en-US"/>
                        </w:rPr>
                        <w:t xml:space="preserve">in third countries, including countries that have chosen not to engage in VPA processes. Main EU trade partners (Brazil, Russia, and Ukraine, for example) have taken steps to strengthen their forest governance systems and reduce illegal logging to meet the requirements of the EUTR. </w:t>
                      </w:r>
                    </w:p>
                    <w:p w14:paraId="158B2E35" w14:textId="7923A413" w:rsidR="00EA7989" w:rsidRDefault="00EA7989" w:rsidP="00C93262">
                      <w:pPr>
                        <w:spacing w:after="120" w:line="240" w:lineRule="auto"/>
                        <w:jc w:val="both"/>
                        <w:rPr>
                          <w:lang w:val="en-US"/>
                        </w:rPr>
                      </w:pPr>
                      <w:r>
                        <w:rPr>
                          <w:lang w:val="en-US"/>
                        </w:rPr>
                        <w:t xml:space="preserve">The EUTR – even if hampered by a number of design elements and enforcement weaknesses – has shown some positive results in terms of both effectiveness and efficiency. Its worldwide coverage has provided the EU with </w:t>
                      </w:r>
                      <w:r w:rsidRPr="00E60356">
                        <w:rPr>
                          <w:lang w:val="en-US"/>
                        </w:rPr>
                        <w:t xml:space="preserve">a basis to work closely together with other consumer countries to address the problem of leakage. This resulted in some main consumer countries adopting similar legislative approaches. Australia, Japan, and Korea are some of the main trade partners who followed the EUTR albeit with variations, while the US extended existing legislation to cover similar situations as the ones covered by the EUTR (Lacey Act). In the broader deforestation context, this is particularly important to bear in mind, as it shows that the EU, even with </w:t>
                      </w:r>
                      <w:r>
                        <w:rPr>
                          <w:lang w:val="en-US"/>
                        </w:rPr>
                        <w:t xml:space="preserve">a </w:t>
                      </w:r>
                      <w:r w:rsidRPr="00E60356">
                        <w:rPr>
                          <w:lang w:val="en-US"/>
                        </w:rPr>
                        <w:t>decreasing market share, can have an impact and lead the way globally.</w:t>
                      </w:r>
                      <w:r w:rsidRPr="00141096">
                        <w:rPr>
                          <w:lang w:val="en-US"/>
                        </w:rPr>
                        <w:t xml:space="preserve"> </w:t>
                      </w:r>
                    </w:p>
                    <w:p w14:paraId="45118EF7" w14:textId="5F5074E4" w:rsidR="00EA7989" w:rsidRPr="00C93262" w:rsidRDefault="00EA7989" w:rsidP="00E60356">
                      <w:pPr>
                        <w:spacing w:after="120" w:line="240" w:lineRule="auto"/>
                        <w:jc w:val="both"/>
                        <w:rPr>
                          <w:rFonts w:eastAsia="Calibri" w:cs="Times New Roman"/>
                          <w:szCs w:val="24"/>
                          <w:lang w:val="en-US"/>
                        </w:rPr>
                      </w:pPr>
                      <w:r w:rsidRPr="00E60356">
                        <w:rPr>
                          <w:lang w:val="en-US"/>
                        </w:rPr>
                        <w:t xml:space="preserve">The Due Diligence system set up under the EUTR must however be improved to be efficient, </w:t>
                      </w:r>
                      <w:r w:rsidRPr="00E60356">
                        <w:rPr>
                          <w:i/>
                          <w:iCs/>
                          <w:lang w:val="en-US"/>
                        </w:rPr>
                        <w:t xml:space="preserve">inter alia </w:t>
                      </w:r>
                      <w:r w:rsidRPr="00E60356">
                        <w:rPr>
                          <w:lang w:val="en-US"/>
                        </w:rPr>
                        <w:t xml:space="preserve">through </w:t>
                      </w:r>
                      <w:r>
                        <w:rPr>
                          <w:lang w:val="en-US"/>
                        </w:rPr>
                        <w:t xml:space="preserve">the introduction of multiple new features which are taken into consideration in this impact assessment and are described below (section 5.3.1.) </w:t>
                      </w:r>
                    </w:p>
                  </w:txbxContent>
                </v:textbox>
                <w10:wrap type="square"/>
              </v:shape>
            </w:pict>
          </mc:Fallback>
        </mc:AlternateContent>
      </w:r>
    </w:p>
    <w:p w14:paraId="71C1C48A" w14:textId="2C2BC7C5" w:rsidR="004F4E95" w:rsidRPr="007C1494" w:rsidRDefault="004F4E95" w:rsidP="00E44E68">
      <w:pPr>
        <w:jc w:val="both"/>
        <w:rPr>
          <w:rFonts w:eastAsia="Calibri" w:cs="Times New Roman"/>
          <w:noProof/>
          <w:szCs w:val="24"/>
        </w:rPr>
      </w:pPr>
    </w:p>
    <w:p w14:paraId="37306EC6" w14:textId="120235EB" w:rsidR="00E44E68" w:rsidRPr="007C1494" w:rsidRDefault="00335526" w:rsidP="00335526">
      <w:pPr>
        <w:pStyle w:val="Heading3"/>
        <w:rPr>
          <w:noProof/>
          <w:szCs w:val="24"/>
        </w:rPr>
      </w:pPr>
      <w:bookmarkStart w:id="113" w:name="_Toc67074992"/>
      <w:bookmarkStart w:id="114" w:name="_Toc75542187"/>
      <w:bookmarkStart w:id="115" w:name="_Toc75543220"/>
      <w:bookmarkStart w:id="116" w:name="_Toc84591908"/>
      <w:r w:rsidRPr="00335526">
        <w:t>5.3.1</w:t>
      </w:r>
      <w:r w:rsidRPr="00335526">
        <w:tab/>
      </w:r>
      <w:r w:rsidR="00E44E68" w:rsidRPr="00B02CBC">
        <w:rPr>
          <w:noProof/>
        </w:rPr>
        <w:t>Policy option 1: Mandatory due diligence system</w:t>
      </w:r>
      <w:bookmarkEnd w:id="113"/>
      <w:r w:rsidR="00E44E68" w:rsidRPr="00B02CBC">
        <w:rPr>
          <w:noProof/>
        </w:rPr>
        <w:t>, relying on a deforestation free definition</w:t>
      </w:r>
      <w:bookmarkEnd w:id="114"/>
      <w:bookmarkEnd w:id="115"/>
      <w:bookmarkEnd w:id="116"/>
    </w:p>
    <w:p w14:paraId="4E10FE92" w14:textId="4F902DED" w:rsidR="00465D8D" w:rsidRDefault="0054012F" w:rsidP="00E44E68">
      <w:pPr>
        <w:jc w:val="both"/>
        <w:rPr>
          <w:rFonts w:eastAsia="Calibri" w:cs="Times New Roman"/>
          <w:noProof/>
          <w:szCs w:val="24"/>
        </w:rPr>
      </w:pPr>
      <w:r w:rsidRPr="007C1494">
        <w:rPr>
          <w:rFonts w:eastAsia="Calibri" w:cs="Times New Roman"/>
          <w:noProof/>
          <w:szCs w:val="24"/>
        </w:rPr>
        <w:t xml:space="preserve">This option </w:t>
      </w:r>
      <w:r w:rsidR="00465D8D">
        <w:rPr>
          <w:rFonts w:eastAsia="Calibri" w:cs="Times New Roman"/>
          <w:noProof/>
          <w:szCs w:val="24"/>
        </w:rPr>
        <w:t xml:space="preserve">is based on the due diligence system </w:t>
      </w:r>
      <w:r w:rsidR="00696120">
        <w:rPr>
          <w:rFonts w:eastAsia="Calibri" w:cs="Times New Roman"/>
          <w:noProof/>
          <w:szCs w:val="24"/>
        </w:rPr>
        <w:t xml:space="preserve">(taking into account the experiences with the implementation </w:t>
      </w:r>
      <w:r w:rsidR="00465D8D">
        <w:rPr>
          <w:rFonts w:eastAsia="Calibri" w:cs="Times New Roman"/>
          <w:noProof/>
          <w:szCs w:val="24"/>
        </w:rPr>
        <w:t>of the EU</w:t>
      </w:r>
      <w:r w:rsidR="0082319C">
        <w:rPr>
          <w:rFonts w:eastAsia="Calibri" w:cs="Times New Roman"/>
          <w:noProof/>
          <w:szCs w:val="24"/>
        </w:rPr>
        <w:t>TR</w:t>
      </w:r>
      <w:r w:rsidR="00465D8D">
        <w:rPr>
          <w:rFonts w:eastAsia="Calibri" w:cs="Times New Roman"/>
          <w:noProof/>
          <w:szCs w:val="24"/>
        </w:rPr>
        <w:t xml:space="preserve">, </w:t>
      </w:r>
      <w:r w:rsidR="00696120">
        <w:rPr>
          <w:rFonts w:eastAsia="Calibri" w:cs="Times New Roman"/>
          <w:noProof/>
          <w:szCs w:val="24"/>
        </w:rPr>
        <w:t>as explained in Box 2 above)</w:t>
      </w:r>
      <w:r w:rsidR="00465D8D">
        <w:rPr>
          <w:rFonts w:eastAsia="Calibri" w:cs="Times New Roman"/>
          <w:noProof/>
          <w:szCs w:val="24"/>
        </w:rPr>
        <w:t xml:space="preserve"> with new features aiming to increase its effective</w:t>
      </w:r>
      <w:r w:rsidR="00352B6D">
        <w:rPr>
          <w:rFonts w:eastAsia="Calibri" w:cs="Times New Roman"/>
          <w:noProof/>
          <w:szCs w:val="24"/>
        </w:rPr>
        <w:t>nes</w:t>
      </w:r>
      <w:r w:rsidR="00465D8D">
        <w:rPr>
          <w:rFonts w:eastAsia="Calibri" w:cs="Times New Roman"/>
          <w:noProof/>
          <w:szCs w:val="24"/>
        </w:rPr>
        <w:t xml:space="preserve">s (see below), </w:t>
      </w:r>
      <w:r w:rsidR="001B1C73">
        <w:rPr>
          <w:rFonts w:eastAsia="Calibri" w:cs="Times New Roman"/>
          <w:noProof/>
          <w:szCs w:val="24"/>
        </w:rPr>
        <w:t xml:space="preserve">including </w:t>
      </w:r>
      <w:r w:rsidR="00465D8D">
        <w:rPr>
          <w:rFonts w:eastAsia="Calibri" w:cs="Times New Roman"/>
          <w:noProof/>
          <w:szCs w:val="24"/>
        </w:rPr>
        <w:t xml:space="preserve">universally applicable deforestation </w:t>
      </w:r>
      <w:r w:rsidR="0034593A">
        <w:rPr>
          <w:rFonts w:eastAsia="Calibri" w:cs="Times New Roman"/>
          <w:noProof/>
          <w:szCs w:val="24"/>
        </w:rPr>
        <w:t>definition</w:t>
      </w:r>
      <w:r w:rsidR="00465D8D">
        <w:rPr>
          <w:rFonts w:eastAsia="Calibri" w:cs="Times New Roman"/>
          <w:noProof/>
          <w:szCs w:val="24"/>
        </w:rPr>
        <w:t xml:space="preserve"> (see section 4.4.)</w:t>
      </w:r>
      <w:r w:rsidR="0082319C">
        <w:rPr>
          <w:rFonts w:eastAsia="Calibri" w:cs="Times New Roman"/>
          <w:noProof/>
          <w:szCs w:val="24"/>
        </w:rPr>
        <w:t>.</w:t>
      </w:r>
      <w:r w:rsidR="00465D8D">
        <w:rPr>
          <w:rFonts w:eastAsia="Calibri" w:cs="Times New Roman"/>
          <w:noProof/>
          <w:szCs w:val="24"/>
        </w:rPr>
        <w:t xml:space="preserve"> This due diligence system is the base of </w:t>
      </w:r>
      <w:r w:rsidR="00A4510F">
        <w:rPr>
          <w:rFonts w:eastAsia="Calibri" w:cs="Times New Roman"/>
          <w:noProof/>
          <w:szCs w:val="24"/>
        </w:rPr>
        <w:t xml:space="preserve">policy </w:t>
      </w:r>
      <w:r w:rsidR="00465D8D">
        <w:rPr>
          <w:rFonts w:eastAsia="Calibri" w:cs="Times New Roman"/>
          <w:noProof/>
          <w:szCs w:val="24"/>
        </w:rPr>
        <w:t>options 1 to 4.</w:t>
      </w:r>
    </w:p>
    <w:p w14:paraId="2674A2B9" w14:textId="436C0FA6" w:rsidR="00E039C1" w:rsidRDefault="00465D8D" w:rsidP="00E44E68">
      <w:pPr>
        <w:jc w:val="both"/>
        <w:rPr>
          <w:rFonts w:eastAsia="Calibri" w:cs="Times New Roman"/>
          <w:noProof/>
          <w:szCs w:val="24"/>
        </w:rPr>
      </w:pPr>
      <w:r>
        <w:rPr>
          <w:rFonts w:eastAsia="Calibri" w:cs="Times New Roman"/>
          <w:noProof/>
          <w:szCs w:val="24"/>
        </w:rPr>
        <w:t xml:space="preserve">The system essentially consists of </w:t>
      </w:r>
      <w:r w:rsidR="00DF06F5" w:rsidRPr="007C1494">
        <w:rPr>
          <w:rFonts w:eastAsia="Calibri" w:cs="Times New Roman"/>
          <w:noProof/>
          <w:szCs w:val="24"/>
        </w:rPr>
        <w:t xml:space="preserve">a </w:t>
      </w:r>
      <w:r w:rsidR="00F63C7C" w:rsidRPr="007C1494">
        <w:rPr>
          <w:rFonts w:eastAsia="Calibri" w:cs="Times New Roman"/>
          <w:noProof/>
          <w:szCs w:val="24"/>
        </w:rPr>
        <w:t xml:space="preserve">requirement for operators that place </w:t>
      </w:r>
      <w:r>
        <w:rPr>
          <w:rFonts w:eastAsia="Calibri" w:cs="Times New Roman"/>
          <w:noProof/>
          <w:szCs w:val="24"/>
        </w:rPr>
        <w:t xml:space="preserve">relevant </w:t>
      </w:r>
      <w:r w:rsidR="00F63C7C" w:rsidRPr="007C1494">
        <w:rPr>
          <w:rFonts w:eastAsia="Calibri" w:cs="Times New Roman"/>
          <w:noProof/>
          <w:szCs w:val="24"/>
        </w:rPr>
        <w:t>commodit</w:t>
      </w:r>
      <w:r>
        <w:rPr>
          <w:rFonts w:eastAsia="Calibri" w:cs="Times New Roman"/>
          <w:noProof/>
          <w:szCs w:val="24"/>
        </w:rPr>
        <w:t xml:space="preserve">ies </w:t>
      </w:r>
      <w:r w:rsidR="00F63C7C" w:rsidRPr="007C1494">
        <w:rPr>
          <w:rFonts w:eastAsia="Calibri" w:cs="Times New Roman"/>
          <w:noProof/>
          <w:szCs w:val="24"/>
        </w:rPr>
        <w:t>or product</w:t>
      </w:r>
      <w:r>
        <w:rPr>
          <w:rFonts w:eastAsia="Calibri" w:cs="Times New Roman"/>
          <w:noProof/>
          <w:szCs w:val="24"/>
        </w:rPr>
        <w:t>s</w:t>
      </w:r>
      <w:r w:rsidR="00F63C7C" w:rsidRPr="007C1494" w:rsidDel="00465D8D">
        <w:rPr>
          <w:rFonts w:eastAsia="Calibri" w:cs="Times New Roman"/>
          <w:noProof/>
          <w:szCs w:val="24"/>
        </w:rPr>
        <w:t xml:space="preserve"> </w:t>
      </w:r>
      <w:r w:rsidR="00F63C7C" w:rsidRPr="007C1494">
        <w:rPr>
          <w:rFonts w:eastAsia="Calibri" w:cs="Times New Roman"/>
          <w:noProof/>
          <w:szCs w:val="24"/>
        </w:rPr>
        <w:t xml:space="preserve">for the first time on the EU market to exercise </w:t>
      </w:r>
      <w:r w:rsidR="0054012F" w:rsidRPr="007C1494">
        <w:rPr>
          <w:rFonts w:eastAsia="Calibri" w:cs="Times New Roman"/>
          <w:noProof/>
          <w:szCs w:val="24"/>
        </w:rPr>
        <w:t xml:space="preserve">due diligence </w:t>
      </w:r>
      <w:r>
        <w:rPr>
          <w:rFonts w:eastAsia="Calibri" w:cs="Times New Roman"/>
          <w:noProof/>
          <w:szCs w:val="24"/>
        </w:rPr>
        <w:t xml:space="preserve">in order </w:t>
      </w:r>
      <w:r w:rsidR="0054012F" w:rsidRPr="007C1494">
        <w:rPr>
          <w:rFonts w:eastAsia="Calibri" w:cs="Times New Roman"/>
          <w:noProof/>
          <w:szCs w:val="24"/>
        </w:rPr>
        <w:t xml:space="preserve">to </w:t>
      </w:r>
      <w:r w:rsidR="00E74E69" w:rsidRPr="007C1494">
        <w:rPr>
          <w:rFonts w:eastAsia="Calibri" w:cs="Times New Roman"/>
          <w:noProof/>
          <w:szCs w:val="24"/>
        </w:rPr>
        <w:t>ascertain</w:t>
      </w:r>
      <w:r w:rsidR="0054012F" w:rsidRPr="007C1494">
        <w:rPr>
          <w:rFonts w:eastAsia="Calibri" w:cs="Times New Roman"/>
          <w:noProof/>
          <w:szCs w:val="24"/>
        </w:rPr>
        <w:t xml:space="preserve"> that</w:t>
      </w:r>
      <w:r w:rsidR="00A4510F">
        <w:rPr>
          <w:rFonts w:eastAsia="Calibri" w:cs="Times New Roman"/>
          <w:noProof/>
          <w:szCs w:val="24"/>
        </w:rPr>
        <w:t>:</w:t>
      </w:r>
      <w:r w:rsidR="0054012F" w:rsidRPr="007C1494">
        <w:rPr>
          <w:rFonts w:eastAsia="Calibri" w:cs="Times New Roman"/>
          <w:noProof/>
          <w:szCs w:val="24"/>
        </w:rPr>
        <w:t xml:space="preserve"> </w:t>
      </w:r>
      <w:r w:rsidR="00A4510F">
        <w:rPr>
          <w:rFonts w:eastAsia="Calibri" w:cs="Times New Roman"/>
          <w:noProof/>
          <w:szCs w:val="24"/>
        </w:rPr>
        <w:t xml:space="preserve">a) </w:t>
      </w:r>
      <w:r w:rsidR="00E944AF">
        <w:rPr>
          <w:rFonts w:eastAsia="Calibri" w:cs="Times New Roman"/>
          <w:noProof/>
          <w:szCs w:val="24"/>
        </w:rPr>
        <w:t>T</w:t>
      </w:r>
      <w:r w:rsidR="00F63C7C" w:rsidRPr="007C1494">
        <w:rPr>
          <w:rFonts w:eastAsia="Calibri" w:cs="Times New Roman"/>
          <w:noProof/>
          <w:szCs w:val="24"/>
        </w:rPr>
        <w:t xml:space="preserve">hose commodities and </w:t>
      </w:r>
      <w:r w:rsidR="0054012F" w:rsidRPr="007C1494">
        <w:rPr>
          <w:rFonts w:eastAsia="Calibri" w:cs="Times New Roman"/>
          <w:noProof/>
          <w:szCs w:val="24"/>
        </w:rPr>
        <w:t xml:space="preserve">products </w:t>
      </w:r>
      <w:r>
        <w:rPr>
          <w:rFonts w:eastAsia="Calibri" w:cs="Times New Roman"/>
          <w:noProof/>
          <w:szCs w:val="24"/>
        </w:rPr>
        <w:t xml:space="preserve">have not been produced on land deforested or degraded after the cut-off date set in the regulation (see section </w:t>
      </w:r>
      <w:r w:rsidR="00862E24">
        <w:rPr>
          <w:rFonts w:eastAsia="Calibri" w:cs="Times New Roman"/>
          <w:noProof/>
          <w:szCs w:val="24"/>
        </w:rPr>
        <w:t xml:space="preserve">4.4 and </w:t>
      </w:r>
      <w:r>
        <w:rPr>
          <w:rFonts w:eastAsia="Calibri" w:cs="Times New Roman"/>
          <w:noProof/>
          <w:szCs w:val="24"/>
        </w:rPr>
        <w:t>4.5)</w:t>
      </w:r>
      <w:r w:rsidR="00A4510F">
        <w:rPr>
          <w:rFonts w:eastAsia="Calibri" w:cs="Times New Roman"/>
          <w:noProof/>
          <w:szCs w:val="24"/>
        </w:rPr>
        <w:t>; b) they have been produced in accordance with the laws of the country of production</w:t>
      </w:r>
      <w:r w:rsidR="0054012F" w:rsidRPr="007C1494" w:rsidDel="00465D8D">
        <w:rPr>
          <w:rFonts w:eastAsia="Calibri" w:cs="Times New Roman"/>
          <w:noProof/>
          <w:szCs w:val="24"/>
        </w:rPr>
        <w:t>.</w:t>
      </w:r>
      <w:r w:rsidR="0054012F" w:rsidRPr="007C1494">
        <w:rPr>
          <w:rFonts w:eastAsia="Calibri" w:cs="Times New Roman"/>
          <w:noProof/>
          <w:szCs w:val="24"/>
        </w:rPr>
        <w:t xml:space="preserve"> </w:t>
      </w:r>
    </w:p>
    <w:p w14:paraId="26102830" w14:textId="6D99F07C" w:rsidR="00465D8D" w:rsidRDefault="00465D8D" w:rsidP="00E44E68">
      <w:pPr>
        <w:jc w:val="both"/>
        <w:rPr>
          <w:rFonts w:eastAsia="Calibri" w:cs="Times New Roman"/>
          <w:noProof/>
          <w:szCs w:val="24"/>
        </w:rPr>
      </w:pPr>
      <w:r>
        <w:rPr>
          <w:rFonts w:eastAsia="Calibri" w:cs="Times New Roman"/>
          <w:noProof/>
          <w:szCs w:val="24"/>
        </w:rPr>
        <w:t xml:space="preserve">If </w:t>
      </w:r>
      <w:r w:rsidR="00A4510F">
        <w:rPr>
          <w:rFonts w:eastAsia="Calibri" w:cs="Times New Roman"/>
          <w:noProof/>
          <w:szCs w:val="24"/>
        </w:rPr>
        <w:t>any one of the two requirements is not met — or if the operator cannot attain certainty or a negligible level of risk that the requirements are me</w:t>
      </w:r>
      <w:r w:rsidR="00E944AF">
        <w:rPr>
          <w:rFonts w:eastAsia="Calibri" w:cs="Times New Roman"/>
          <w:noProof/>
          <w:szCs w:val="24"/>
        </w:rPr>
        <w:t>t</w:t>
      </w:r>
      <w:r w:rsidR="00A4510F">
        <w:rPr>
          <w:rFonts w:eastAsia="Calibri" w:cs="Times New Roman"/>
          <w:noProof/>
          <w:szCs w:val="24"/>
        </w:rPr>
        <w:t xml:space="preserve"> —, then the operator </w:t>
      </w:r>
      <w:r w:rsidR="00CB0303" w:rsidRPr="00CB0303">
        <w:rPr>
          <w:rFonts w:eastAsia="Calibri" w:cs="Times New Roman"/>
          <w:noProof/>
          <w:szCs w:val="24"/>
        </w:rPr>
        <w:t xml:space="preserve">shall not place </w:t>
      </w:r>
      <w:r w:rsidR="00A4510F">
        <w:rPr>
          <w:rFonts w:eastAsia="Calibri" w:cs="Times New Roman"/>
          <w:noProof/>
          <w:szCs w:val="24"/>
        </w:rPr>
        <w:t xml:space="preserve">those products on the EU market. The system, therefore, </w:t>
      </w:r>
      <w:r w:rsidR="00696120">
        <w:rPr>
          <w:rFonts w:eastAsia="Calibri" w:cs="Times New Roman"/>
          <w:noProof/>
          <w:szCs w:val="24"/>
        </w:rPr>
        <w:t>includes</w:t>
      </w:r>
      <w:r w:rsidR="00A4510F">
        <w:rPr>
          <w:rFonts w:eastAsia="Calibri" w:cs="Times New Roman"/>
          <w:noProof/>
          <w:szCs w:val="24"/>
        </w:rPr>
        <w:t xml:space="preserve"> a prohibition to place </w:t>
      </w:r>
      <w:r w:rsidR="00696120">
        <w:rPr>
          <w:rFonts w:eastAsia="Calibri" w:cs="Times New Roman"/>
          <w:noProof/>
          <w:szCs w:val="24"/>
        </w:rPr>
        <w:t>non-</w:t>
      </w:r>
      <w:r w:rsidR="00A4510F">
        <w:rPr>
          <w:rFonts w:eastAsia="Calibri" w:cs="Times New Roman"/>
          <w:noProof/>
          <w:szCs w:val="24"/>
        </w:rPr>
        <w:t>compliant products on the EU market.</w:t>
      </w:r>
    </w:p>
    <w:p w14:paraId="055FC603" w14:textId="7878D287" w:rsidR="00E944AF" w:rsidRPr="007C1494" w:rsidRDefault="00E944AF" w:rsidP="00E944AF">
      <w:pPr>
        <w:jc w:val="both"/>
        <w:rPr>
          <w:rFonts w:eastAsia="Calibri" w:cs="Times New Roman"/>
          <w:noProof/>
          <w:szCs w:val="24"/>
        </w:rPr>
      </w:pPr>
      <w:r>
        <w:rPr>
          <w:rFonts w:eastAsia="Calibri" w:cs="Times New Roman"/>
          <w:noProof/>
          <w:szCs w:val="24"/>
        </w:rPr>
        <w:t>O</w:t>
      </w:r>
      <w:r w:rsidRPr="007C1494">
        <w:rPr>
          <w:rFonts w:eastAsia="Calibri" w:cs="Times New Roman"/>
          <w:noProof/>
          <w:szCs w:val="24"/>
        </w:rPr>
        <w:t xml:space="preserve">perators would have to develop and apply a </w:t>
      </w:r>
      <w:r w:rsidR="00E039C1">
        <w:rPr>
          <w:rFonts w:eastAsia="Calibri" w:cs="Times New Roman"/>
          <w:noProof/>
          <w:szCs w:val="24"/>
        </w:rPr>
        <w:t>d</w:t>
      </w:r>
      <w:r w:rsidRPr="007C1494">
        <w:rPr>
          <w:rFonts w:eastAsia="Calibri" w:cs="Times New Roman"/>
          <w:noProof/>
          <w:szCs w:val="24"/>
        </w:rPr>
        <w:t xml:space="preserve">ue </w:t>
      </w:r>
      <w:r w:rsidR="00E039C1">
        <w:rPr>
          <w:rFonts w:eastAsia="Calibri" w:cs="Times New Roman"/>
          <w:noProof/>
          <w:szCs w:val="24"/>
        </w:rPr>
        <w:t>d</w:t>
      </w:r>
      <w:r w:rsidRPr="007C1494">
        <w:rPr>
          <w:rFonts w:eastAsia="Calibri" w:cs="Times New Roman"/>
          <w:noProof/>
          <w:szCs w:val="24"/>
        </w:rPr>
        <w:t xml:space="preserve">iligence </w:t>
      </w:r>
      <w:r w:rsidR="00E039C1">
        <w:rPr>
          <w:rFonts w:eastAsia="Calibri" w:cs="Times New Roman"/>
          <w:noProof/>
          <w:szCs w:val="24"/>
        </w:rPr>
        <w:t>s</w:t>
      </w:r>
      <w:r w:rsidRPr="007C1494">
        <w:rPr>
          <w:rFonts w:eastAsia="Calibri" w:cs="Times New Roman"/>
          <w:noProof/>
          <w:szCs w:val="24"/>
        </w:rPr>
        <w:t>ystem</w:t>
      </w:r>
      <w:r w:rsidR="00E039C1">
        <w:rPr>
          <w:rFonts w:eastAsia="Calibri" w:cs="Times New Roman"/>
          <w:noProof/>
          <w:szCs w:val="24"/>
        </w:rPr>
        <w:t xml:space="preserve"> to </w:t>
      </w:r>
      <w:r w:rsidR="007F3647">
        <w:rPr>
          <w:rFonts w:eastAsia="Calibri" w:cs="Times New Roman"/>
          <w:noProof/>
          <w:szCs w:val="24"/>
        </w:rPr>
        <w:t>p</w:t>
      </w:r>
      <w:r w:rsidR="004635B1">
        <w:rPr>
          <w:rFonts w:eastAsia="Calibri" w:cs="Times New Roman"/>
          <w:noProof/>
          <w:szCs w:val="24"/>
        </w:rPr>
        <w:t>e</w:t>
      </w:r>
      <w:r w:rsidR="007F3647">
        <w:rPr>
          <w:rFonts w:eastAsia="Calibri" w:cs="Times New Roman"/>
          <w:noProof/>
          <w:szCs w:val="24"/>
        </w:rPr>
        <w:t>r</w:t>
      </w:r>
      <w:r w:rsidR="004635B1">
        <w:rPr>
          <w:rFonts w:eastAsia="Calibri" w:cs="Times New Roman"/>
          <w:noProof/>
          <w:szCs w:val="24"/>
        </w:rPr>
        <w:t>f</w:t>
      </w:r>
      <w:r w:rsidR="007F3647">
        <w:rPr>
          <w:rFonts w:eastAsia="Calibri" w:cs="Times New Roman"/>
          <w:noProof/>
          <w:szCs w:val="24"/>
        </w:rPr>
        <w:t>o</w:t>
      </w:r>
      <w:r w:rsidR="004635B1">
        <w:rPr>
          <w:rFonts w:eastAsia="Calibri" w:cs="Times New Roman"/>
          <w:noProof/>
          <w:szCs w:val="24"/>
        </w:rPr>
        <w:t>r</w:t>
      </w:r>
      <w:r w:rsidR="007F3647">
        <w:rPr>
          <w:rFonts w:eastAsia="Calibri" w:cs="Times New Roman"/>
          <w:noProof/>
          <w:szCs w:val="24"/>
        </w:rPr>
        <w:t>m</w:t>
      </w:r>
      <w:r w:rsidR="004635B1">
        <w:rPr>
          <w:rFonts w:eastAsia="Calibri" w:cs="Times New Roman"/>
          <w:noProof/>
          <w:szCs w:val="24"/>
        </w:rPr>
        <w:t xml:space="preserve"> their duties</w:t>
      </w:r>
      <w:r w:rsidRPr="007C1494">
        <w:rPr>
          <w:rFonts w:eastAsia="Calibri" w:cs="Times New Roman"/>
          <w:noProof/>
          <w:szCs w:val="24"/>
        </w:rPr>
        <w:t>.</w:t>
      </w:r>
      <w:r>
        <w:rPr>
          <w:rFonts w:eastAsia="Calibri" w:cs="Times New Roman"/>
          <w:noProof/>
          <w:szCs w:val="24"/>
        </w:rPr>
        <w:t xml:space="preserve"> </w:t>
      </w:r>
      <w:r w:rsidRPr="007C1494">
        <w:rPr>
          <w:rFonts w:eastAsia="Calibri" w:cs="Times New Roman"/>
          <w:noProof/>
          <w:szCs w:val="24"/>
        </w:rPr>
        <w:t xml:space="preserve">This </w:t>
      </w:r>
      <w:r w:rsidR="00E039C1">
        <w:rPr>
          <w:rFonts w:eastAsia="Calibri" w:cs="Times New Roman"/>
          <w:noProof/>
          <w:szCs w:val="24"/>
        </w:rPr>
        <w:t>obligation</w:t>
      </w:r>
      <w:r w:rsidRPr="007C1494" w:rsidDel="00E039C1">
        <w:rPr>
          <w:rFonts w:eastAsia="Calibri" w:cs="Times New Roman"/>
          <w:noProof/>
          <w:szCs w:val="24"/>
        </w:rPr>
        <w:t xml:space="preserve"> </w:t>
      </w:r>
      <w:r w:rsidRPr="007C1494">
        <w:rPr>
          <w:rFonts w:eastAsia="Calibri" w:cs="Times New Roman"/>
          <w:noProof/>
          <w:szCs w:val="24"/>
        </w:rPr>
        <w:t xml:space="preserve">would apply to all operators </w:t>
      </w:r>
      <w:r w:rsidR="000E3C66" w:rsidRPr="007C1494">
        <w:rPr>
          <w:rFonts w:eastAsia="Calibri" w:cs="Times New Roman"/>
          <w:noProof/>
          <w:szCs w:val="24"/>
        </w:rPr>
        <w:t xml:space="preserve">seeking to place a </w:t>
      </w:r>
      <w:r w:rsidR="000E3C66">
        <w:rPr>
          <w:rFonts w:eastAsia="Calibri" w:cs="Times New Roman"/>
          <w:noProof/>
          <w:szCs w:val="24"/>
        </w:rPr>
        <w:t xml:space="preserve">relevant </w:t>
      </w:r>
      <w:r w:rsidR="000E3C66" w:rsidRPr="007C1494">
        <w:rPr>
          <w:rFonts w:eastAsia="Calibri" w:cs="Times New Roman"/>
          <w:noProof/>
          <w:szCs w:val="24"/>
        </w:rPr>
        <w:t>product on the EU market for the first time</w:t>
      </w:r>
      <w:r w:rsidR="000E3C66">
        <w:rPr>
          <w:rFonts w:eastAsia="Calibri" w:cs="Times New Roman"/>
          <w:noProof/>
          <w:szCs w:val="24"/>
        </w:rPr>
        <w:t xml:space="preserve">, </w:t>
      </w:r>
      <w:r w:rsidRPr="007C1494">
        <w:rPr>
          <w:rFonts w:eastAsia="Calibri" w:cs="Times New Roman"/>
          <w:noProof/>
          <w:szCs w:val="24"/>
        </w:rPr>
        <w:t xml:space="preserve">irrespective of their legal form, size or complexity of their value chains </w:t>
      </w:r>
      <w:r w:rsidR="00862E24">
        <w:rPr>
          <w:rFonts w:eastAsia="Calibri" w:cs="Times New Roman"/>
          <w:noProof/>
          <w:szCs w:val="24"/>
        </w:rPr>
        <w:t xml:space="preserve">— </w:t>
      </w:r>
      <w:r w:rsidR="00921BF8">
        <w:rPr>
          <w:rFonts w:eastAsia="Calibri" w:cs="Times New Roman"/>
          <w:noProof/>
          <w:szCs w:val="24"/>
        </w:rPr>
        <w:t>or</w:t>
      </w:r>
      <w:r w:rsidRPr="007C1494">
        <w:rPr>
          <w:rFonts w:eastAsia="Calibri" w:cs="Times New Roman"/>
          <w:noProof/>
          <w:szCs w:val="24"/>
        </w:rPr>
        <w:t xml:space="preserve"> </w:t>
      </w:r>
      <w:r w:rsidR="00921BF8">
        <w:rPr>
          <w:rFonts w:eastAsia="Calibri" w:cs="Times New Roman"/>
          <w:noProof/>
          <w:szCs w:val="24"/>
        </w:rPr>
        <w:t xml:space="preserve">where their headquarters are </w:t>
      </w:r>
      <w:r w:rsidRPr="007C1494">
        <w:rPr>
          <w:rFonts w:eastAsia="Calibri" w:cs="Times New Roman"/>
          <w:noProof/>
          <w:szCs w:val="24"/>
        </w:rPr>
        <w:t>base</w:t>
      </w:r>
      <w:r w:rsidR="00921BF8">
        <w:rPr>
          <w:rFonts w:eastAsia="Calibri" w:cs="Times New Roman"/>
          <w:noProof/>
          <w:szCs w:val="24"/>
        </w:rPr>
        <w:t>d</w:t>
      </w:r>
      <w:r w:rsidRPr="007C1494">
        <w:rPr>
          <w:rFonts w:eastAsia="Calibri" w:cs="Times New Roman"/>
          <w:noProof/>
          <w:szCs w:val="24"/>
        </w:rPr>
        <w:t xml:space="preserve">. </w:t>
      </w:r>
    </w:p>
    <w:p w14:paraId="4FB3001C" w14:textId="46A6DAA9" w:rsidR="00E944AF" w:rsidRDefault="00EC2ABD" w:rsidP="00E44E68">
      <w:pPr>
        <w:jc w:val="both"/>
        <w:rPr>
          <w:rFonts w:eastAsia="Calibri" w:cs="Times New Roman"/>
          <w:noProof/>
          <w:szCs w:val="24"/>
        </w:rPr>
      </w:pPr>
      <w:r w:rsidRPr="007C1494">
        <w:rPr>
          <w:rFonts w:eastAsia="Calibri" w:cs="Times New Roman"/>
          <w:noProof/>
          <w:szCs w:val="24"/>
        </w:rPr>
        <w:t>In order to exercise due diligence</w:t>
      </w:r>
      <w:r w:rsidR="00E944AF">
        <w:rPr>
          <w:rFonts w:eastAsia="Calibri" w:cs="Times New Roman"/>
          <w:noProof/>
          <w:szCs w:val="24"/>
        </w:rPr>
        <w:t>,</w:t>
      </w:r>
      <w:r w:rsidRPr="007C1494">
        <w:rPr>
          <w:rFonts w:eastAsia="Calibri" w:cs="Times New Roman"/>
          <w:noProof/>
          <w:szCs w:val="24"/>
        </w:rPr>
        <w:t xml:space="preserve"> an operator would have to go through three steps. As step one, operators need to ensure access to all information </w:t>
      </w:r>
      <w:r w:rsidR="00DD23D0">
        <w:rPr>
          <w:rFonts w:eastAsia="Calibri" w:cs="Times New Roman"/>
          <w:noProof/>
          <w:szCs w:val="24"/>
        </w:rPr>
        <w:t xml:space="preserve">necessary </w:t>
      </w:r>
      <w:r w:rsidRPr="007C1494">
        <w:rPr>
          <w:rFonts w:eastAsia="Calibri" w:cs="Times New Roman"/>
          <w:noProof/>
          <w:szCs w:val="24"/>
        </w:rPr>
        <w:t xml:space="preserve">to determine whether the risk associated with the commodity is negligible. </w:t>
      </w:r>
      <w:r w:rsidR="00E944AF">
        <w:rPr>
          <w:rFonts w:eastAsia="Calibri" w:cs="Times New Roman"/>
          <w:noProof/>
          <w:szCs w:val="24"/>
        </w:rPr>
        <w:t>In s</w:t>
      </w:r>
      <w:r w:rsidRPr="007C1494">
        <w:rPr>
          <w:rFonts w:eastAsia="Calibri" w:cs="Times New Roman"/>
          <w:noProof/>
          <w:szCs w:val="24"/>
        </w:rPr>
        <w:t xml:space="preserve">tep two, </w:t>
      </w:r>
      <w:r w:rsidR="00E944AF">
        <w:rPr>
          <w:rFonts w:eastAsia="Calibri" w:cs="Times New Roman"/>
          <w:noProof/>
          <w:szCs w:val="24"/>
        </w:rPr>
        <w:t xml:space="preserve">the operators need to use that </w:t>
      </w:r>
      <w:r w:rsidRPr="007C1494">
        <w:rPr>
          <w:rFonts w:eastAsia="Calibri" w:cs="Times New Roman"/>
          <w:noProof/>
          <w:szCs w:val="24"/>
        </w:rPr>
        <w:t>information</w:t>
      </w:r>
      <w:r w:rsidRPr="007C1494" w:rsidDel="00E944AF">
        <w:rPr>
          <w:rFonts w:eastAsia="Calibri" w:cs="Times New Roman"/>
          <w:noProof/>
          <w:szCs w:val="24"/>
        </w:rPr>
        <w:t xml:space="preserve"> </w:t>
      </w:r>
      <w:r w:rsidR="00E944AF">
        <w:rPr>
          <w:rFonts w:eastAsia="Calibri" w:cs="Times New Roman"/>
          <w:noProof/>
          <w:szCs w:val="24"/>
        </w:rPr>
        <w:t xml:space="preserve">to </w:t>
      </w:r>
      <w:r w:rsidRPr="007C1494">
        <w:rPr>
          <w:rFonts w:eastAsia="Calibri" w:cs="Times New Roman"/>
          <w:noProof/>
          <w:szCs w:val="24"/>
        </w:rPr>
        <w:t xml:space="preserve">analyse and evaluate the risk in the supply chain </w:t>
      </w:r>
      <w:r w:rsidR="00E944AF">
        <w:rPr>
          <w:rFonts w:eastAsia="Calibri" w:cs="Times New Roman"/>
          <w:noProof/>
          <w:szCs w:val="24"/>
        </w:rPr>
        <w:t>—</w:t>
      </w:r>
      <w:r w:rsidRPr="007C1494">
        <w:rPr>
          <w:rFonts w:eastAsia="Calibri" w:cs="Times New Roman"/>
          <w:noProof/>
          <w:szCs w:val="24"/>
        </w:rPr>
        <w:t xml:space="preserve"> from harvest or production to placing on the EU market. </w:t>
      </w:r>
      <w:r w:rsidR="00E944AF">
        <w:rPr>
          <w:rFonts w:eastAsia="Calibri" w:cs="Times New Roman"/>
          <w:noProof/>
          <w:szCs w:val="24"/>
        </w:rPr>
        <w:t>In s</w:t>
      </w:r>
      <w:r w:rsidRPr="007C1494">
        <w:rPr>
          <w:rFonts w:eastAsia="Calibri" w:cs="Times New Roman"/>
          <w:noProof/>
          <w:szCs w:val="24"/>
        </w:rPr>
        <w:t>tep three, except where the risk</w:t>
      </w:r>
      <w:r w:rsidR="00E944AF">
        <w:rPr>
          <w:rFonts w:eastAsia="Calibri" w:cs="Times New Roman"/>
          <w:noProof/>
          <w:szCs w:val="24"/>
        </w:rPr>
        <w:t>s</w:t>
      </w:r>
      <w:r w:rsidRPr="007C1494">
        <w:rPr>
          <w:rFonts w:eastAsia="Calibri" w:cs="Times New Roman"/>
          <w:noProof/>
          <w:szCs w:val="24"/>
        </w:rPr>
        <w:t xml:space="preserve"> </w:t>
      </w:r>
      <w:r w:rsidR="00E944AF">
        <w:rPr>
          <w:rFonts w:eastAsia="Calibri" w:cs="Times New Roman"/>
          <w:noProof/>
          <w:szCs w:val="24"/>
        </w:rPr>
        <w:t>are</w:t>
      </w:r>
      <w:r w:rsidRPr="007C1494">
        <w:rPr>
          <w:rFonts w:eastAsia="Calibri" w:cs="Times New Roman"/>
          <w:noProof/>
          <w:szCs w:val="24"/>
        </w:rPr>
        <w:t xml:space="preserve"> </w:t>
      </w:r>
      <w:r w:rsidR="00DD23D0">
        <w:rPr>
          <w:rFonts w:eastAsia="Calibri" w:cs="Times New Roman"/>
          <w:noProof/>
          <w:szCs w:val="24"/>
        </w:rPr>
        <w:t xml:space="preserve">found to be </w:t>
      </w:r>
      <w:r w:rsidRPr="007C1494">
        <w:rPr>
          <w:rFonts w:eastAsia="Calibri" w:cs="Times New Roman"/>
          <w:noProof/>
          <w:szCs w:val="24"/>
        </w:rPr>
        <w:t xml:space="preserve">negligible, </w:t>
      </w:r>
      <w:r w:rsidR="00E944AF">
        <w:rPr>
          <w:rFonts w:eastAsia="Calibri" w:cs="Times New Roman"/>
          <w:noProof/>
          <w:szCs w:val="24"/>
        </w:rPr>
        <w:t xml:space="preserve">operators need to </w:t>
      </w:r>
      <w:r w:rsidRPr="007C1494">
        <w:rPr>
          <w:rFonts w:eastAsia="Calibri" w:cs="Times New Roman"/>
          <w:noProof/>
          <w:szCs w:val="24"/>
        </w:rPr>
        <w:t xml:space="preserve">take adequate and proportionate </w:t>
      </w:r>
      <w:r w:rsidR="00E944AF">
        <w:rPr>
          <w:rFonts w:eastAsia="Calibri" w:cs="Times New Roman"/>
          <w:noProof/>
          <w:szCs w:val="24"/>
        </w:rPr>
        <w:t xml:space="preserve">mitigation </w:t>
      </w:r>
      <w:r w:rsidRPr="007C1494">
        <w:rPr>
          <w:rFonts w:eastAsia="Calibri" w:cs="Times New Roman"/>
          <w:noProof/>
          <w:szCs w:val="24"/>
        </w:rPr>
        <w:t xml:space="preserve">measures in order to </w:t>
      </w:r>
      <w:r w:rsidR="00EA1C91" w:rsidRPr="007C1494">
        <w:rPr>
          <w:rFonts w:eastAsia="Calibri" w:cs="Times New Roman"/>
          <w:noProof/>
          <w:szCs w:val="24"/>
        </w:rPr>
        <w:t xml:space="preserve">effectively </w:t>
      </w:r>
      <w:r w:rsidRPr="007C1494">
        <w:rPr>
          <w:rFonts w:eastAsia="Calibri" w:cs="Times New Roman"/>
          <w:noProof/>
          <w:szCs w:val="24"/>
        </w:rPr>
        <w:t xml:space="preserve">minimise the risk </w:t>
      </w:r>
      <w:r w:rsidRPr="007C1494" w:rsidDel="00E944AF">
        <w:rPr>
          <w:rFonts w:eastAsia="Calibri" w:cs="Times New Roman"/>
          <w:noProof/>
          <w:szCs w:val="24"/>
        </w:rPr>
        <w:t xml:space="preserve">of </w:t>
      </w:r>
      <w:r w:rsidR="00E944AF">
        <w:rPr>
          <w:rFonts w:eastAsia="Calibri" w:cs="Times New Roman"/>
          <w:noProof/>
          <w:szCs w:val="24"/>
        </w:rPr>
        <w:t xml:space="preserve">placing incompliant products on the EU market </w:t>
      </w:r>
      <w:r w:rsidRPr="007C1494">
        <w:rPr>
          <w:rFonts w:eastAsia="Calibri" w:cs="Times New Roman"/>
          <w:noProof/>
          <w:szCs w:val="24"/>
        </w:rPr>
        <w:t>to a negligible level.</w:t>
      </w:r>
    </w:p>
    <w:p w14:paraId="513BB28D" w14:textId="725434E3" w:rsidR="0054012F" w:rsidRPr="007C1494" w:rsidRDefault="00E944AF" w:rsidP="00E944AF">
      <w:pPr>
        <w:jc w:val="both"/>
        <w:rPr>
          <w:rFonts w:eastAsia="Calibri" w:cs="Times New Roman"/>
          <w:noProof/>
          <w:szCs w:val="24"/>
        </w:rPr>
      </w:pPr>
      <w:r>
        <w:rPr>
          <w:rFonts w:eastAsia="Calibri" w:cs="Times New Roman"/>
          <w:noProof/>
          <w:szCs w:val="24"/>
        </w:rPr>
        <w:t xml:space="preserve">If any of the three steps </w:t>
      </w:r>
      <w:r w:rsidR="005411D3">
        <w:rPr>
          <w:rFonts w:eastAsia="Calibri" w:cs="Times New Roman"/>
          <w:noProof/>
          <w:szCs w:val="24"/>
        </w:rPr>
        <w:t>cannot be undertaken</w:t>
      </w:r>
      <w:r>
        <w:rPr>
          <w:rFonts w:eastAsia="Calibri" w:cs="Times New Roman"/>
          <w:noProof/>
          <w:szCs w:val="24"/>
        </w:rPr>
        <w:t xml:space="preserve">, due for instance to the lack of information available or the lack of robust mitigation tools to </w:t>
      </w:r>
      <w:r w:rsidR="00352B6D">
        <w:rPr>
          <w:rFonts w:eastAsia="Calibri" w:cs="Times New Roman"/>
          <w:noProof/>
          <w:szCs w:val="24"/>
        </w:rPr>
        <w:t>eliminate</w:t>
      </w:r>
      <w:r>
        <w:rPr>
          <w:rFonts w:eastAsia="Calibri" w:cs="Times New Roman"/>
          <w:noProof/>
          <w:szCs w:val="24"/>
        </w:rPr>
        <w:t xml:space="preserve"> the risk of </w:t>
      </w:r>
      <w:r w:rsidR="005411D3">
        <w:rPr>
          <w:rFonts w:eastAsia="Calibri" w:cs="Times New Roman"/>
          <w:noProof/>
          <w:szCs w:val="24"/>
        </w:rPr>
        <w:t xml:space="preserve"> non</w:t>
      </w:r>
      <w:r w:rsidR="00DD23D0">
        <w:rPr>
          <w:rFonts w:eastAsia="Calibri" w:cs="Times New Roman"/>
          <w:noProof/>
          <w:szCs w:val="24"/>
        </w:rPr>
        <w:t>-</w:t>
      </w:r>
      <w:r>
        <w:rPr>
          <w:rFonts w:eastAsia="Calibri" w:cs="Times New Roman"/>
          <w:noProof/>
          <w:szCs w:val="24"/>
        </w:rPr>
        <w:t>compliant products</w:t>
      </w:r>
      <w:r w:rsidR="00862E24">
        <w:rPr>
          <w:rFonts w:eastAsia="Calibri" w:cs="Times New Roman"/>
          <w:noProof/>
          <w:szCs w:val="24"/>
        </w:rPr>
        <w:t xml:space="preserve"> being placed on the EU market</w:t>
      </w:r>
      <w:r>
        <w:rPr>
          <w:rFonts w:eastAsia="Calibri" w:cs="Times New Roman"/>
          <w:noProof/>
          <w:szCs w:val="24"/>
        </w:rPr>
        <w:t xml:space="preserve">, then the operator </w:t>
      </w:r>
      <w:r w:rsidR="00D44AA3">
        <w:rPr>
          <w:noProof/>
          <w:color w:val="1F497D"/>
          <w:lang w:val="en-IE"/>
        </w:rPr>
        <w:t>shall not place</w:t>
      </w:r>
      <w:r>
        <w:rPr>
          <w:rFonts w:eastAsia="Calibri" w:cs="Times New Roman"/>
          <w:noProof/>
          <w:szCs w:val="24"/>
        </w:rPr>
        <w:t xml:space="preserve"> those products on the EU market. </w:t>
      </w:r>
    </w:p>
    <w:p w14:paraId="3D268929" w14:textId="59673451" w:rsidR="00E944AF" w:rsidRDefault="00F63C7C" w:rsidP="00C139FC">
      <w:pPr>
        <w:jc w:val="both"/>
        <w:rPr>
          <w:rFonts w:eastAsia="Calibri" w:cs="Times New Roman"/>
          <w:noProof/>
          <w:szCs w:val="24"/>
        </w:rPr>
      </w:pPr>
      <w:r w:rsidRPr="007C1494">
        <w:rPr>
          <w:rFonts w:eastAsia="Calibri" w:cs="Times New Roman"/>
          <w:noProof/>
          <w:szCs w:val="24"/>
        </w:rPr>
        <w:t>EU M</w:t>
      </w:r>
      <w:r w:rsidR="00EA1C91">
        <w:rPr>
          <w:rFonts w:eastAsia="Calibri" w:cs="Times New Roman"/>
          <w:noProof/>
          <w:szCs w:val="24"/>
        </w:rPr>
        <w:t xml:space="preserve">ember </w:t>
      </w:r>
      <w:r w:rsidRPr="007C1494">
        <w:rPr>
          <w:rFonts w:eastAsia="Calibri" w:cs="Times New Roman"/>
          <w:noProof/>
          <w:szCs w:val="24"/>
        </w:rPr>
        <w:t>S</w:t>
      </w:r>
      <w:r w:rsidR="00EA1C91">
        <w:rPr>
          <w:rFonts w:eastAsia="Calibri" w:cs="Times New Roman"/>
          <w:noProof/>
          <w:szCs w:val="24"/>
        </w:rPr>
        <w:t>tates</w:t>
      </w:r>
      <w:r w:rsidR="00E944AF">
        <w:rPr>
          <w:rFonts w:eastAsia="Calibri" w:cs="Times New Roman"/>
          <w:noProof/>
          <w:szCs w:val="24"/>
        </w:rPr>
        <w:t xml:space="preserve">, </w:t>
      </w:r>
      <w:r w:rsidR="00BD621B">
        <w:rPr>
          <w:rFonts w:eastAsia="Calibri" w:cs="Times New Roman"/>
          <w:noProof/>
          <w:szCs w:val="24"/>
        </w:rPr>
        <w:t>in turn</w:t>
      </w:r>
      <w:r w:rsidR="00E944AF">
        <w:rPr>
          <w:rFonts w:eastAsia="Calibri" w:cs="Times New Roman"/>
          <w:noProof/>
          <w:szCs w:val="24"/>
        </w:rPr>
        <w:t>,</w:t>
      </w:r>
      <w:r w:rsidR="00C139FC" w:rsidRPr="007C1494">
        <w:rPr>
          <w:rFonts w:eastAsia="Calibri" w:cs="Times New Roman"/>
          <w:noProof/>
          <w:szCs w:val="24"/>
        </w:rPr>
        <w:t xml:space="preserve"> </w:t>
      </w:r>
      <w:r w:rsidR="00E944AF">
        <w:rPr>
          <w:rFonts w:eastAsia="Calibri" w:cs="Times New Roman"/>
          <w:noProof/>
          <w:szCs w:val="24"/>
        </w:rPr>
        <w:t xml:space="preserve">would be obliged </w:t>
      </w:r>
      <w:r w:rsidR="00C139FC" w:rsidRPr="007C1494">
        <w:rPr>
          <w:rFonts w:eastAsia="Calibri" w:cs="Times New Roman"/>
          <w:noProof/>
          <w:szCs w:val="24"/>
        </w:rPr>
        <w:t xml:space="preserve">to ensure </w:t>
      </w:r>
      <w:r w:rsidR="005411D3">
        <w:rPr>
          <w:rFonts w:eastAsia="Calibri" w:cs="Times New Roman"/>
          <w:noProof/>
          <w:szCs w:val="24"/>
        </w:rPr>
        <w:t xml:space="preserve">the </w:t>
      </w:r>
      <w:r w:rsidR="00C139FC" w:rsidRPr="007C1494">
        <w:rPr>
          <w:rFonts w:eastAsia="Calibri" w:cs="Times New Roman"/>
          <w:noProof/>
          <w:szCs w:val="24"/>
        </w:rPr>
        <w:t xml:space="preserve">effective enforcement of the measure. </w:t>
      </w:r>
      <w:r w:rsidR="00862E24">
        <w:rPr>
          <w:rFonts w:eastAsia="Calibri" w:cs="Times New Roman"/>
          <w:noProof/>
          <w:szCs w:val="24"/>
        </w:rPr>
        <w:t xml:space="preserve">Some of these duties will involve </w:t>
      </w:r>
      <w:r w:rsidR="00862E24" w:rsidRPr="00862E24">
        <w:rPr>
          <w:rFonts w:eastAsia="Calibri" w:cs="Times New Roman"/>
          <w:noProof/>
          <w:szCs w:val="24"/>
        </w:rPr>
        <w:t>minimum inspections levels</w:t>
      </w:r>
      <w:r w:rsidR="0044201E">
        <w:rPr>
          <w:rFonts w:eastAsia="Calibri" w:cs="Times New Roman"/>
          <w:noProof/>
          <w:szCs w:val="24"/>
        </w:rPr>
        <w:t xml:space="preserve"> and</w:t>
      </w:r>
      <w:r w:rsidR="00862E24" w:rsidRPr="00862E24">
        <w:rPr>
          <w:rFonts w:eastAsia="Calibri" w:cs="Times New Roman"/>
          <w:noProof/>
          <w:szCs w:val="24"/>
        </w:rPr>
        <w:t xml:space="preserve"> a formal role </w:t>
      </w:r>
      <w:r w:rsidR="00352B6D">
        <w:rPr>
          <w:rFonts w:eastAsia="Calibri" w:cs="Times New Roman"/>
          <w:noProof/>
          <w:szCs w:val="24"/>
        </w:rPr>
        <w:t>for</w:t>
      </w:r>
      <w:r w:rsidR="00862E24" w:rsidRPr="00862E24">
        <w:rPr>
          <w:rFonts w:eastAsia="Calibri" w:cs="Times New Roman"/>
          <w:noProof/>
          <w:szCs w:val="24"/>
        </w:rPr>
        <w:t xml:space="preserve"> customs</w:t>
      </w:r>
      <w:r w:rsidR="00352B6D">
        <w:rPr>
          <w:rFonts w:eastAsia="Calibri" w:cs="Times New Roman"/>
          <w:noProof/>
          <w:szCs w:val="24"/>
        </w:rPr>
        <w:t>’ authorities</w:t>
      </w:r>
      <w:r w:rsidR="00387D76">
        <w:rPr>
          <w:rFonts w:eastAsia="Calibri" w:cs="Times New Roman"/>
          <w:noProof/>
          <w:szCs w:val="24"/>
        </w:rPr>
        <w:t xml:space="preserve"> </w:t>
      </w:r>
      <w:r w:rsidR="00387D76" w:rsidRPr="00760D6B">
        <w:rPr>
          <w:rFonts w:eastAsia="Calibri" w:cs="Times New Roman"/>
          <w:noProof/>
          <w:szCs w:val="24"/>
        </w:rPr>
        <w:t>in case of commodities imported from third countries</w:t>
      </w:r>
      <w:r w:rsidR="00862E24">
        <w:rPr>
          <w:rFonts w:eastAsia="Calibri" w:cs="Times New Roman"/>
          <w:noProof/>
          <w:szCs w:val="24"/>
        </w:rPr>
        <w:t>.</w:t>
      </w:r>
      <w:r w:rsidR="00862E24" w:rsidRPr="00862E24">
        <w:rPr>
          <w:rFonts w:eastAsia="Calibri" w:cs="Times New Roman"/>
          <w:noProof/>
          <w:szCs w:val="24"/>
        </w:rPr>
        <w:t xml:space="preserve"> </w:t>
      </w:r>
      <w:r w:rsidR="00C139FC" w:rsidRPr="007C1494" w:rsidDel="00E944AF">
        <w:rPr>
          <w:rFonts w:eastAsia="Calibri" w:cs="Times New Roman"/>
          <w:noProof/>
          <w:szCs w:val="24"/>
        </w:rPr>
        <w:t>T</w:t>
      </w:r>
      <w:r w:rsidR="00C139FC" w:rsidRPr="007C1494">
        <w:rPr>
          <w:rFonts w:eastAsia="Calibri" w:cs="Times New Roman"/>
          <w:noProof/>
          <w:szCs w:val="24"/>
        </w:rPr>
        <w:t xml:space="preserve">hese </w:t>
      </w:r>
      <w:r w:rsidR="00E944AF">
        <w:rPr>
          <w:rFonts w:eastAsia="Calibri" w:cs="Times New Roman"/>
          <w:noProof/>
          <w:szCs w:val="24"/>
        </w:rPr>
        <w:t>measures are described below.</w:t>
      </w:r>
    </w:p>
    <w:p w14:paraId="4CCB37D4" w14:textId="0511820F" w:rsidR="0047603F" w:rsidRDefault="00862E24" w:rsidP="00C139FC">
      <w:pPr>
        <w:jc w:val="both"/>
        <w:rPr>
          <w:rFonts w:eastAsia="Calibri" w:cs="Times New Roman"/>
          <w:noProof/>
          <w:szCs w:val="24"/>
        </w:rPr>
      </w:pPr>
      <w:r>
        <w:rPr>
          <w:rFonts w:eastAsia="Calibri" w:cs="Times New Roman"/>
          <w:noProof/>
          <w:szCs w:val="24"/>
        </w:rPr>
        <w:t xml:space="preserve">The Fitness Check </w:t>
      </w:r>
      <w:r w:rsidR="00BE59CF">
        <w:rPr>
          <w:rFonts w:eastAsia="Calibri" w:cs="Times New Roman"/>
          <w:noProof/>
          <w:szCs w:val="24"/>
        </w:rPr>
        <w:t>o</w:t>
      </w:r>
      <w:r w:rsidR="00DD23D0">
        <w:rPr>
          <w:rFonts w:eastAsia="Calibri" w:cs="Times New Roman"/>
          <w:noProof/>
          <w:szCs w:val="24"/>
        </w:rPr>
        <w:t>f</w:t>
      </w:r>
      <w:r w:rsidR="00C24891">
        <w:rPr>
          <w:rFonts w:eastAsia="Calibri" w:cs="Times New Roman"/>
          <w:noProof/>
          <w:szCs w:val="24"/>
        </w:rPr>
        <w:t xml:space="preserve"> the EUTR </w:t>
      </w:r>
      <w:r w:rsidR="00352B6D" w:rsidRPr="00B07AE5">
        <w:rPr>
          <w:rFonts w:eastAsia="Calibri" w:cs="Times New Roman"/>
          <w:noProof/>
          <w:szCs w:val="24"/>
        </w:rPr>
        <w:t xml:space="preserve">(see box </w:t>
      </w:r>
      <w:r w:rsidR="00B07AE5" w:rsidRPr="00B07AE5">
        <w:rPr>
          <w:rFonts w:eastAsia="Calibri" w:cs="Times New Roman"/>
          <w:noProof/>
          <w:szCs w:val="24"/>
        </w:rPr>
        <w:t>2</w:t>
      </w:r>
      <w:r w:rsidR="00352B6D" w:rsidRPr="00B07AE5">
        <w:rPr>
          <w:rFonts w:eastAsia="Calibri" w:cs="Times New Roman"/>
          <w:noProof/>
          <w:szCs w:val="24"/>
        </w:rPr>
        <w:t>)</w:t>
      </w:r>
      <w:r w:rsidR="00352B6D">
        <w:rPr>
          <w:rFonts w:eastAsia="Calibri" w:cs="Times New Roman"/>
          <w:noProof/>
          <w:szCs w:val="24"/>
        </w:rPr>
        <w:t xml:space="preserve"> revealed a series of shortcomings in terms of design and implementation that had marred the effectiveness of the </w:t>
      </w:r>
      <w:r w:rsidR="00C24891">
        <w:rPr>
          <w:rFonts w:eastAsia="Calibri" w:cs="Times New Roman"/>
          <w:noProof/>
          <w:szCs w:val="24"/>
        </w:rPr>
        <w:t xml:space="preserve">due diligence system under </w:t>
      </w:r>
      <w:r w:rsidR="00352B6D">
        <w:rPr>
          <w:rFonts w:eastAsia="Calibri" w:cs="Times New Roman"/>
          <w:noProof/>
          <w:szCs w:val="24"/>
        </w:rPr>
        <w:t>EU</w:t>
      </w:r>
      <w:r w:rsidR="00C24891">
        <w:rPr>
          <w:rFonts w:eastAsia="Calibri" w:cs="Times New Roman"/>
          <w:noProof/>
          <w:szCs w:val="24"/>
        </w:rPr>
        <w:t>TR</w:t>
      </w:r>
      <w:r w:rsidR="00352B6D">
        <w:rPr>
          <w:rFonts w:eastAsia="Calibri" w:cs="Times New Roman"/>
          <w:noProof/>
          <w:szCs w:val="24"/>
        </w:rPr>
        <w:t xml:space="preserve"> (see section 6.1.1.)</w:t>
      </w:r>
      <w:r w:rsidR="00C24891">
        <w:rPr>
          <w:rFonts w:eastAsia="Calibri" w:cs="Times New Roman"/>
          <w:noProof/>
          <w:szCs w:val="24"/>
        </w:rPr>
        <w:t>.</w:t>
      </w:r>
      <w:r w:rsidR="00352B6D">
        <w:rPr>
          <w:rFonts w:eastAsia="Calibri" w:cs="Times New Roman"/>
          <w:noProof/>
          <w:szCs w:val="24"/>
        </w:rPr>
        <w:t xml:space="preserve"> Th</w:t>
      </w:r>
      <w:r w:rsidR="00C24891">
        <w:rPr>
          <w:rFonts w:eastAsia="Calibri" w:cs="Times New Roman"/>
          <w:noProof/>
          <w:szCs w:val="24"/>
        </w:rPr>
        <w:t>ese findings</w:t>
      </w:r>
      <w:r w:rsidR="00352B6D">
        <w:rPr>
          <w:rFonts w:eastAsia="Calibri" w:cs="Times New Roman"/>
          <w:noProof/>
          <w:szCs w:val="24"/>
        </w:rPr>
        <w:t xml:space="preserve">, </w:t>
      </w:r>
      <w:r w:rsidR="0047603F">
        <w:rPr>
          <w:rFonts w:eastAsia="Calibri" w:cs="Times New Roman"/>
          <w:noProof/>
          <w:szCs w:val="24"/>
        </w:rPr>
        <w:t xml:space="preserve">the most recent </w:t>
      </w:r>
      <w:r w:rsidR="00352B6D">
        <w:rPr>
          <w:rFonts w:eastAsia="Calibri" w:cs="Times New Roman"/>
          <w:noProof/>
          <w:szCs w:val="24"/>
        </w:rPr>
        <w:t xml:space="preserve">literature and the feedback from stakeholders have allowed to </w:t>
      </w:r>
      <w:r w:rsidR="00DD23D0">
        <w:rPr>
          <w:rFonts w:eastAsia="Calibri" w:cs="Times New Roman"/>
          <w:noProof/>
          <w:szCs w:val="24"/>
        </w:rPr>
        <w:t>identify</w:t>
      </w:r>
      <w:r w:rsidR="00352B6D">
        <w:rPr>
          <w:rFonts w:eastAsia="Calibri" w:cs="Times New Roman"/>
          <w:noProof/>
          <w:szCs w:val="24"/>
        </w:rPr>
        <w:t xml:space="preserve"> new features </w:t>
      </w:r>
      <w:r w:rsidR="0029388B">
        <w:rPr>
          <w:rFonts w:eastAsia="Calibri" w:cs="Times New Roman"/>
          <w:noProof/>
          <w:szCs w:val="24"/>
        </w:rPr>
        <w:t>for</w:t>
      </w:r>
      <w:r w:rsidR="00352B6D">
        <w:rPr>
          <w:rFonts w:eastAsia="Calibri" w:cs="Times New Roman"/>
          <w:noProof/>
          <w:szCs w:val="24"/>
        </w:rPr>
        <w:t xml:space="preserve"> the due diligence system of options 1 to 4 with view to increasing the effectiveness. </w:t>
      </w:r>
    </w:p>
    <w:p w14:paraId="66D30C72" w14:textId="5BC985BC" w:rsidR="00E944AF" w:rsidRDefault="00352B6D" w:rsidP="00C139FC">
      <w:pPr>
        <w:jc w:val="both"/>
        <w:rPr>
          <w:rFonts w:eastAsia="Calibri" w:cs="Times New Roman"/>
          <w:noProof/>
          <w:szCs w:val="24"/>
        </w:rPr>
      </w:pPr>
      <w:r>
        <w:rPr>
          <w:rFonts w:eastAsia="Calibri" w:cs="Times New Roman"/>
          <w:noProof/>
          <w:szCs w:val="24"/>
        </w:rPr>
        <w:t xml:space="preserve">The new features that </w:t>
      </w:r>
      <w:r w:rsidR="0047603F">
        <w:rPr>
          <w:rFonts w:eastAsia="Calibri" w:cs="Times New Roman"/>
          <w:noProof/>
          <w:szCs w:val="24"/>
        </w:rPr>
        <w:t>are expected to increase its effectiveness in comparison with the EUTR are:</w:t>
      </w:r>
    </w:p>
    <w:p w14:paraId="08D0A45E" w14:textId="0AE2042F" w:rsidR="0047603F" w:rsidRDefault="0047603F" w:rsidP="00C139FC">
      <w:pPr>
        <w:jc w:val="both"/>
        <w:rPr>
          <w:rFonts w:eastAsia="Calibri" w:cs="Times New Roman"/>
          <w:noProof/>
          <w:szCs w:val="24"/>
        </w:rPr>
      </w:pPr>
      <w:r>
        <w:rPr>
          <w:rFonts w:eastAsia="Calibri" w:cs="Times New Roman"/>
          <w:noProof/>
          <w:szCs w:val="24"/>
        </w:rPr>
        <w:t>1. Deforestation</w:t>
      </w:r>
      <w:r w:rsidR="00FB297A">
        <w:rPr>
          <w:rFonts w:eastAsia="Calibri" w:cs="Times New Roman"/>
          <w:noProof/>
          <w:szCs w:val="24"/>
        </w:rPr>
        <w:t>-free definition</w:t>
      </w:r>
      <w:r>
        <w:rPr>
          <w:rFonts w:eastAsia="Calibri" w:cs="Times New Roman"/>
          <w:noProof/>
          <w:szCs w:val="24"/>
        </w:rPr>
        <w:t xml:space="preserve">. This is the cornerstone of the improved EU intervention. As explained in section 4.4, there is a high degree of consensus among stakeholders </w:t>
      </w:r>
      <w:r w:rsidR="00AA4F80">
        <w:rPr>
          <w:rFonts w:eastAsia="Calibri" w:cs="Times New Roman"/>
          <w:noProof/>
          <w:szCs w:val="24"/>
        </w:rPr>
        <w:t xml:space="preserve">and researchers </w:t>
      </w:r>
      <w:r>
        <w:rPr>
          <w:rFonts w:eastAsia="Calibri" w:cs="Times New Roman"/>
          <w:noProof/>
          <w:szCs w:val="24"/>
        </w:rPr>
        <w:t xml:space="preserve">that relying on universally applicable </w:t>
      </w:r>
      <w:r w:rsidR="0034593A">
        <w:rPr>
          <w:rFonts w:eastAsia="Calibri" w:cs="Times New Roman"/>
          <w:noProof/>
          <w:szCs w:val="24"/>
        </w:rPr>
        <w:t>data</w:t>
      </w:r>
      <w:r>
        <w:rPr>
          <w:rFonts w:eastAsia="Calibri" w:cs="Times New Roman"/>
          <w:noProof/>
          <w:szCs w:val="24"/>
        </w:rPr>
        <w:t xml:space="preserve"> that can be monitored remotely can increase the effectiveness of the policy measures.</w:t>
      </w:r>
    </w:p>
    <w:p w14:paraId="4ECB54F1" w14:textId="28350CEF" w:rsidR="0047603F" w:rsidRDefault="0047603F" w:rsidP="00C139FC">
      <w:pPr>
        <w:jc w:val="both"/>
        <w:rPr>
          <w:rFonts w:eastAsia="Calibri" w:cs="Times New Roman"/>
          <w:noProof/>
          <w:szCs w:val="24"/>
        </w:rPr>
      </w:pPr>
      <w:r>
        <w:rPr>
          <w:rFonts w:eastAsia="Calibri" w:cs="Times New Roman"/>
          <w:noProof/>
          <w:szCs w:val="24"/>
        </w:rPr>
        <w:t xml:space="preserve">2. Stricter traceability obligations. </w:t>
      </w:r>
      <w:r w:rsidR="00DE7202">
        <w:rPr>
          <w:rFonts w:eastAsia="Calibri" w:cs="Times New Roman"/>
          <w:noProof/>
          <w:szCs w:val="24"/>
        </w:rPr>
        <w:t>The proposed due diligence system</w:t>
      </w:r>
      <w:r w:rsidR="00363966">
        <w:rPr>
          <w:rFonts w:eastAsia="Calibri" w:cs="Times New Roman"/>
          <w:noProof/>
          <w:szCs w:val="24"/>
        </w:rPr>
        <w:t xml:space="preserve"> of options 1 to 4 will require operators to ascertain </w:t>
      </w:r>
      <w:r w:rsidR="005411D3">
        <w:rPr>
          <w:rFonts w:eastAsia="Calibri" w:cs="Times New Roman"/>
          <w:noProof/>
          <w:szCs w:val="24"/>
        </w:rPr>
        <w:t xml:space="preserve">relevant information on the country and </w:t>
      </w:r>
      <w:r w:rsidR="00363966">
        <w:rPr>
          <w:rFonts w:eastAsia="Calibri" w:cs="Times New Roman"/>
          <w:noProof/>
          <w:szCs w:val="24"/>
        </w:rPr>
        <w:t>area of production of the commodities or products they intend to place on the EU market.</w:t>
      </w:r>
      <w:r w:rsidR="003538AF">
        <w:rPr>
          <w:rFonts w:eastAsia="Calibri" w:cs="Times New Roman"/>
          <w:noProof/>
          <w:szCs w:val="24"/>
        </w:rPr>
        <w:t xml:space="preserve"> There is broad consensus that </w:t>
      </w:r>
      <w:r w:rsidR="005411D3">
        <w:rPr>
          <w:rFonts w:eastAsia="Calibri" w:cs="Times New Roman"/>
          <w:noProof/>
          <w:szCs w:val="24"/>
        </w:rPr>
        <w:t>good</w:t>
      </w:r>
      <w:r w:rsidR="003538AF">
        <w:rPr>
          <w:rFonts w:eastAsia="Calibri" w:cs="Times New Roman"/>
          <w:noProof/>
          <w:szCs w:val="24"/>
        </w:rPr>
        <w:t xml:space="preserve"> traceability is needed to unleash the </w:t>
      </w:r>
      <w:r w:rsidR="00AB11DD">
        <w:rPr>
          <w:rFonts w:eastAsia="Calibri" w:cs="Times New Roman"/>
          <w:noProof/>
          <w:szCs w:val="24"/>
        </w:rPr>
        <w:t xml:space="preserve">full </w:t>
      </w:r>
      <w:r w:rsidR="003538AF">
        <w:rPr>
          <w:rFonts w:eastAsia="Calibri" w:cs="Times New Roman"/>
          <w:noProof/>
          <w:szCs w:val="24"/>
        </w:rPr>
        <w:t xml:space="preserve">potential of remote monitoring. </w:t>
      </w:r>
      <w:r w:rsidR="00E97A10">
        <w:rPr>
          <w:rFonts w:eastAsia="Calibri" w:cs="Times New Roman"/>
          <w:noProof/>
          <w:szCs w:val="24"/>
        </w:rPr>
        <w:t>It is to be noted that s</w:t>
      </w:r>
      <w:r w:rsidR="003538AF">
        <w:rPr>
          <w:rFonts w:eastAsia="Calibri" w:cs="Times New Roman"/>
          <w:noProof/>
          <w:szCs w:val="24"/>
        </w:rPr>
        <w:t xml:space="preserve">ome of the commodities in the scope (like beef) are already covered by </w:t>
      </w:r>
      <w:r w:rsidR="000B1569">
        <w:rPr>
          <w:rFonts w:eastAsia="Calibri" w:cs="Times New Roman"/>
          <w:noProof/>
          <w:szCs w:val="24"/>
        </w:rPr>
        <w:t>some</w:t>
      </w:r>
      <w:r w:rsidR="003538AF">
        <w:rPr>
          <w:rFonts w:eastAsia="Calibri" w:cs="Times New Roman"/>
          <w:noProof/>
          <w:szCs w:val="24"/>
        </w:rPr>
        <w:t xml:space="preserve"> traceability obligations due to food safety </w:t>
      </w:r>
      <w:r w:rsidR="00825280">
        <w:rPr>
          <w:rFonts w:eastAsia="Calibri" w:cs="Times New Roman"/>
          <w:noProof/>
          <w:szCs w:val="24"/>
        </w:rPr>
        <w:t>rules</w:t>
      </w:r>
      <w:r w:rsidR="003538AF">
        <w:rPr>
          <w:rFonts w:eastAsia="Calibri" w:cs="Times New Roman"/>
          <w:noProof/>
          <w:szCs w:val="24"/>
        </w:rPr>
        <w:t>.</w:t>
      </w:r>
    </w:p>
    <w:p w14:paraId="2B71C131" w14:textId="2FB05B1B" w:rsidR="008F2E17" w:rsidRDefault="008F2E17" w:rsidP="00C139FC">
      <w:pPr>
        <w:jc w:val="both"/>
        <w:rPr>
          <w:rFonts w:eastAsia="Calibri" w:cs="Times New Roman"/>
          <w:noProof/>
          <w:szCs w:val="24"/>
        </w:rPr>
      </w:pPr>
      <w:r>
        <w:rPr>
          <w:rFonts w:eastAsia="Calibri" w:cs="Times New Roman"/>
          <w:noProof/>
          <w:szCs w:val="24"/>
        </w:rPr>
        <w:t xml:space="preserve">3. </w:t>
      </w:r>
      <w:r w:rsidR="003538AF">
        <w:rPr>
          <w:rFonts w:eastAsia="Calibri" w:cs="Times New Roman"/>
          <w:noProof/>
          <w:szCs w:val="24"/>
        </w:rPr>
        <w:t xml:space="preserve">A formal declaration of conformity with the regulation. Operators will need to present </w:t>
      </w:r>
      <w:r w:rsidR="0029388B">
        <w:rPr>
          <w:rFonts w:eastAsia="Calibri" w:cs="Times New Roman"/>
          <w:noProof/>
          <w:szCs w:val="24"/>
        </w:rPr>
        <w:t>to the authorities</w:t>
      </w:r>
      <w:r w:rsidR="003538AF">
        <w:rPr>
          <w:rFonts w:eastAsia="Calibri" w:cs="Times New Roman"/>
          <w:noProof/>
          <w:szCs w:val="24"/>
        </w:rPr>
        <w:t xml:space="preserve"> a self-declaration before placing relevant commodities or products </w:t>
      </w:r>
      <w:r w:rsidR="00E97A10">
        <w:rPr>
          <w:rFonts w:eastAsia="Calibri" w:cs="Times New Roman"/>
          <w:noProof/>
          <w:szCs w:val="24"/>
        </w:rPr>
        <w:t xml:space="preserve">on the EU market. </w:t>
      </w:r>
      <w:r w:rsidR="00E97A10" w:rsidRPr="00E97A10">
        <w:rPr>
          <w:rFonts w:eastAsia="Calibri" w:cs="Times New Roman"/>
          <w:noProof/>
          <w:szCs w:val="24"/>
        </w:rPr>
        <w:t xml:space="preserve">This </w:t>
      </w:r>
      <w:r w:rsidR="00E97A10">
        <w:rPr>
          <w:rFonts w:eastAsia="Calibri" w:cs="Times New Roman"/>
          <w:noProof/>
          <w:szCs w:val="24"/>
        </w:rPr>
        <w:t>is expected to facilitate the work of the member state</w:t>
      </w:r>
      <w:r w:rsidR="00780D87">
        <w:rPr>
          <w:rFonts w:eastAsia="Calibri" w:cs="Times New Roman"/>
          <w:noProof/>
          <w:szCs w:val="24"/>
        </w:rPr>
        <w:t>s</w:t>
      </w:r>
      <w:r w:rsidR="00E97A10">
        <w:rPr>
          <w:rFonts w:eastAsia="Calibri" w:cs="Times New Roman"/>
          <w:noProof/>
          <w:szCs w:val="24"/>
        </w:rPr>
        <w:t xml:space="preserve"> authorities in</w:t>
      </w:r>
      <w:r w:rsidR="00E97A10" w:rsidRPr="00E97A10">
        <w:rPr>
          <w:rFonts w:eastAsia="Calibri" w:cs="Times New Roman"/>
          <w:noProof/>
          <w:szCs w:val="24"/>
        </w:rPr>
        <w:t xml:space="preserve"> </w:t>
      </w:r>
      <w:r w:rsidR="00E97A10">
        <w:rPr>
          <w:rFonts w:eastAsia="Calibri" w:cs="Times New Roman"/>
          <w:noProof/>
          <w:szCs w:val="24"/>
        </w:rPr>
        <w:t>identifying</w:t>
      </w:r>
      <w:r w:rsidR="00E97A10" w:rsidRPr="00E97A10">
        <w:rPr>
          <w:rFonts w:eastAsia="Calibri" w:cs="Times New Roman"/>
          <w:noProof/>
          <w:szCs w:val="24"/>
        </w:rPr>
        <w:t xml:space="preserve"> operators and</w:t>
      </w:r>
      <w:r w:rsidR="00E97A10">
        <w:rPr>
          <w:rFonts w:eastAsia="Calibri" w:cs="Times New Roman"/>
          <w:noProof/>
          <w:szCs w:val="24"/>
        </w:rPr>
        <w:t>,</w:t>
      </w:r>
      <w:r w:rsidR="00E97A10" w:rsidRPr="00E97A10">
        <w:rPr>
          <w:rFonts w:eastAsia="Calibri" w:cs="Times New Roman"/>
          <w:noProof/>
          <w:szCs w:val="24"/>
        </w:rPr>
        <w:t xml:space="preserve"> in cases of non-compliance, </w:t>
      </w:r>
      <w:r w:rsidR="00E97A10">
        <w:rPr>
          <w:rFonts w:eastAsia="Calibri" w:cs="Times New Roman"/>
          <w:noProof/>
          <w:szCs w:val="24"/>
        </w:rPr>
        <w:t xml:space="preserve">in </w:t>
      </w:r>
      <w:r w:rsidR="00E97A10" w:rsidRPr="00E97A10">
        <w:rPr>
          <w:rFonts w:eastAsia="Calibri" w:cs="Times New Roman"/>
          <w:noProof/>
          <w:szCs w:val="24"/>
        </w:rPr>
        <w:t>building solid court cases.</w:t>
      </w:r>
    </w:p>
    <w:p w14:paraId="78B91BA2" w14:textId="3D1862DB" w:rsidR="00E97A10" w:rsidRDefault="00E97A10" w:rsidP="00C139FC">
      <w:pPr>
        <w:jc w:val="both"/>
        <w:rPr>
          <w:rFonts w:eastAsia="Calibri" w:cs="Times New Roman"/>
          <w:noProof/>
          <w:szCs w:val="24"/>
        </w:rPr>
      </w:pPr>
      <w:r>
        <w:rPr>
          <w:rFonts w:eastAsia="Calibri" w:cs="Times New Roman"/>
          <w:noProof/>
          <w:szCs w:val="24"/>
        </w:rPr>
        <w:t xml:space="preserve">4. </w:t>
      </w:r>
      <w:r w:rsidR="00F63607">
        <w:rPr>
          <w:rFonts w:eastAsia="Calibri" w:cs="Times New Roman"/>
          <w:noProof/>
          <w:szCs w:val="24"/>
        </w:rPr>
        <w:t xml:space="preserve">Increased cooperation </w:t>
      </w:r>
      <w:r w:rsidR="00292697">
        <w:rPr>
          <w:rFonts w:eastAsia="Calibri" w:cs="Times New Roman"/>
          <w:noProof/>
          <w:szCs w:val="24"/>
        </w:rPr>
        <w:t xml:space="preserve">between Competent Authorities and </w:t>
      </w:r>
      <w:r>
        <w:rPr>
          <w:rFonts w:eastAsia="Calibri" w:cs="Times New Roman"/>
          <w:noProof/>
          <w:szCs w:val="24"/>
        </w:rPr>
        <w:t>customs</w:t>
      </w:r>
      <w:r w:rsidR="00F63607">
        <w:rPr>
          <w:rFonts w:eastAsia="Calibri" w:cs="Times New Roman"/>
          <w:noProof/>
          <w:szCs w:val="24"/>
        </w:rPr>
        <w:t xml:space="preserve">. In the case of commodities and products imported into the EU, custom authorities will receive the self-declaration. Custom authorities will </w:t>
      </w:r>
      <w:r w:rsidR="00E33F13">
        <w:rPr>
          <w:rFonts w:eastAsia="Calibri" w:cs="Times New Roman"/>
          <w:noProof/>
          <w:szCs w:val="24"/>
        </w:rPr>
        <w:t xml:space="preserve">also </w:t>
      </w:r>
      <w:r w:rsidR="00F63607">
        <w:rPr>
          <w:rFonts w:eastAsia="Calibri" w:cs="Times New Roman"/>
          <w:noProof/>
          <w:szCs w:val="24"/>
        </w:rPr>
        <w:t xml:space="preserve">need to share information with other relevant authorities in the </w:t>
      </w:r>
      <w:r w:rsidR="00BC1B57">
        <w:rPr>
          <w:rFonts w:eastAsia="Calibri" w:cs="Times New Roman"/>
          <w:noProof/>
          <w:szCs w:val="24"/>
        </w:rPr>
        <w:t>M</w:t>
      </w:r>
      <w:r w:rsidR="00F63607">
        <w:rPr>
          <w:rFonts w:eastAsia="Calibri" w:cs="Times New Roman"/>
          <w:noProof/>
          <w:szCs w:val="24"/>
        </w:rPr>
        <w:t xml:space="preserve">ember </w:t>
      </w:r>
      <w:r w:rsidR="00BC1B57">
        <w:rPr>
          <w:rFonts w:eastAsia="Calibri" w:cs="Times New Roman"/>
          <w:noProof/>
          <w:szCs w:val="24"/>
        </w:rPr>
        <w:t>S</w:t>
      </w:r>
      <w:r w:rsidR="00F63607">
        <w:rPr>
          <w:rFonts w:eastAsia="Calibri" w:cs="Times New Roman"/>
          <w:noProof/>
          <w:szCs w:val="24"/>
        </w:rPr>
        <w:t>tates directly in charge of enforcing the regulation</w:t>
      </w:r>
      <w:r w:rsidR="00292697">
        <w:rPr>
          <w:rFonts w:eastAsia="Calibri" w:cs="Times New Roman"/>
          <w:noProof/>
          <w:szCs w:val="24"/>
        </w:rPr>
        <w:t xml:space="preserve">. This will address one of the shortcomings identified in the implementation of the EUTR. </w:t>
      </w:r>
    </w:p>
    <w:p w14:paraId="602332FD" w14:textId="5D007705" w:rsidR="00065811" w:rsidRDefault="005411D3" w:rsidP="00C139FC">
      <w:pPr>
        <w:jc w:val="both"/>
        <w:rPr>
          <w:rFonts w:eastAsia="Calibri" w:cs="Times New Roman"/>
          <w:noProof/>
          <w:szCs w:val="24"/>
        </w:rPr>
      </w:pPr>
      <w:r>
        <w:rPr>
          <w:rFonts w:eastAsia="Calibri" w:cs="Times New Roman"/>
          <w:noProof/>
          <w:szCs w:val="24"/>
        </w:rPr>
        <w:t>5</w:t>
      </w:r>
      <w:r w:rsidR="00E33F13">
        <w:rPr>
          <w:rFonts w:eastAsia="Calibri" w:cs="Times New Roman"/>
          <w:noProof/>
          <w:szCs w:val="24"/>
        </w:rPr>
        <w:t xml:space="preserve">. </w:t>
      </w:r>
      <w:r w:rsidR="00BC1B57">
        <w:rPr>
          <w:rFonts w:eastAsia="Calibri" w:cs="Times New Roman"/>
          <w:noProof/>
          <w:szCs w:val="24"/>
        </w:rPr>
        <w:t xml:space="preserve">A reinforced </w:t>
      </w:r>
      <w:r w:rsidR="00292697">
        <w:rPr>
          <w:rFonts w:eastAsia="Calibri" w:cs="Times New Roman"/>
          <w:noProof/>
          <w:szCs w:val="24"/>
        </w:rPr>
        <w:t>s</w:t>
      </w:r>
      <w:r w:rsidR="00E33F13">
        <w:rPr>
          <w:rFonts w:eastAsia="Calibri" w:cs="Times New Roman"/>
          <w:noProof/>
          <w:szCs w:val="24"/>
        </w:rPr>
        <w:t xml:space="preserve">ubstantiated concerns mechanism. </w:t>
      </w:r>
      <w:r w:rsidR="00292697">
        <w:rPr>
          <w:rFonts w:eastAsia="Calibri" w:cs="Times New Roman"/>
          <w:noProof/>
          <w:szCs w:val="24"/>
        </w:rPr>
        <w:t>Like in the EUTR, n</w:t>
      </w:r>
      <w:r w:rsidR="00E33F13" w:rsidRPr="00E33F13">
        <w:rPr>
          <w:rFonts w:eastAsia="Calibri" w:cs="Times New Roman"/>
          <w:noProof/>
          <w:szCs w:val="24"/>
        </w:rPr>
        <w:t xml:space="preserve">atural or legal persons </w:t>
      </w:r>
      <w:r w:rsidR="00E33F13">
        <w:rPr>
          <w:rFonts w:eastAsia="Calibri" w:cs="Times New Roman"/>
          <w:noProof/>
          <w:szCs w:val="24"/>
        </w:rPr>
        <w:t xml:space="preserve">will be </w:t>
      </w:r>
      <w:r w:rsidR="00E33F13" w:rsidRPr="00E33F13">
        <w:rPr>
          <w:rFonts w:eastAsia="Calibri" w:cs="Times New Roman"/>
          <w:noProof/>
          <w:szCs w:val="24"/>
        </w:rPr>
        <w:t xml:space="preserve">entitled to submit substantiated concerns to </w:t>
      </w:r>
      <w:r w:rsidR="00292697">
        <w:rPr>
          <w:rFonts w:eastAsia="Calibri" w:cs="Times New Roman"/>
          <w:noProof/>
          <w:szCs w:val="24"/>
        </w:rPr>
        <w:t xml:space="preserve">Competent </w:t>
      </w:r>
      <w:r w:rsidR="00E33F13">
        <w:rPr>
          <w:rFonts w:eastAsia="Calibri" w:cs="Times New Roman"/>
          <w:noProof/>
          <w:szCs w:val="24"/>
        </w:rPr>
        <w:t xml:space="preserve"> </w:t>
      </w:r>
      <w:r w:rsidR="00292697">
        <w:rPr>
          <w:rFonts w:eastAsia="Calibri" w:cs="Times New Roman"/>
          <w:noProof/>
          <w:szCs w:val="24"/>
        </w:rPr>
        <w:t>A</w:t>
      </w:r>
      <w:r w:rsidR="00E33F13">
        <w:rPr>
          <w:rFonts w:eastAsia="Calibri" w:cs="Times New Roman"/>
          <w:noProof/>
          <w:szCs w:val="24"/>
        </w:rPr>
        <w:t xml:space="preserve">uthorities </w:t>
      </w:r>
      <w:r w:rsidR="00E33F13" w:rsidRPr="00E33F13">
        <w:rPr>
          <w:rFonts w:eastAsia="Calibri" w:cs="Times New Roman"/>
          <w:noProof/>
          <w:szCs w:val="24"/>
        </w:rPr>
        <w:t>when they deem</w:t>
      </w:r>
      <w:r w:rsidR="00E33F13">
        <w:rPr>
          <w:rFonts w:eastAsia="Calibri" w:cs="Times New Roman"/>
          <w:noProof/>
          <w:szCs w:val="24"/>
        </w:rPr>
        <w:t xml:space="preserve"> that one or more operators</w:t>
      </w:r>
      <w:r w:rsidR="00E33F13" w:rsidRPr="00E33F13">
        <w:rPr>
          <w:rFonts w:eastAsia="Calibri" w:cs="Times New Roman"/>
          <w:noProof/>
          <w:szCs w:val="24"/>
        </w:rPr>
        <w:t xml:space="preserve"> </w:t>
      </w:r>
      <w:r w:rsidR="00E33F13">
        <w:rPr>
          <w:rFonts w:eastAsia="Calibri" w:cs="Times New Roman"/>
          <w:noProof/>
          <w:szCs w:val="24"/>
        </w:rPr>
        <w:t>are breaching the regulation</w:t>
      </w:r>
      <w:r w:rsidR="00E33F13" w:rsidRPr="00E33F13">
        <w:rPr>
          <w:rFonts w:eastAsia="Calibri" w:cs="Times New Roman"/>
          <w:noProof/>
          <w:szCs w:val="24"/>
        </w:rPr>
        <w:t>.</w:t>
      </w:r>
      <w:r w:rsidR="00E33F13">
        <w:rPr>
          <w:rFonts w:eastAsia="Calibri" w:cs="Times New Roman"/>
          <w:noProof/>
          <w:szCs w:val="24"/>
        </w:rPr>
        <w:t xml:space="preserve"> </w:t>
      </w:r>
      <w:r w:rsidR="00292697">
        <w:rPr>
          <w:rFonts w:eastAsia="Calibri" w:cs="Times New Roman"/>
          <w:noProof/>
          <w:szCs w:val="24"/>
        </w:rPr>
        <w:t>Competent Authorities</w:t>
      </w:r>
      <w:r w:rsidR="00E33F13">
        <w:rPr>
          <w:rFonts w:eastAsia="Calibri" w:cs="Times New Roman"/>
          <w:noProof/>
          <w:szCs w:val="24"/>
        </w:rPr>
        <w:t xml:space="preserve"> will </w:t>
      </w:r>
      <w:r w:rsidR="00292697">
        <w:rPr>
          <w:rFonts w:eastAsia="Calibri" w:cs="Times New Roman"/>
          <w:noProof/>
          <w:szCs w:val="24"/>
        </w:rPr>
        <w:t xml:space="preserve">take necessary steps to detect possible breaches, including inspections or and hearing of operators, </w:t>
      </w:r>
      <w:r w:rsidR="00E33F13">
        <w:rPr>
          <w:rFonts w:eastAsia="Calibri" w:cs="Times New Roman"/>
          <w:noProof/>
          <w:szCs w:val="24"/>
        </w:rPr>
        <w:t>or otherwise justify</w:t>
      </w:r>
      <w:r w:rsidR="00065811">
        <w:rPr>
          <w:rFonts w:eastAsia="Calibri" w:cs="Times New Roman"/>
          <w:noProof/>
          <w:szCs w:val="24"/>
        </w:rPr>
        <w:t xml:space="preserve"> their decision</w:t>
      </w:r>
      <w:r w:rsidR="00292697" w:rsidRPr="00292697">
        <w:rPr>
          <w:rFonts w:eastAsia="Calibri" w:cs="Times New Roman"/>
          <w:noProof/>
          <w:szCs w:val="24"/>
        </w:rPr>
        <w:t xml:space="preserve"> </w:t>
      </w:r>
      <w:r w:rsidR="00292697">
        <w:rPr>
          <w:rFonts w:eastAsia="Calibri" w:cs="Times New Roman"/>
          <w:noProof/>
          <w:szCs w:val="24"/>
        </w:rPr>
        <w:t>not to take action</w:t>
      </w:r>
      <w:r w:rsidR="00065811">
        <w:rPr>
          <w:rFonts w:eastAsia="Calibri" w:cs="Times New Roman"/>
          <w:noProof/>
          <w:szCs w:val="24"/>
        </w:rPr>
        <w:t>. This mechanism was</w:t>
      </w:r>
      <w:r w:rsidR="00E33F13">
        <w:rPr>
          <w:rFonts w:eastAsia="Calibri" w:cs="Times New Roman"/>
          <w:noProof/>
          <w:szCs w:val="24"/>
        </w:rPr>
        <w:t xml:space="preserve"> widely demanded by NGOs</w:t>
      </w:r>
      <w:r w:rsidR="0029388B">
        <w:rPr>
          <w:rFonts w:eastAsia="Calibri" w:cs="Times New Roman"/>
          <w:noProof/>
          <w:szCs w:val="24"/>
        </w:rPr>
        <w:t xml:space="preserve"> in the OPC</w:t>
      </w:r>
      <w:r w:rsidR="00065811">
        <w:rPr>
          <w:rFonts w:eastAsia="Calibri" w:cs="Times New Roman"/>
          <w:noProof/>
          <w:szCs w:val="24"/>
        </w:rPr>
        <w:t>.</w:t>
      </w:r>
    </w:p>
    <w:p w14:paraId="5ADC82FA" w14:textId="04894BE9" w:rsidR="00F63607" w:rsidRDefault="00065811" w:rsidP="00C139FC">
      <w:pPr>
        <w:jc w:val="both"/>
        <w:rPr>
          <w:rFonts w:eastAsia="Calibri" w:cs="Times New Roman"/>
          <w:noProof/>
          <w:szCs w:val="24"/>
        </w:rPr>
      </w:pPr>
      <w:r>
        <w:rPr>
          <w:rFonts w:eastAsia="Calibri" w:cs="Times New Roman"/>
          <w:noProof/>
          <w:szCs w:val="24"/>
        </w:rPr>
        <w:t>6</w:t>
      </w:r>
      <w:r w:rsidR="00F63607">
        <w:rPr>
          <w:rFonts w:eastAsia="Calibri" w:cs="Times New Roman"/>
          <w:noProof/>
          <w:szCs w:val="24"/>
        </w:rPr>
        <w:t xml:space="preserve">. Minimum inspection levels. Member </w:t>
      </w:r>
      <w:r w:rsidR="00D23C1A">
        <w:rPr>
          <w:rFonts w:eastAsia="Calibri" w:cs="Times New Roman"/>
          <w:noProof/>
          <w:szCs w:val="24"/>
        </w:rPr>
        <w:t>S</w:t>
      </w:r>
      <w:r w:rsidR="00F63607">
        <w:rPr>
          <w:rFonts w:eastAsia="Calibri" w:cs="Times New Roman"/>
          <w:noProof/>
          <w:szCs w:val="24"/>
        </w:rPr>
        <w:t xml:space="preserve">tates will be </w:t>
      </w:r>
      <w:r w:rsidR="003E138A">
        <w:rPr>
          <w:rFonts w:eastAsia="Calibri" w:cs="Times New Roman"/>
          <w:noProof/>
          <w:szCs w:val="24"/>
        </w:rPr>
        <w:t>expected</w:t>
      </w:r>
      <w:r w:rsidR="00F63607">
        <w:rPr>
          <w:rFonts w:eastAsia="Calibri" w:cs="Times New Roman"/>
          <w:noProof/>
          <w:szCs w:val="24"/>
        </w:rPr>
        <w:t xml:space="preserve"> to conduct inspections covering a relevant share of the commodities and products placed on the EU market, which was not the case under the EUTR. In option 2 (see section 5.3.2), the inspections could target </w:t>
      </w:r>
      <w:r w:rsidR="00DC3203">
        <w:rPr>
          <w:rFonts w:eastAsia="Calibri" w:cs="Times New Roman"/>
          <w:noProof/>
          <w:szCs w:val="24"/>
        </w:rPr>
        <w:t>companies that trade with</w:t>
      </w:r>
      <w:r w:rsidR="00F63607">
        <w:rPr>
          <w:rFonts w:eastAsia="Calibri" w:cs="Times New Roman"/>
          <w:noProof/>
          <w:szCs w:val="24"/>
        </w:rPr>
        <w:t xml:space="preserve"> commodities produced in countries</w:t>
      </w:r>
      <w:r w:rsidR="00DC3203">
        <w:rPr>
          <w:rFonts w:eastAsia="Calibri" w:cs="Times New Roman"/>
          <w:noProof/>
          <w:szCs w:val="24"/>
        </w:rPr>
        <w:t xml:space="preserve"> with higher risk of deforestation</w:t>
      </w:r>
      <w:r w:rsidR="00F63607">
        <w:rPr>
          <w:rFonts w:eastAsia="Calibri" w:cs="Times New Roman"/>
          <w:noProof/>
          <w:szCs w:val="24"/>
        </w:rPr>
        <w:t>.</w:t>
      </w:r>
    </w:p>
    <w:p w14:paraId="551E87B8" w14:textId="77D85A27" w:rsidR="000A77BF" w:rsidRDefault="000A77BF" w:rsidP="00D5506F">
      <w:pPr>
        <w:jc w:val="both"/>
        <w:rPr>
          <w:rFonts w:eastAsia="Calibri" w:cs="Times New Roman"/>
          <w:noProof/>
          <w:szCs w:val="24"/>
        </w:rPr>
      </w:pPr>
      <w:r w:rsidRPr="000A77BF">
        <w:rPr>
          <w:rFonts w:eastAsia="Calibri" w:cs="Times New Roman"/>
          <w:noProof/>
          <w:szCs w:val="24"/>
        </w:rPr>
        <w:t>Certification (or verification) schemes may, in some cases, contribute to achieving compliance wit</w:t>
      </w:r>
      <w:r w:rsidR="00ED5B04">
        <w:rPr>
          <w:rFonts w:eastAsia="Calibri" w:cs="Times New Roman"/>
          <w:noProof/>
          <w:szCs w:val="24"/>
        </w:rPr>
        <w:t>h the due diligence requirement</w:t>
      </w:r>
      <w:r w:rsidR="00ED5B04" w:rsidRPr="000A77BF">
        <w:rPr>
          <w:rFonts w:eastAsia="Calibri" w:cs="Times New Roman"/>
          <w:noProof/>
          <w:szCs w:val="24"/>
        </w:rPr>
        <w:t>,</w:t>
      </w:r>
      <w:r w:rsidRPr="000A77BF">
        <w:rPr>
          <w:rFonts w:eastAsia="Calibri" w:cs="Times New Roman"/>
          <w:noProof/>
          <w:szCs w:val="24"/>
        </w:rPr>
        <w:t xml:space="preserve"> however the use of certification does not automatically imply compliance with due diligence obligations. There is abundant literature on certification schemes shortcomings in terms of governance, transparency, clarity of standards, reliabil</w:t>
      </w:r>
      <w:r w:rsidR="00926F83">
        <w:rPr>
          <w:rFonts w:eastAsia="Calibri" w:cs="Times New Roman"/>
          <w:noProof/>
          <w:szCs w:val="24"/>
        </w:rPr>
        <w:t>ity of monitoring systems, etc. (see more in section 5.4).</w:t>
      </w:r>
    </w:p>
    <w:p w14:paraId="79F3C3BB" w14:textId="77777777" w:rsidR="000A77BF" w:rsidRDefault="000A77BF" w:rsidP="00D5506F">
      <w:pPr>
        <w:jc w:val="both"/>
        <w:rPr>
          <w:rFonts w:eastAsia="Calibri" w:cs="Times New Roman"/>
          <w:noProof/>
          <w:szCs w:val="24"/>
        </w:rPr>
      </w:pPr>
      <w:r w:rsidRPr="000A77BF">
        <w:rPr>
          <w:rFonts w:eastAsia="Calibri" w:cs="Times New Roman"/>
          <w:noProof/>
          <w:szCs w:val="24"/>
        </w:rPr>
        <w:t>The consensus is that these schemes on their own have not been able to provide the changes needed to prevent deforestation. This is the position defended by the European Parliament and by most NGOs, whereas businesses in general advocate for a more prominent role of certification, including a way for companies to use these systems as proof of compliance with binding EU rules.</w:t>
      </w:r>
    </w:p>
    <w:p w14:paraId="397D111A" w14:textId="753AA463" w:rsidR="00760D6B" w:rsidRDefault="000A77BF" w:rsidP="00C139FC">
      <w:pPr>
        <w:jc w:val="both"/>
        <w:rPr>
          <w:rFonts w:eastAsia="Calibri" w:cs="Times New Roman"/>
          <w:noProof/>
          <w:szCs w:val="24"/>
        </w:rPr>
      </w:pPr>
      <w:r w:rsidRPr="000A77BF">
        <w:rPr>
          <w:rFonts w:eastAsia="Calibri" w:cs="Times New Roman"/>
          <w:noProof/>
          <w:szCs w:val="24"/>
        </w:rPr>
        <w:t>Maintaining operators’ responsibility for correctly implementing due diligence obligations when they use certification aims at ensuring that authorities remain empowered to monitor and sanction incompliant behaviour, as the reliability of those systems has repeatedly been challenged by evidence on the ground.</w:t>
      </w:r>
    </w:p>
    <w:p w14:paraId="59E817CF" w14:textId="4B7992D1" w:rsidR="00E44E68" w:rsidRPr="007C1494" w:rsidRDefault="00335526" w:rsidP="00335526">
      <w:pPr>
        <w:pStyle w:val="Heading3"/>
        <w:rPr>
          <w:noProof/>
        </w:rPr>
      </w:pPr>
      <w:bookmarkStart w:id="117" w:name="_Toc67074993"/>
      <w:bookmarkStart w:id="118" w:name="_Toc75542188"/>
      <w:bookmarkStart w:id="119" w:name="_Toc75543221"/>
      <w:bookmarkStart w:id="120" w:name="_Toc84591909"/>
      <w:r w:rsidRPr="00335526">
        <w:t>5.3.2</w:t>
      </w:r>
      <w:r w:rsidRPr="00335526">
        <w:tab/>
      </w:r>
      <w:r w:rsidR="00E44E68" w:rsidRPr="00B02CBC">
        <w:rPr>
          <w:noProof/>
        </w:rPr>
        <w:t>Policy option 2: A benchmarking</w:t>
      </w:r>
      <w:bookmarkEnd w:id="117"/>
      <w:r w:rsidR="00E44E68" w:rsidRPr="00B02CBC">
        <w:rPr>
          <w:noProof/>
        </w:rPr>
        <w:t xml:space="preserve"> system and a list of contravening operators </w:t>
      </w:r>
      <w:r w:rsidR="00DF06F5" w:rsidRPr="007C1494">
        <w:rPr>
          <w:noProof/>
        </w:rPr>
        <w:t>as a basis for a</w:t>
      </w:r>
      <w:r w:rsidR="00E44E68" w:rsidRPr="007C1494">
        <w:rPr>
          <w:noProof/>
        </w:rPr>
        <w:t xml:space="preserve"> tiered </w:t>
      </w:r>
      <w:r w:rsidR="003C1217" w:rsidRPr="007C1494">
        <w:rPr>
          <w:noProof/>
        </w:rPr>
        <w:t xml:space="preserve">improved </w:t>
      </w:r>
      <w:r w:rsidR="00E44E68" w:rsidRPr="007C1494">
        <w:rPr>
          <w:noProof/>
        </w:rPr>
        <w:t>mandatory due diligence system</w:t>
      </w:r>
      <w:r w:rsidR="003C1217" w:rsidRPr="007C1494">
        <w:rPr>
          <w:noProof/>
        </w:rPr>
        <w:t>, relying on a deforestation free definition</w:t>
      </w:r>
      <w:bookmarkEnd w:id="118"/>
      <w:bookmarkEnd w:id="119"/>
      <w:bookmarkEnd w:id="120"/>
    </w:p>
    <w:p w14:paraId="2595D54F" w14:textId="77777777" w:rsidR="00B115FF" w:rsidRDefault="00B115FF" w:rsidP="00E44E68">
      <w:pPr>
        <w:jc w:val="both"/>
        <w:rPr>
          <w:rFonts w:eastAsia="Calibri" w:cs="Times New Roman"/>
          <w:noProof/>
          <w:szCs w:val="24"/>
        </w:rPr>
      </w:pPr>
    </w:p>
    <w:p w14:paraId="7452D32E" w14:textId="561D9C6A" w:rsidR="00B115FF" w:rsidRDefault="00AB11DD" w:rsidP="00E44E68">
      <w:pPr>
        <w:jc w:val="both"/>
        <w:rPr>
          <w:rFonts w:eastAsia="Calibri" w:cs="Times New Roman"/>
          <w:noProof/>
          <w:szCs w:val="24"/>
        </w:rPr>
      </w:pPr>
      <w:r>
        <w:rPr>
          <w:rFonts w:eastAsia="Calibri" w:cs="Times New Roman"/>
          <w:noProof/>
          <w:szCs w:val="24"/>
        </w:rPr>
        <w:t>Policy option 2 build</w:t>
      </w:r>
      <w:r w:rsidR="00DC712E">
        <w:rPr>
          <w:rFonts w:eastAsia="Calibri" w:cs="Times New Roman"/>
          <w:noProof/>
          <w:szCs w:val="24"/>
        </w:rPr>
        <w:t>s</w:t>
      </w:r>
      <w:r>
        <w:rPr>
          <w:rFonts w:eastAsia="Calibri" w:cs="Times New Roman"/>
          <w:noProof/>
          <w:szCs w:val="24"/>
        </w:rPr>
        <w:t xml:space="preserve"> on the due diligence system laid out in policy option 1. </w:t>
      </w:r>
      <w:r w:rsidR="00DC712E">
        <w:rPr>
          <w:rFonts w:eastAsia="Calibri" w:cs="Times New Roman"/>
          <w:noProof/>
          <w:szCs w:val="24"/>
        </w:rPr>
        <w:t>I</w:t>
      </w:r>
      <w:r>
        <w:rPr>
          <w:rFonts w:eastAsia="Calibri" w:cs="Times New Roman"/>
          <w:noProof/>
          <w:szCs w:val="24"/>
        </w:rPr>
        <w:t>t include</w:t>
      </w:r>
      <w:r w:rsidR="00DC712E">
        <w:rPr>
          <w:rFonts w:eastAsia="Calibri" w:cs="Times New Roman"/>
          <w:noProof/>
          <w:szCs w:val="24"/>
        </w:rPr>
        <w:t>s a country benchmarking system</w:t>
      </w:r>
      <w:r>
        <w:rPr>
          <w:rFonts w:eastAsia="Calibri" w:cs="Times New Roman"/>
          <w:noProof/>
          <w:szCs w:val="24"/>
        </w:rPr>
        <w:t xml:space="preserve"> that will </w:t>
      </w:r>
      <w:r w:rsidR="00AA4790">
        <w:rPr>
          <w:rFonts w:eastAsia="Calibri" w:cs="Times New Roman"/>
          <w:noProof/>
          <w:szCs w:val="24"/>
        </w:rPr>
        <w:t xml:space="preserve">assign a risk level to </w:t>
      </w:r>
      <w:r w:rsidR="00DC712E">
        <w:rPr>
          <w:rFonts w:eastAsia="Calibri" w:cs="Times New Roman"/>
          <w:noProof/>
          <w:szCs w:val="24"/>
        </w:rPr>
        <w:t xml:space="preserve">countries taking into account deforestation and forest degradation linked to relevant commodities. </w:t>
      </w:r>
      <w:r w:rsidR="00E720B9" w:rsidRPr="00760D6B">
        <w:rPr>
          <w:rFonts w:eastAsia="Calibri" w:cs="Times New Roman"/>
          <w:noProof/>
          <w:szCs w:val="24"/>
        </w:rPr>
        <w:t>The</w:t>
      </w:r>
      <w:r w:rsidR="00E720B9">
        <w:rPr>
          <w:rFonts w:eastAsia="Calibri" w:cs="Times New Roman"/>
          <w:noProof/>
          <w:szCs w:val="24"/>
        </w:rPr>
        <w:t>se</w:t>
      </w:r>
      <w:r w:rsidR="00E720B9" w:rsidRPr="00760D6B">
        <w:rPr>
          <w:rFonts w:eastAsia="Calibri" w:cs="Times New Roman"/>
          <w:noProof/>
          <w:szCs w:val="24"/>
        </w:rPr>
        <w:t xml:space="preserve"> assessments would be based on objective</w:t>
      </w:r>
      <w:r w:rsidR="00E720B9">
        <w:rPr>
          <w:rFonts w:eastAsia="Calibri" w:cs="Times New Roman"/>
          <w:noProof/>
          <w:szCs w:val="24"/>
        </w:rPr>
        <w:t>, comparable</w:t>
      </w:r>
      <w:r w:rsidR="00E720B9" w:rsidRPr="00760D6B">
        <w:rPr>
          <w:rFonts w:eastAsia="Calibri" w:cs="Times New Roman"/>
          <w:noProof/>
          <w:szCs w:val="24"/>
        </w:rPr>
        <w:t xml:space="preserve"> and scientific data. </w:t>
      </w:r>
      <w:r w:rsidR="00E720B9">
        <w:rPr>
          <w:rFonts w:eastAsia="Calibri" w:cs="Times New Roman"/>
          <w:noProof/>
          <w:szCs w:val="24"/>
        </w:rPr>
        <w:t>Thresholds based on deforestation rates as a share of the country’s forest area or absolute deforestation figures will be set up to classify countries (both member states and third countries) in three categories of risk: L</w:t>
      </w:r>
      <w:r w:rsidR="00DC712E">
        <w:rPr>
          <w:rFonts w:eastAsia="Calibri" w:cs="Times New Roman"/>
          <w:noProof/>
          <w:szCs w:val="24"/>
        </w:rPr>
        <w:t xml:space="preserve">ow, standard and high risk. </w:t>
      </w:r>
      <w:r w:rsidR="00E720B9">
        <w:rPr>
          <w:rFonts w:eastAsia="Calibri" w:cs="Times New Roman"/>
          <w:noProof/>
          <w:szCs w:val="24"/>
        </w:rPr>
        <w:t xml:space="preserve">The Commission would </w:t>
      </w:r>
      <w:r w:rsidR="00E720B9" w:rsidRPr="00760D6B">
        <w:rPr>
          <w:rFonts w:eastAsia="Calibri" w:cs="Times New Roman"/>
          <w:noProof/>
          <w:szCs w:val="24"/>
        </w:rPr>
        <w:t>make the country risk categorisation publicly available</w:t>
      </w:r>
      <w:r w:rsidR="00E720B9">
        <w:rPr>
          <w:rFonts w:eastAsia="Calibri" w:cs="Times New Roman"/>
          <w:noProof/>
          <w:szCs w:val="24"/>
        </w:rPr>
        <w:t xml:space="preserve"> and update the list </w:t>
      </w:r>
      <w:r w:rsidR="002045B8">
        <w:rPr>
          <w:rFonts w:eastAsia="Calibri" w:cs="Times New Roman"/>
          <w:noProof/>
          <w:szCs w:val="24"/>
        </w:rPr>
        <w:t xml:space="preserve">regularly. </w:t>
      </w:r>
      <w:r w:rsidR="009E5F54">
        <w:rPr>
          <w:rFonts w:eastAsia="Calibri" w:cs="Times New Roman"/>
          <w:noProof/>
          <w:szCs w:val="24"/>
        </w:rPr>
        <w:t xml:space="preserve">Countries will be updated by the Commission of their classification in one or another category. </w:t>
      </w:r>
      <w:r w:rsidR="002045B8">
        <w:rPr>
          <w:rFonts w:eastAsia="Calibri" w:cs="Times New Roman"/>
          <w:noProof/>
          <w:szCs w:val="24"/>
        </w:rPr>
        <w:t>The</w:t>
      </w:r>
      <w:r w:rsidR="00DC712E">
        <w:rPr>
          <w:rFonts w:eastAsia="Calibri" w:cs="Times New Roman"/>
          <w:noProof/>
          <w:szCs w:val="24"/>
        </w:rPr>
        <w:t xml:space="preserve"> obligations for operators and member state</w:t>
      </w:r>
      <w:r w:rsidR="00780D87">
        <w:rPr>
          <w:rFonts w:eastAsia="Calibri" w:cs="Times New Roman"/>
          <w:noProof/>
          <w:szCs w:val="24"/>
        </w:rPr>
        <w:t>s</w:t>
      </w:r>
      <w:r w:rsidR="00DC712E">
        <w:rPr>
          <w:rFonts w:eastAsia="Calibri" w:cs="Times New Roman"/>
          <w:noProof/>
          <w:szCs w:val="24"/>
        </w:rPr>
        <w:t xml:space="preserve"> authorities will be adapted according to the level of risk of the country of production, with simplified due diligence duties for low risk and enhanced scrutiny for high risk. </w:t>
      </w:r>
    </w:p>
    <w:p w14:paraId="37E63CBD" w14:textId="45E4DFA5" w:rsidR="00E44E68" w:rsidRPr="007C1494" w:rsidRDefault="00AA4790" w:rsidP="00E44E68">
      <w:pPr>
        <w:jc w:val="both"/>
        <w:rPr>
          <w:rFonts w:eastAsia="Calibri" w:cs="Times New Roman"/>
          <w:noProof/>
          <w:szCs w:val="24"/>
        </w:rPr>
      </w:pPr>
      <w:r>
        <w:rPr>
          <w:rFonts w:eastAsia="Calibri" w:cs="Times New Roman"/>
          <w:noProof/>
          <w:szCs w:val="24"/>
        </w:rPr>
        <w:t>C</w:t>
      </w:r>
      <w:r w:rsidR="00E720B9">
        <w:rPr>
          <w:rFonts w:eastAsia="Calibri" w:cs="Times New Roman"/>
          <w:noProof/>
          <w:szCs w:val="24"/>
        </w:rPr>
        <w:t xml:space="preserve">ommodities </w:t>
      </w:r>
      <w:r>
        <w:rPr>
          <w:rFonts w:eastAsia="Calibri" w:cs="Times New Roman"/>
          <w:noProof/>
          <w:szCs w:val="24"/>
        </w:rPr>
        <w:t xml:space="preserve">produced </w:t>
      </w:r>
      <w:r w:rsidR="00E720B9">
        <w:rPr>
          <w:rFonts w:eastAsia="Calibri" w:cs="Times New Roman"/>
          <w:noProof/>
          <w:szCs w:val="24"/>
        </w:rPr>
        <w:t xml:space="preserve">in low risk countries would </w:t>
      </w:r>
      <w:r>
        <w:rPr>
          <w:rFonts w:eastAsia="Calibri" w:cs="Times New Roman"/>
          <w:noProof/>
          <w:szCs w:val="24"/>
        </w:rPr>
        <w:t xml:space="preserve">allow operators to apply </w:t>
      </w:r>
      <w:r w:rsidR="00E720B9">
        <w:rPr>
          <w:rFonts w:eastAsia="Calibri" w:cs="Times New Roman"/>
          <w:noProof/>
          <w:szCs w:val="24"/>
        </w:rPr>
        <w:t xml:space="preserve"> simplified due diligence that will consist of </w:t>
      </w:r>
      <w:r w:rsidR="00DC30FC">
        <w:rPr>
          <w:rFonts w:eastAsia="Calibri" w:cs="Times New Roman"/>
          <w:noProof/>
          <w:szCs w:val="24"/>
        </w:rPr>
        <w:t xml:space="preserve">making sure that these products or commodities have been produced in the </w:t>
      </w:r>
      <w:r w:rsidR="002045B8">
        <w:rPr>
          <w:rFonts w:eastAsia="Calibri" w:cs="Times New Roman"/>
          <w:noProof/>
          <w:szCs w:val="24"/>
        </w:rPr>
        <w:t>low-risk country</w:t>
      </w:r>
      <w:r>
        <w:rPr>
          <w:rFonts w:eastAsia="Calibri" w:cs="Times New Roman"/>
          <w:noProof/>
          <w:szCs w:val="24"/>
        </w:rPr>
        <w:t>. R</w:t>
      </w:r>
      <w:r w:rsidR="002045B8">
        <w:rPr>
          <w:rFonts w:eastAsia="Calibri" w:cs="Times New Roman"/>
          <w:noProof/>
          <w:szCs w:val="24"/>
        </w:rPr>
        <w:t xml:space="preserve">isk assessment and risk mitigation obligations </w:t>
      </w:r>
      <w:r>
        <w:rPr>
          <w:rFonts w:eastAsia="Calibri" w:cs="Times New Roman"/>
          <w:noProof/>
          <w:szCs w:val="24"/>
        </w:rPr>
        <w:t xml:space="preserve">would not apply in this case </w:t>
      </w:r>
      <w:r w:rsidR="002045B8">
        <w:rPr>
          <w:rFonts w:eastAsia="Calibri" w:cs="Times New Roman"/>
          <w:noProof/>
          <w:szCs w:val="24"/>
        </w:rPr>
        <w:t xml:space="preserve">. The enhanced scrutiny for commodities stemming from high-risk countries </w:t>
      </w:r>
      <w:r w:rsidR="00B115FF">
        <w:rPr>
          <w:rFonts w:eastAsia="Calibri" w:cs="Times New Roman"/>
          <w:noProof/>
          <w:szCs w:val="24"/>
        </w:rPr>
        <w:t>would</w:t>
      </w:r>
      <w:r w:rsidR="002045B8">
        <w:rPr>
          <w:rFonts w:eastAsia="Calibri" w:cs="Times New Roman"/>
          <w:noProof/>
          <w:szCs w:val="24"/>
        </w:rPr>
        <w:t xml:space="preserve"> </w:t>
      </w:r>
      <w:r>
        <w:rPr>
          <w:rFonts w:eastAsia="Calibri" w:cs="Times New Roman"/>
          <w:noProof/>
          <w:szCs w:val="24"/>
        </w:rPr>
        <w:t xml:space="preserve">include </w:t>
      </w:r>
      <w:r w:rsidR="002045B8">
        <w:rPr>
          <w:rFonts w:eastAsia="Calibri" w:cs="Times New Roman"/>
          <w:noProof/>
          <w:szCs w:val="24"/>
        </w:rPr>
        <w:t>higher minimum inspection rates obligations for member states over those shipments.</w:t>
      </w:r>
    </w:p>
    <w:p w14:paraId="0B353F4D" w14:textId="408CCE35" w:rsidR="009E5F54" w:rsidRDefault="00E720B9" w:rsidP="00841C68">
      <w:pPr>
        <w:spacing w:after="180" w:line="300" w:lineRule="exact"/>
        <w:jc w:val="both"/>
        <w:textAlignment w:val="baseline"/>
        <w:rPr>
          <w:noProof/>
        </w:rPr>
      </w:pPr>
      <w:r>
        <w:rPr>
          <w:rFonts w:eastAsia="Calibri" w:cs="Times New Roman"/>
          <w:noProof/>
          <w:szCs w:val="24"/>
        </w:rPr>
        <w:t xml:space="preserve">In addition, there will be a </w:t>
      </w:r>
      <w:r w:rsidRPr="007C1494">
        <w:rPr>
          <w:rFonts w:eastAsia="Calibri" w:cs="Times New Roman"/>
          <w:noProof/>
          <w:szCs w:val="24"/>
        </w:rPr>
        <w:t>list of contravening operators.</w:t>
      </w:r>
      <w:r w:rsidR="00DC30FC">
        <w:rPr>
          <w:rFonts w:eastAsia="Calibri" w:cs="Times New Roman"/>
          <w:noProof/>
          <w:szCs w:val="24"/>
        </w:rPr>
        <w:t xml:space="preserve"> </w:t>
      </w:r>
      <w:r w:rsidR="00C139FC" w:rsidRPr="007C1494">
        <w:rPr>
          <w:rFonts w:eastAsia="Calibri" w:cs="Times New Roman"/>
          <w:noProof/>
          <w:szCs w:val="24"/>
        </w:rPr>
        <w:t xml:space="preserve">The Commission would publish </w:t>
      </w:r>
      <w:r w:rsidR="00183D7C">
        <w:rPr>
          <w:rFonts w:eastAsia="Calibri" w:cs="Times New Roman"/>
          <w:noProof/>
          <w:szCs w:val="24"/>
        </w:rPr>
        <w:t xml:space="preserve">in the Official Journal of the European Union </w:t>
      </w:r>
      <w:r w:rsidR="00C139FC" w:rsidRPr="007C1494">
        <w:rPr>
          <w:rFonts w:eastAsia="Calibri" w:cs="Times New Roman"/>
          <w:noProof/>
          <w:szCs w:val="24"/>
        </w:rPr>
        <w:t>a list of contravening operators</w:t>
      </w:r>
      <w:r w:rsidR="009B0FEE">
        <w:rPr>
          <w:rFonts w:eastAsia="Calibri" w:cs="Times New Roman"/>
          <w:noProof/>
          <w:szCs w:val="24"/>
        </w:rPr>
        <w:t xml:space="preserve">, conceived as a </w:t>
      </w:r>
      <w:r w:rsidR="009B0FEE" w:rsidRPr="00841C68">
        <w:rPr>
          <w:rFonts w:eastAsia="Calibri" w:cs="Times New Roman"/>
          <w:i/>
          <w:noProof/>
          <w:szCs w:val="24"/>
        </w:rPr>
        <w:t>shame list</w:t>
      </w:r>
      <w:r w:rsidR="009B0FEE">
        <w:rPr>
          <w:rFonts w:eastAsia="Calibri" w:cs="Times New Roman"/>
          <w:noProof/>
          <w:szCs w:val="24"/>
        </w:rPr>
        <w:t xml:space="preserve"> with no legal consequences</w:t>
      </w:r>
      <w:r w:rsidR="00F4604A">
        <w:rPr>
          <w:rFonts w:eastAsia="Calibri" w:cs="Times New Roman"/>
          <w:noProof/>
          <w:szCs w:val="24"/>
        </w:rPr>
        <w:t>.</w:t>
      </w:r>
      <w:r w:rsidR="00183D7C">
        <w:rPr>
          <w:rFonts w:eastAsia="Calibri" w:cs="Times New Roman"/>
          <w:noProof/>
          <w:szCs w:val="24"/>
        </w:rPr>
        <w:t xml:space="preserve"> </w:t>
      </w:r>
      <w:r w:rsidR="00F4604A" w:rsidRPr="00B73893">
        <w:rPr>
          <w:rFonts w:eastAsia="Times New Roman"/>
          <w:noProof/>
          <w:szCs w:val="24"/>
        </w:rPr>
        <w:t xml:space="preserve">An operator or trader </w:t>
      </w:r>
      <w:r w:rsidR="00F4604A">
        <w:rPr>
          <w:rFonts w:eastAsia="Times New Roman"/>
          <w:noProof/>
          <w:szCs w:val="24"/>
        </w:rPr>
        <w:t>would</w:t>
      </w:r>
      <w:r w:rsidR="00F4604A" w:rsidRPr="00B73893">
        <w:rPr>
          <w:rFonts w:eastAsia="Times New Roman"/>
          <w:noProof/>
          <w:szCs w:val="24"/>
        </w:rPr>
        <w:t xml:space="preserve"> be placed on the list if a Member State administrative authority or court has imposed</w:t>
      </w:r>
      <w:r w:rsidR="00F4604A">
        <w:rPr>
          <w:rFonts w:eastAsia="Times New Roman"/>
          <w:noProof/>
          <w:szCs w:val="24"/>
        </w:rPr>
        <w:t xml:space="preserve"> </w:t>
      </w:r>
      <w:r w:rsidR="00F4604A" w:rsidRPr="00B73893">
        <w:rPr>
          <w:rFonts w:eastAsia="Times New Roman"/>
          <w:noProof/>
          <w:color w:val="000000" w:themeColor="text1"/>
          <w:szCs w:val="24"/>
        </w:rPr>
        <w:t>final administrative or criminal sanction or penalty</w:t>
      </w:r>
      <w:r w:rsidR="00F4604A">
        <w:rPr>
          <w:rFonts w:eastAsia="Times New Roman"/>
          <w:noProof/>
          <w:color w:val="000000" w:themeColor="text1"/>
          <w:szCs w:val="24"/>
        </w:rPr>
        <w:t xml:space="preserve"> </w:t>
      </w:r>
      <w:r w:rsidR="00F4604A" w:rsidRPr="00F4604A">
        <w:rPr>
          <w:rFonts w:eastAsia="Times New Roman"/>
          <w:noProof/>
          <w:color w:val="000000" w:themeColor="text1"/>
          <w:szCs w:val="24"/>
        </w:rPr>
        <w:t>for infringing their obligations under this regulation.</w:t>
      </w:r>
      <w:r w:rsidR="00F4604A">
        <w:rPr>
          <w:rFonts w:eastAsia="Times New Roman"/>
          <w:noProof/>
          <w:color w:val="000000" w:themeColor="text1"/>
          <w:szCs w:val="24"/>
        </w:rPr>
        <w:t xml:space="preserve"> Member States would inform the Commission without undue delay about any such sanctions or penalties. </w:t>
      </w:r>
      <w:r w:rsidR="00F4604A" w:rsidRPr="00F4604A">
        <w:rPr>
          <w:rFonts w:eastAsia="Times New Roman"/>
          <w:noProof/>
          <w:color w:val="000000" w:themeColor="text1"/>
          <w:szCs w:val="24"/>
        </w:rPr>
        <w:t xml:space="preserve">Upon receipt of such notification the Commission </w:t>
      </w:r>
      <w:r w:rsidR="00F4604A">
        <w:rPr>
          <w:rFonts w:eastAsia="Times New Roman"/>
          <w:noProof/>
          <w:color w:val="000000" w:themeColor="text1"/>
          <w:szCs w:val="24"/>
        </w:rPr>
        <w:t>would</w:t>
      </w:r>
      <w:r w:rsidR="00F4604A" w:rsidRPr="00F4604A">
        <w:rPr>
          <w:rFonts w:eastAsia="Times New Roman"/>
          <w:noProof/>
          <w:color w:val="000000" w:themeColor="text1"/>
          <w:szCs w:val="24"/>
        </w:rPr>
        <w:t xml:space="preserve"> include the operator or trader concerned on the list without delay and inform </w:t>
      </w:r>
      <w:r w:rsidR="00F4604A">
        <w:rPr>
          <w:rFonts w:eastAsia="Times New Roman"/>
          <w:noProof/>
          <w:color w:val="000000" w:themeColor="text1"/>
          <w:szCs w:val="24"/>
        </w:rPr>
        <w:t>him</w:t>
      </w:r>
      <w:r w:rsidR="00F4604A" w:rsidRPr="00F4604A">
        <w:rPr>
          <w:rFonts w:eastAsia="Times New Roman"/>
          <w:noProof/>
          <w:color w:val="000000" w:themeColor="text1"/>
          <w:szCs w:val="24"/>
        </w:rPr>
        <w:t xml:space="preserve"> of its inclusion.</w:t>
      </w:r>
      <w:r w:rsidR="00F4604A">
        <w:rPr>
          <w:rFonts w:eastAsia="Times New Roman"/>
          <w:noProof/>
          <w:color w:val="000000" w:themeColor="text1"/>
          <w:szCs w:val="24"/>
        </w:rPr>
        <w:t xml:space="preserve"> If, </w:t>
      </w:r>
      <w:r w:rsidR="00AA4790">
        <w:rPr>
          <w:rFonts w:eastAsia="Times New Roman"/>
          <w:noProof/>
          <w:color w:val="000000" w:themeColor="text1"/>
          <w:szCs w:val="24"/>
        </w:rPr>
        <w:t xml:space="preserve">for a certain period </w:t>
      </w:r>
      <w:r w:rsidR="00F4604A" w:rsidRPr="00B73893">
        <w:rPr>
          <w:noProof/>
        </w:rPr>
        <w:t xml:space="preserve">after the </w:t>
      </w:r>
      <w:r w:rsidR="00F4604A" w:rsidRPr="00B73893">
        <w:rPr>
          <w:rFonts w:eastAsia="Times New Roman"/>
          <w:noProof/>
          <w:color w:val="000000" w:themeColor="text1"/>
          <w:szCs w:val="24"/>
        </w:rPr>
        <w:t>final administrative or criminal sanction or penalty</w:t>
      </w:r>
      <w:r w:rsidR="00F4604A">
        <w:rPr>
          <w:rFonts w:eastAsia="Times New Roman"/>
          <w:noProof/>
          <w:color w:val="000000" w:themeColor="text1"/>
          <w:szCs w:val="24"/>
        </w:rPr>
        <w:t>,</w:t>
      </w:r>
      <w:r w:rsidR="00F4604A" w:rsidRPr="00B73893">
        <w:rPr>
          <w:rFonts w:eastAsia="Times New Roman"/>
          <w:noProof/>
          <w:color w:val="000000" w:themeColor="text1"/>
          <w:szCs w:val="24"/>
        </w:rPr>
        <w:t xml:space="preserve"> no </w:t>
      </w:r>
      <w:r w:rsidR="00F4604A" w:rsidRPr="00B73893">
        <w:rPr>
          <w:noProof/>
        </w:rPr>
        <w:t>further reports of sanctions or administrative or criminal proceedings concerning alleged contravening activity have been reported by the respective Member State authority</w:t>
      </w:r>
      <w:r w:rsidR="00F4604A">
        <w:rPr>
          <w:noProof/>
        </w:rPr>
        <w:t>, the Commission would remove the operator or trader from the list.</w:t>
      </w:r>
      <w:r w:rsidR="009E5F54">
        <w:rPr>
          <w:noProof/>
        </w:rPr>
        <w:t xml:space="preserve"> </w:t>
      </w:r>
    </w:p>
    <w:p w14:paraId="0A44BCBF" w14:textId="56ED7148" w:rsidR="00C139FC" w:rsidRDefault="00DC712E" w:rsidP="00C139FC">
      <w:pPr>
        <w:jc w:val="both"/>
        <w:rPr>
          <w:rFonts w:eastAsia="Calibri" w:cs="Times New Roman"/>
          <w:noProof/>
          <w:szCs w:val="24"/>
        </w:rPr>
      </w:pPr>
      <w:r>
        <w:rPr>
          <w:rFonts w:eastAsia="Calibri" w:cs="Times New Roman"/>
          <w:noProof/>
          <w:szCs w:val="24"/>
        </w:rPr>
        <w:t xml:space="preserve">There are several ways </w:t>
      </w:r>
      <w:r w:rsidR="00CC1BAF">
        <w:rPr>
          <w:rFonts w:eastAsia="Calibri" w:cs="Times New Roman"/>
          <w:noProof/>
          <w:szCs w:val="24"/>
        </w:rPr>
        <w:t>in which policy option 2 could contribute to increase the effectiveness —</w:t>
      </w:r>
      <w:r w:rsidR="00C139FC" w:rsidRPr="007C1494" w:rsidDel="00DC712E">
        <w:rPr>
          <w:rFonts w:eastAsia="Calibri" w:cs="Times New Roman"/>
          <w:noProof/>
          <w:szCs w:val="24"/>
        </w:rPr>
        <w:t xml:space="preserve"> </w:t>
      </w:r>
      <w:r w:rsidR="00CC1BAF">
        <w:rPr>
          <w:rFonts w:eastAsia="Calibri" w:cs="Times New Roman"/>
          <w:noProof/>
          <w:szCs w:val="24"/>
        </w:rPr>
        <w:t>and reduce the costs — of the EU intervention as compared to the due diligence system of the EUTR</w:t>
      </w:r>
      <w:r w:rsidR="00D5506F">
        <w:rPr>
          <w:rFonts w:eastAsia="Calibri" w:cs="Times New Roman"/>
          <w:noProof/>
          <w:szCs w:val="24"/>
        </w:rPr>
        <w:t xml:space="preserve"> and option 1</w:t>
      </w:r>
      <w:r w:rsidR="00CC1BAF">
        <w:rPr>
          <w:rFonts w:eastAsia="Calibri" w:cs="Times New Roman"/>
          <w:noProof/>
          <w:szCs w:val="24"/>
        </w:rPr>
        <w:t>:</w:t>
      </w:r>
    </w:p>
    <w:p w14:paraId="26A26BBA" w14:textId="3544B212" w:rsidR="00CC1BAF" w:rsidRDefault="00CC1BAF" w:rsidP="00C139FC">
      <w:pPr>
        <w:jc w:val="both"/>
        <w:rPr>
          <w:rFonts w:eastAsia="Calibri" w:cs="Times New Roman"/>
          <w:noProof/>
          <w:szCs w:val="24"/>
        </w:rPr>
      </w:pPr>
      <w:r>
        <w:rPr>
          <w:rFonts w:eastAsia="Calibri" w:cs="Times New Roman"/>
          <w:noProof/>
          <w:szCs w:val="24"/>
        </w:rPr>
        <w:t xml:space="preserve">1. Incentives for third countries. The benchmarking system is meant to create incentives for countries to protect their forests, as stronger environmental protection </w:t>
      </w:r>
      <w:r w:rsidR="00D23FFC" w:rsidRPr="00760D6B">
        <w:rPr>
          <w:rFonts w:eastAsia="Calibri" w:cs="Times New Roman"/>
          <w:noProof/>
          <w:szCs w:val="24"/>
        </w:rPr>
        <w:t>and governance</w:t>
      </w:r>
      <w:r w:rsidR="00D23FFC">
        <w:rPr>
          <w:rFonts w:eastAsia="Calibri" w:cs="Times New Roman"/>
          <w:noProof/>
          <w:szCs w:val="24"/>
        </w:rPr>
        <w:t xml:space="preserve"> </w:t>
      </w:r>
      <w:r>
        <w:rPr>
          <w:rFonts w:eastAsia="Calibri" w:cs="Times New Roman"/>
          <w:noProof/>
          <w:szCs w:val="24"/>
        </w:rPr>
        <w:t>will bring easier market access for their products to the EU. It will also mitigate the risk of leakage (see section 6.1.4), increasing the overall effectiveness of the intervention.</w:t>
      </w:r>
    </w:p>
    <w:p w14:paraId="0EFF2B64" w14:textId="3730562C" w:rsidR="00CC1BAF" w:rsidRDefault="00CC1BAF" w:rsidP="00C139FC">
      <w:pPr>
        <w:jc w:val="both"/>
        <w:rPr>
          <w:rFonts w:eastAsia="Calibri" w:cs="Times New Roman"/>
          <w:noProof/>
          <w:szCs w:val="24"/>
        </w:rPr>
      </w:pPr>
      <w:r>
        <w:rPr>
          <w:rFonts w:eastAsia="Calibri" w:cs="Times New Roman"/>
          <w:noProof/>
          <w:szCs w:val="24"/>
        </w:rPr>
        <w:t xml:space="preserve">2. </w:t>
      </w:r>
      <w:r w:rsidR="0084593D">
        <w:rPr>
          <w:rFonts w:eastAsia="Calibri" w:cs="Times New Roman"/>
          <w:noProof/>
          <w:szCs w:val="24"/>
        </w:rPr>
        <w:t>More focused</w:t>
      </w:r>
      <w:r>
        <w:rPr>
          <w:rFonts w:eastAsia="Calibri" w:cs="Times New Roman"/>
          <w:noProof/>
          <w:szCs w:val="24"/>
        </w:rPr>
        <w:t xml:space="preserve"> enforcement resources. The benchmarking system </w:t>
      </w:r>
      <w:r w:rsidR="0084593D">
        <w:rPr>
          <w:rFonts w:eastAsia="Calibri" w:cs="Times New Roman"/>
          <w:noProof/>
          <w:szCs w:val="24"/>
        </w:rPr>
        <w:t>w</w:t>
      </w:r>
      <w:r>
        <w:rPr>
          <w:rFonts w:eastAsia="Calibri" w:cs="Times New Roman"/>
          <w:noProof/>
          <w:szCs w:val="24"/>
        </w:rPr>
        <w:t xml:space="preserve">ould help member states authorities concentrate scarce enforcement resources where they are most needed — via stronger monitoring obligations for standard and high risk countries. </w:t>
      </w:r>
    </w:p>
    <w:p w14:paraId="1DB696A1" w14:textId="28A7FF17" w:rsidR="00CC1BAF" w:rsidRDefault="00CC1BAF" w:rsidP="00C139FC">
      <w:pPr>
        <w:jc w:val="both"/>
        <w:rPr>
          <w:rFonts w:eastAsia="Calibri" w:cs="Times New Roman"/>
          <w:noProof/>
          <w:szCs w:val="24"/>
        </w:rPr>
      </w:pPr>
      <w:r>
        <w:rPr>
          <w:rFonts w:eastAsia="Calibri" w:cs="Times New Roman"/>
          <w:noProof/>
          <w:szCs w:val="24"/>
        </w:rPr>
        <w:t xml:space="preserve">3.  </w:t>
      </w:r>
      <w:r w:rsidR="0084593D">
        <w:rPr>
          <w:rFonts w:eastAsia="Calibri" w:cs="Times New Roman"/>
          <w:noProof/>
          <w:szCs w:val="24"/>
        </w:rPr>
        <w:t>Reduced</w:t>
      </w:r>
      <w:r w:rsidR="00C42864">
        <w:rPr>
          <w:rFonts w:eastAsia="Calibri" w:cs="Times New Roman"/>
          <w:noProof/>
          <w:szCs w:val="24"/>
        </w:rPr>
        <w:t xml:space="preserve"> companies’ compliance costs. By singling out low and high risk countries, the Commission would </w:t>
      </w:r>
      <w:r w:rsidR="00480689">
        <w:rPr>
          <w:rFonts w:eastAsia="Calibri" w:cs="Times New Roman"/>
          <w:noProof/>
          <w:szCs w:val="24"/>
        </w:rPr>
        <w:t>facilitate the</w:t>
      </w:r>
      <w:r w:rsidR="00C42864">
        <w:rPr>
          <w:rFonts w:eastAsia="Calibri" w:cs="Times New Roman"/>
          <w:noProof/>
          <w:szCs w:val="24"/>
        </w:rPr>
        <w:t xml:space="preserve"> risk assessment that companies need to do as part of their due diligence obligations. </w:t>
      </w:r>
      <w:r w:rsidR="00CE14C1">
        <w:rPr>
          <w:rFonts w:eastAsia="Calibri" w:cs="Times New Roman"/>
          <w:noProof/>
          <w:szCs w:val="24"/>
        </w:rPr>
        <w:t>T</w:t>
      </w:r>
      <w:r w:rsidR="00C42864">
        <w:rPr>
          <w:rFonts w:eastAsia="Calibri" w:cs="Times New Roman"/>
          <w:noProof/>
          <w:szCs w:val="24"/>
        </w:rPr>
        <w:t xml:space="preserve">he availability of simplified due diligence for operators sourcing </w:t>
      </w:r>
      <w:r w:rsidR="0084593D">
        <w:rPr>
          <w:rFonts w:eastAsia="Calibri" w:cs="Times New Roman"/>
          <w:noProof/>
          <w:szCs w:val="24"/>
        </w:rPr>
        <w:t xml:space="preserve">from low risk countries </w:t>
      </w:r>
      <w:r w:rsidR="00CE14C1">
        <w:rPr>
          <w:rFonts w:eastAsia="Calibri" w:cs="Times New Roman"/>
          <w:noProof/>
          <w:szCs w:val="24"/>
        </w:rPr>
        <w:t xml:space="preserve">is also expected to reduce compliance costs. </w:t>
      </w:r>
    </w:p>
    <w:p w14:paraId="268782E3" w14:textId="6D7DCAC0" w:rsidR="0084593D" w:rsidRPr="007C1494" w:rsidRDefault="0084593D" w:rsidP="00C139FC">
      <w:pPr>
        <w:jc w:val="both"/>
        <w:rPr>
          <w:rFonts w:eastAsia="Calibri" w:cs="Times New Roman"/>
          <w:noProof/>
          <w:szCs w:val="24"/>
        </w:rPr>
      </w:pPr>
      <w:r>
        <w:rPr>
          <w:rFonts w:eastAsia="Calibri" w:cs="Times New Roman"/>
          <w:noProof/>
          <w:szCs w:val="24"/>
        </w:rPr>
        <w:t xml:space="preserve">4. </w:t>
      </w:r>
      <w:r w:rsidR="00027373">
        <w:rPr>
          <w:rFonts w:eastAsia="Calibri" w:cs="Times New Roman"/>
          <w:noProof/>
          <w:szCs w:val="24"/>
        </w:rPr>
        <w:t>Stronger dissuasive power. The list of contravening operators is meant to increase the dissuasive power of the regulation, also increasing its effectiveness.</w:t>
      </w:r>
    </w:p>
    <w:p w14:paraId="1EBA437E" w14:textId="5AC22686" w:rsidR="00F4604A" w:rsidRPr="007C1494" w:rsidRDefault="00F4604A" w:rsidP="00616DB1">
      <w:pPr>
        <w:jc w:val="both"/>
        <w:rPr>
          <w:rFonts w:eastAsia="Calibri" w:cs="Times New Roman"/>
          <w:noProof/>
          <w:szCs w:val="24"/>
        </w:rPr>
      </w:pPr>
      <w:r>
        <w:rPr>
          <w:rFonts w:eastAsia="Calibri" w:cs="Times New Roman"/>
          <w:noProof/>
          <w:szCs w:val="24"/>
        </w:rPr>
        <w:t>Nonetheless, there is a risk that the list of contravening operators</w:t>
      </w:r>
      <w:r w:rsidR="00616DB1">
        <w:rPr>
          <w:rFonts w:eastAsia="Calibri" w:cs="Times New Roman"/>
          <w:noProof/>
          <w:szCs w:val="24"/>
        </w:rPr>
        <w:t>, where it applies to natural persons,</w:t>
      </w:r>
      <w:r>
        <w:rPr>
          <w:rFonts w:eastAsia="Calibri" w:cs="Times New Roman"/>
          <w:noProof/>
          <w:szCs w:val="24"/>
        </w:rPr>
        <w:t xml:space="preserve"> might </w:t>
      </w:r>
      <w:r w:rsidR="00616DB1">
        <w:rPr>
          <w:rFonts w:eastAsia="Calibri" w:cs="Times New Roman"/>
          <w:noProof/>
          <w:szCs w:val="24"/>
        </w:rPr>
        <w:t xml:space="preserve">interfere with rights protected under Article 7 and 8 of the Charter of fundamental rights (Respect for private and family life and Protection of personal data). Limitations to these rights need to be justified under Article 52(1) of the Charter, i.g. the measure needs to be proportionate </w:t>
      </w:r>
      <w:r w:rsidR="002E3D4E">
        <w:rPr>
          <w:rFonts w:eastAsia="Calibri" w:cs="Times New Roman"/>
          <w:noProof/>
          <w:szCs w:val="24"/>
        </w:rPr>
        <w:t>and serve</w:t>
      </w:r>
      <w:r w:rsidR="00616DB1">
        <w:rPr>
          <w:rFonts w:eastAsia="Calibri" w:cs="Times New Roman"/>
          <w:noProof/>
          <w:szCs w:val="24"/>
        </w:rPr>
        <w:t xml:space="preserve"> an</w:t>
      </w:r>
      <w:r w:rsidR="00616DB1" w:rsidRPr="00616DB1">
        <w:rPr>
          <w:rFonts w:eastAsia="Calibri" w:cs="Times New Roman"/>
          <w:noProof/>
          <w:szCs w:val="24"/>
        </w:rPr>
        <w:t xml:space="preserve"> objective of general interest</w:t>
      </w:r>
      <w:r w:rsidR="00616DB1">
        <w:rPr>
          <w:rFonts w:eastAsia="Calibri" w:cs="Times New Roman"/>
          <w:noProof/>
          <w:szCs w:val="24"/>
        </w:rPr>
        <w:t>.</w:t>
      </w:r>
      <w:r w:rsidR="00616DB1" w:rsidRPr="00616DB1">
        <w:rPr>
          <w:rFonts w:eastAsia="Calibri" w:cs="Times New Roman"/>
          <w:noProof/>
          <w:szCs w:val="24"/>
        </w:rPr>
        <w:t xml:space="preserve"> </w:t>
      </w:r>
      <w:r w:rsidR="00616DB1">
        <w:rPr>
          <w:rFonts w:eastAsia="Calibri" w:cs="Times New Roman"/>
          <w:noProof/>
          <w:szCs w:val="24"/>
        </w:rPr>
        <w:t>In the present case, this could be debated, if</w:t>
      </w:r>
      <w:r w:rsidR="00616DB1" w:rsidRPr="00616DB1">
        <w:rPr>
          <w:rFonts w:eastAsia="Calibri" w:cs="Times New Roman"/>
          <w:noProof/>
          <w:szCs w:val="24"/>
        </w:rPr>
        <w:t xml:space="preserve"> other measures</w:t>
      </w:r>
      <w:r w:rsidR="00616DB1">
        <w:rPr>
          <w:rFonts w:eastAsia="Calibri" w:cs="Times New Roman"/>
          <w:noProof/>
          <w:szCs w:val="24"/>
        </w:rPr>
        <w:t>,</w:t>
      </w:r>
      <w:r w:rsidR="00616DB1" w:rsidRPr="00616DB1">
        <w:rPr>
          <w:rFonts w:eastAsia="Calibri" w:cs="Times New Roman"/>
          <w:noProof/>
          <w:szCs w:val="24"/>
        </w:rPr>
        <w:t xml:space="preserve"> which are less limitative on those rights</w:t>
      </w:r>
      <w:r w:rsidR="00616DB1">
        <w:rPr>
          <w:rFonts w:eastAsia="Calibri" w:cs="Times New Roman"/>
          <w:noProof/>
          <w:szCs w:val="24"/>
        </w:rPr>
        <w:t xml:space="preserve">, </w:t>
      </w:r>
      <w:r w:rsidR="00616DB1" w:rsidRPr="00616DB1">
        <w:rPr>
          <w:rFonts w:eastAsia="Calibri" w:cs="Times New Roman"/>
          <w:noProof/>
          <w:szCs w:val="24"/>
        </w:rPr>
        <w:t>achieve</w:t>
      </w:r>
      <w:r w:rsidR="00616DB1">
        <w:rPr>
          <w:rFonts w:eastAsia="Calibri" w:cs="Times New Roman"/>
          <w:noProof/>
          <w:szCs w:val="24"/>
        </w:rPr>
        <w:t>d</w:t>
      </w:r>
      <w:r w:rsidR="00616DB1" w:rsidRPr="00616DB1">
        <w:rPr>
          <w:rFonts w:eastAsia="Calibri" w:cs="Times New Roman"/>
          <w:noProof/>
          <w:szCs w:val="24"/>
        </w:rPr>
        <w:t xml:space="preserve"> the same deterrent effect (</w:t>
      </w:r>
      <w:r w:rsidR="00616DB1">
        <w:rPr>
          <w:rFonts w:eastAsia="Calibri" w:cs="Times New Roman"/>
          <w:noProof/>
          <w:szCs w:val="24"/>
        </w:rPr>
        <w:t xml:space="preserve">i.e. </w:t>
      </w:r>
      <w:r w:rsidR="00616DB1" w:rsidRPr="00616DB1">
        <w:rPr>
          <w:rFonts w:eastAsia="Calibri" w:cs="Times New Roman"/>
          <w:noProof/>
          <w:szCs w:val="24"/>
        </w:rPr>
        <w:t>financial sanction</w:t>
      </w:r>
      <w:r w:rsidR="00616DB1">
        <w:rPr>
          <w:rFonts w:eastAsia="Calibri" w:cs="Times New Roman"/>
          <w:noProof/>
          <w:szCs w:val="24"/>
        </w:rPr>
        <w:t>s</w:t>
      </w:r>
      <w:r w:rsidR="00616DB1" w:rsidRPr="00616DB1">
        <w:rPr>
          <w:rFonts w:eastAsia="Calibri" w:cs="Times New Roman"/>
          <w:noProof/>
          <w:szCs w:val="24"/>
        </w:rPr>
        <w:t xml:space="preserve">). </w:t>
      </w:r>
      <w:r w:rsidR="002E3D4E">
        <w:rPr>
          <w:rFonts w:eastAsia="Calibri" w:cs="Times New Roman"/>
          <w:noProof/>
          <w:szCs w:val="24"/>
        </w:rPr>
        <w:t xml:space="preserve">Legal </w:t>
      </w:r>
      <w:r w:rsidR="00FB77D4">
        <w:rPr>
          <w:rFonts w:eastAsia="Calibri" w:cs="Times New Roman"/>
          <w:noProof/>
          <w:szCs w:val="24"/>
        </w:rPr>
        <w:t>entities</w:t>
      </w:r>
      <w:r w:rsidR="002E3D4E">
        <w:rPr>
          <w:rFonts w:eastAsia="Calibri" w:cs="Times New Roman"/>
          <w:noProof/>
          <w:szCs w:val="24"/>
        </w:rPr>
        <w:t xml:space="preserve"> do</w:t>
      </w:r>
      <w:r w:rsidR="00A07C9C">
        <w:rPr>
          <w:rFonts w:eastAsia="Calibri" w:cs="Times New Roman"/>
          <w:noProof/>
          <w:szCs w:val="24"/>
        </w:rPr>
        <w:t xml:space="preserve"> not held </w:t>
      </w:r>
      <w:r w:rsidR="002E3D4E">
        <w:rPr>
          <w:rFonts w:eastAsia="Calibri" w:cs="Times New Roman"/>
          <w:noProof/>
          <w:szCs w:val="24"/>
        </w:rPr>
        <w:t>the before mentioned rights</w:t>
      </w:r>
      <w:r w:rsidR="00616DB1" w:rsidRPr="00616DB1">
        <w:rPr>
          <w:rFonts w:eastAsia="Calibri" w:cs="Times New Roman"/>
          <w:noProof/>
          <w:szCs w:val="24"/>
        </w:rPr>
        <w:t xml:space="preserve">, </w:t>
      </w:r>
      <w:r w:rsidR="00A07C9C">
        <w:rPr>
          <w:rFonts w:eastAsia="Calibri" w:cs="Times New Roman"/>
          <w:noProof/>
          <w:szCs w:val="24"/>
        </w:rPr>
        <w:t>still the</w:t>
      </w:r>
      <w:r w:rsidR="00616DB1" w:rsidRPr="00616DB1">
        <w:rPr>
          <w:rFonts w:eastAsia="Calibri" w:cs="Times New Roman"/>
          <w:noProof/>
          <w:szCs w:val="24"/>
        </w:rPr>
        <w:t xml:space="preserve"> </w:t>
      </w:r>
      <w:r w:rsidR="00A07C9C">
        <w:rPr>
          <w:rFonts w:eastAsia="Calibri" w:cs="Times New Roman"/>
          <w:noProof/>
          <w:szCs w:val="24"/>
        </w:rPr>
        <w:t xml:space="preserve">measure would need to be justified, especially if the sanction applied by the national competent authorities is already sufficiently deterrent. </w:t>
      </w:r>
      <w:r w:rsidR="00616DB1" w:rsidRPr="00616DB1">
        <w:rPr>
          <w:rFonts w:eastAsia="Calibri" w:cs="Times New Roman"/>
          <w:noProof/>
          <w:szCs w:val="24"/>
        </w:rPr>
        <w:t xml:space="preserve"> </w:t>
      </w:r>
    </w:p>
    <w:p w14:paraId="09820026" w14:textId="14A650E1" w:rsidR="00E44E68" w:rsidRPr="007C1494" w:rsidRDefault="00335526" w:rsidP="00335526">
      <w:pPr>
        <w:pStyle w:val="Heading3"/>
        <w:rPr>
          <w:noProof/>
          <w:szCs w:val="24"/>
        </w:rPr>
      </w:pPr>
      <w:bookmarkStart w:id="121" w:name="_Toc67074994"/>
      <w:bookmarkStart w:id="122" w:name="_Toc75542189"/>
      <w:bookmarkStart w:id="123" w:name="_Toc75543222"/>
      <w:bookmarkStart w:id="124" w:name="_Toc84591910"/>
      <w:r w:rsidRPr="00335526">
        <w:t>5.3.3</w:t>
      </w:r>
      <w:r w:rsidRPr="00335526">
        <w:tab/>
      </w:r>
      <w:r w:rsidR="00E44E68" w:rsidRPr="00B02CBC">
        <w:rPr>
          <w:noProof/>
        </w:rPr>
        <w:t xml:space="preserve">Policy option 3: Mandatory public certification </w:t>
      </w:r>
      <w:bookmarkEnd w:id="121"/>
      <w:r w:rsidR="00E44E68" w:rsidRPr="00B02CBC">
        <w:rPr>
          <w:noProof/>
        </w:rPr>
        <w:t>combined with an improved due diligence requirement, relying on a deforestation free definition</w:t>
      </w:r>
      <w:bookmarkEnd w:id="122"/>
      <w:bookmarkEnd w:id="123"/>
      <w:bookmarkEnd w:id="124"/>
    </w:p>
    <w:p w14:paraId="5B4C70E5" w14:textId="53195108" w:rsidR="00E44E68" w:rsidRDefault="009977FC" w:rsidP="00E44E68">
      <w:pPr>
        <w:jc w:val="both"/>
        <w:rPr>
          <w:rFonts w:eastAsia="Calibri" w:cs="Times New Roman"/>
          <w:noProof/>
          <w:szCs w:val="24"/>
        </w:rPr>
      </w:pPr>
      <w:r>
        <w:rPr>
          <w:rFonts w:eastAsia="Calibri" w:cs="Times New Roman"/>
          <w:noProof/>
          <w:szCs w:val="24"/>
        </w:rPr>
        <w:t xml:space="preserve">Policy option 3 also builds on the due diligence system laid out in policy option 1. In addition, </w:t>
      </w:r>
      <w:r w:rsidR="005411D3">
        <w:rPr>
          <w:rFonts w:eastAsia="Calibri" w:cs="Times New Roman"/>
          <w:noProof/>
          <w:szCs w:val="24"/>
        </w:rPr>
        <w:t>the EU</w:t>
      </w:r>
      <w:r w:rsidR="00E44E68" w:rsidRPr="007C1494" w:rsidDel="009977FC">
        <w:rPr>
          <w:rFonts w:eastAsia="Calibri" w:cs="Times New Roman"/>
          <w:noProof/>
          <w:szCs w:val="24"/>
        </w:rPr>
        <w:t xml:space="preserve"> </w:t>
      </w:r>
      <w:r w:rsidR="00E44E68" w:rsidRPr="007C1494">
        <w:rPr>
          <w:rFonts w:eastAsia="Calibri" w:cs="Times New Roman"/>
          <w:noProof/>
          <w:szCs w:val="24"/>
        </w:rPr>
        <w:t>would</w:t>
      </w:r>
      <w:r w:rsidR="00565887" w:rsidRPr="007C1494">
        <w:rPr>
          <w:rFonts w:eastAsia="Calibri" w:cs="Times New Roman"/>
          <w:noProof/>
          <w:szCs w:val="24"/>
        </w:rPr>
        <w:t xml:space="preserve">, upon request from </w:t>
      </w:r>
      <w:r w:rsidR="005351D9" w:rsidRPr="007C1494">
        <w:rPr>
          <w:rFonts w:eastAsia="Calibri" w:cs="Times New Roman"/>
          <w:noProof/>
          <w:szCs w:val="24"/>
        </w:rPr>
        <w:t>a Member State or third country</w:t>
      </w:r>
      <w:r w:rsidR="00565887" w:rsidRPr="007C1494">
        <w:rPr>
          <w:rFonts w:eastAsia="Calibri" w:cs="Times New Roman"/>
          <w:noProof/>
          <w:szCs w:val="24"/>
        </w:rPr>
        <w:t>,</w:t>
      </w:r>
      <w:r w:rsidR="00E44E68" w:rsidRPr="007C1494">
        <w:rPr>
          <w:rFonts w:eastAsia="Calibri" w:cs="Times New Roman"/>
          <w:noProof/>
          <w:szCs w:val="24"/>
        </w:rPr>
        <w:t xml:space="preserve"> </w:t>
      </w:r>
      <w:r w:rsidR="004846E3">
        <w:rPr>
          <w:rFonts w:eastAsia="Calibri" w:cs="Times New Roman"/>
          <w:noProof/>
          <w:szCs w:val="24"/>
        </w:rPr>
        <w:t xml:space="preserve">review and </w:t>
      </w:r>
      <w:r w:rsidR="00E44E68" w:rsidRPr="007C1494">
        <w:rPr>
          <w:rFonts w:eastAsia="Calibri" w:cs="Times New Roman"/>
          <w:noProof/>
          <w:szCs w:val="24"/>
        </w:rPr>
        <w:t>approve mandatory public certification systems</w:t>
      </w:r>
      <w:r w:rsidR="00E44E68" w:rsidRPr="007C1494" w:rsidDel="005351D9">
        <w:rPr>
          <w:rFonts w:eastAsia="Calibri" w:cs="Times New Roman"/>
          <w:noProof/>
          <w:szCs w:val="24"/>
        </w:rPr>
        <w:t xml:space="preserve"> </w:t>
      </w:r>
      <w:r w:rsidR="00E44E68" w:rsidRPr="007C1494">
        <w:rPr>
          <w:rFonts w:eastAsia="Calibri" w:cs="Times New Roman"/>
          <w:noProof/>
          <w:szCs w:val="24"/>
        </w:rPr>
        <w:t>on a country level</w:t>
      </w:r>
      <w:r w:rsidR="00565887" w:rsidRPr="007C1494">
        <w:rPr>
          <w:rFonts w:eastAsia="Calibri" w:cs="Times New Roman"/>
          <w:noProof/>
          <w:szCs w:val="24"/>
        </w:rPr>
        <w:t xml:space="preserve">. The approval would be contingent on the </w:t>
      </w:r>
      <w:r w:rsidR="00DF06F5" w:rsidRPr="007C1494">
        <w:rPr>
          <w:rFonts w:eastAsia="Calibri" w:cs="Times New Roman"/>
          <w:noProof/>
          <w:szCs w:val="24"/>
        </w:rPr>
        <w:t>reliability of</w:t>
      </w:r>
      <w:r w:rsidR="00565887" w:rsidRPr="007C1494">
        <w:rPr>
          <w:rFonts w:eastAsia="Calibri" w:cs="Times New Roman"/>
          <w:noProof/>
          <w:szCs w:val="24"/>
        </w:rPr>
        <w:t xml:space="preserve"> such </w:t>
      </w:r>
      <w:r w:rsidR="00DF06F5" w:rsidRPr="007C1494">
        <w:rPr>
          <w:rFonts w:eastAsia="Calibri" w:cs="Times New Roman"/>
          <w:noProof/>
          <w:szCs w:val="24"/>
        </w:rPr>
        <w:t xml:space="preserve">a </w:t>
      </w:r>
      <w:r w:rsidR="00565887" w:rsidRPr="007C1494">
        <w:rPr>
          <w:rFonts w:eastAsia="Calibri" w:cs="Times New Roman"/>
          <w:noProof/>
          <w:szCs w:val="24"/>
        </w:rPr>
        <w:t xml:space="preserve">system </w:t>
      </w:r>
      <w:r w:rsidR="00DF06F5" w:rsidRPr="007C1494">
        <w:rPr>
          <w:rFonts w:eastAsia="Calibri" w:cs="Times New Roman"/>
          <w:noProof/>
          <w:szCs w:val="24"/>
        </w:rPr>
        <w:t xml:space="preserve">in ensuring compliance </w:t>
      </w:r>
      <w:r w:rsidR="00E44E68" w:rsidRPr="007C1494">
        <w:rPr>
          <w:rFonts w:eastAsia="Calibri" w:cs="Times New Roman"/>
          <w:noProof/>
          <w:szCs w:val="24"/>
        </w:rPr>
        <w:t xml:space="preserve">with </w:t>
      </w:r>
      <w:r w:rsidR="00565887" w:rsidRPr="007C1494">
        <w:rPr>
          <w:rFonts w:eastAsia="Calibri" w:cs="Times New Roman"/>
          <w:noProof/>
          <w:szCs w:val="24"/>
        </w:rPr>
        <w:t xml:space="preserve">the </w:t>
      </w:r>
      <w:r>
        <w:rPr>
          <w:rFonts w:eastAsia="Calibri" w:cs="Times New Roman"/>
          <w:noProof/>
          <w:szCs w:val="24"/>
        </w:rPr>
        <w:t xml:space="preserve">requirements of the </w:t>
      </w:r>
      <w:r w:rsidR="004846E3">
        <w:rPr>
          <w:rFonts w:eastAsia="Calibri" w:cs="Times New Roman"/>
          <w:noProof/>
          <w:szCs w:val="24"/>
        </w:rPr>
        <w:t xml:space="preserve">EU </w:t>
      </w:r>
      <w:r>
        <w:rPr>
          <w:rFonts w:eastAsia="Calibri" w:cs="Times New Roman"/>
          <w:noProof/>
          <w:szCs w:val="24"/>
        </w:rPr>
        <w:t xml:space="preserve">policy </w:t>
      </w:r>
      <w:r w:rsidR="00416694">
        <w:rPr>
          <w:rFonts w:eastAsia="Calibri" w:cs="Times New Roman"/>
          <w:noProof/>
          <w:szCs w:val="24"/>
        </w:rPr>
        <w:t>intervention</w:t>
      </w:r>
      <w:r>
        <w:rPr>
          <w:rFonts w:eastAsia="Calibri" w:cs="Times New Roman"/>
          <w:noProof/>
          <w:szCs w:val="24"/>
        </w:rPr>
        <w:t xml:space="preserve">, in particular the </w:t>
      </w:r>
      <w:r w:rsidRPr="007C1494">
        <w:rPr>
          <w:rFonts w:eastAsia="Calibri" w:cs="Times New Roman"/>
          <w:noProof/>
          <w:szCs w:val="24"/>
        </w:rPr>
        <w:t xml:space="preserve">deforestation-free </w:t>
      </w:r>
      <w:r w:rsidR="00FB297A">
        <w:rPr>
          <w:rFonts w:eastAsia="Calibri" w:cs="Times New Roman"/>
          <w:noProof/>
          <w:szCs w:val="24"/>
        </w:rPr>
        <w:t>definition</w:t>
      </w:r>
      <w:r w:rsidR="00C139FC" w:rsidRPr="007C1494">
        <w:rPr>
          <w:rFonts w:eastAsia="Calibri" w:cs="Times New Roman"/>
          <w:noProof/>
          <w:szCs w:val="24"/>
        </w:rPr>
        <w:t>.</w:t>
      </w:r>
      <w:r w:rsidR="00565887" w:rsidRPr="007C1494">
        <w:rPr>
          <w:rFonts w:eastAsia="Calibri" w:cs="Times New Roman"/>
          <w:noProof/>
          <w:szCs w:val="24"/>
        </w:rPr>
        <w:t xml:space="preserve"> This would include</w:t>
      </w:r>
      <w:r w:rsidR="00E44E68" w:rsidRPr="007C1494">
        <w:rPr>
          <w:rFonts w:eastAsia="Calibri" w:cs="Times New Roman"/>
          <w:noProof/>
          <w:szCs w:val="24"/>
        </w:rPr>
        <w:t xml:space="preserve"> specific requirements in terms of transparency and reliability</w:t>
      </w:r>
      <w:r w:rsidR="004846E3">
        <w:rPr>
          <w:rFonts w:eastAsia="Calibri" w:cs="Times New Roman"/>
          <w:noProof/>
          <w:szCs w:val="24"/>
        </w:rPr>
        <w:t>.</w:t>
      </w:r>
      <w:r w:rsidR="00E44E68" w:rsidRPr="007C1494">
        <w:rPr>
          <w:rFonts w:eastAsia="Calibri" w:cs="Times New Roman"/>
          <w:noProof/>
          <w:szCs w:val="24"/>
        </w:rPr>
        <w:t xml:space="preserve"> </w:t>
      </w:r>
      <w:r w:rsidR="00FB297A">
        <w:rPr>
          <w:rFonts w:eastAsia="Calibri" w:cs="Times New Roman"/>
          <w:noProof/>
          <w:szCs w:val="24"/>
        </w:rPr>
        <w:t>Mandatory public certification</w:t>
      </w:r>
      <w:r w:rsidR="004846E3">
        <w:rPr>
          <w:rFonts w:eastAsia="Calibri" w:cs="Times New Roman"/>
          <w:noProof/>
          <w:szCs w:val="24"/>
        </w:rPr>
        <w:t xml:space="preserve"> would </w:t>
      </w:r>
      <w:r w:rsidR="00E44E68" w:rsidRPr="007C1494">
        <w:rPr>
          <w:rFonts w:eastAsia="Calibri" w:cs="Times New Roman"/>
          <w:noProof/>
          <w:szCs w:val="24"/>
        </w:rPr>
        <w:t>need to be mandatory in the country of origin, covering all operators. These approved mandatory public certification systems would</w:t>
      </w:r>
      <w:r w:rsidR="004846E3">
        <w:rPr>
          <w:rFonts w:eastAsia="Calibri" w:cs="Times New Roman"/>
          <w:noProof/>
          <w:szCs w:val="24"/>
        </w:rPr>
        <w:t>,</w:t>
      </w:r>
      <w:r w:rsidR="00E44E68" w:rsidRPr="007C1494">
        <w:rPr>
          <w:rFonts w:eastAsia="Calibri" w:cs="Times New Roman"/>
          <w:noProof/>
          <w:szCs w:val="24"/>
        </w:rPr>
        <w:t xml:space="preserve"> in turn</w:t>
      </w:r>
      <w:r w:rsidR="004846E3">
        <w:rPr>
          <w:rFonts w:eastAsia="Calibri" w:cs="Times New Roman"/>
          <w:noProof/>
          <w:szCs w:val="24"/>
        </w:rPr>
        <w:t>,</w:t>
      </w:r>
      <w:r w:rsidR="00E44E68" w:rsidRPr="007C1494">
        <w:rPr>
          <w:rFonts w:eastAsia="Calibri" w:cs="Times New Roman"/>
          <w:noProof/>
          <w:szCs w:val="24"/>
        </w:rPr>
        <w:t xml:space="preserve"> certify</w:t>
      </w:r>
      <w:r w:rsidR="00D95DE9">
        <w:rPr>
          <w:rFonts w:eastAsia="Calibri" w:cs="Times New Roman"/>
          <w:noProof/>
          <w:szCs w:val="24"/>
        </w:rPr>
        <w:t xml:space="preserve"> </w:t>
      </w:r>
      <w:r w:rsidR="004846E3">
        <w:rPr>
          <w:rFonts w:eastAsia="Calibri" w:cs="Times New Roman"/>
          <w:noProof/>
          <w:szCs w:val="24"/>
        </w:rPr>
        <w:t xml:space="preserve">that </w:t>
      </w:r>
      <w:r w:rsidR="00D95DE9">
        <w:rPr>
          <w:rFonts w:eastAsia="Calibri" w:cs="Times New Roman"/>
          <w:noProof/>
          <w:szCs w:val="24"/>
        </w:rPr>
        <w:t>relevant commodities and</w:t>
      </w:r>
      <w:r w:rsidR="00E44E68" w:rsidRPr="007C1494">
        <w:rPr>
          <w:rFonts w:eastAsia="Calibri" w:cs="Times New Roman"/>
          <w:noProof/>
          <w:szCs w:val="24"/>
        </w:rPr>
        <w:t xml:space="preserve"> products</w:t>
      </w:r>
      <w:r w:rsidR="004846E3">
        <w:rPr>
          <w:rFonts w:eastAsia="Calibri" w:cs="Times New Roman"/>
          <w:noProof/>
          <w:szCs w:val="24"/>
        </w:rPr>
        <w:t xml:space="preserve"> are compliant with the EU </w:t>
      </w:r>
      <w:r w:rsidR="00D23FFC" w:rsidRPr="00760D6B">
        <w:rPr>
          <w:rFonts w:eastAsia="Calibri" w:cs="Times New Roman"/>
          <w:noProof/>
          <w:szCs w:val="24"/>
        </w:rPr>
        <w:t>requirements</w:t>
      </w:r>
      <w:r w:rsidR="00E44E68" w:rsidRPr="00760D6B">
        <w:rPr>
          <w:rFonts w:eastAsia="Calibri" w:cs="Times New Roman"/>
          <w:noProof/>
          <w:szCs w:val="24"/>
        </w:rPr>
        <w:t>.</w:t>
      </w:r>
      <w:r w:rsidR="00E44E68" w:rsidRPr="007C1494">
        <w:rPr>
          <w:rFonts w:eastAsia="Calibri" w:cs="Times New Roman"/>
          <w:noProof/>
          <w:szCs w:val="24"/>
        </w:rPr>
        <w:t xml:space="preserve"> </w:t>
      </w:r>
      <w:r w:rsidR="00F35990" w:rsidRPr="007C1494">
        <w:rPr>
          <w:rFonts w:eastAsia="Calibri" w:cs="Times New Roman"/>
          <w:noProof/>
          <w:szCs w:val="24"/>
        </w:rPr>
        <w:t>O</w:t>
      </w:r>
      <w:r w:rsidR="00E44E68" w:rsidRPr="007C1494">
        <w:rPr>
          <w:rFonts w:eastAsia="Calibri" w:cs="Times New Roman"/>
          <w:noProof/>
          <w:szCs w:val="24"/>
        </w:rPr>
        <w:t xml:space="preserve">perators could </w:t>
      </w:r>
      <w:r w:rsidR="004846E3">
        <w:rPr>
          <w:rFonts w:eastAsia="Calibri" w:cs="Times New Roman"/>
          <w:noProof/>
          <w:szCs w:val="24"/>
        </w:rPr>
        <w:t xml:space="preserve">then </w:t>
      </w:r>
      <w:r w:rsidR="00E44E68" w:rsidRPr="007C1494">
        <w:rPr>
          <w:rFonts w:eastAsia="Calibri" w:cs="Times New Roman"/>
          <w:noProof/>
          <w:szCs w:val="24"/>
        </w:rPr>
        <w:t>use the approved systems to facilitate their compliance with the EU legislation as a risk mitigation tool within the due diligence requirements, maintaining</w:t>
      </w:r>
      <w:r w:rsidR="00B64C1F" w:rsidRPr="007C1494">
        <w:rPr>
          <w:rFonts w:eastAsia="Calibri" w:cs="Times New Roman"/>
          <w:noProof/>
          <w:szCs w:val="24"/>
        </w:rPr>
        <w:t>, however,</w:t>
      </w:r>
      <w:r w:rsidR="00E44E68" w:rsidRPr="007C1494">
        <w:rPr>
          <w:rFonts w:eastAsia="Calibri" w:cs="Times New Roman"/>
          <w:noProof/>
          <w:szCs w:val="24"/>
        </w:rPr>
        <w:t xml:space="preserve"> operators’ liability in case of n</w:t>
      </w:r>
      <w:r w:rsidR="00B64C1F" w:rsidRPr="007C1494">
        <w:rPr>
          <w:rFonts w:eastAsia="Calibri" w:cs="Times New Roman"/>
          <w:noProof/>
          <w:szCs w:val="24"/>
        </w:rPr>
        <w:t>o</w:t>
      </w:r>
      <w:r w:rsidR="00265E4B" w:rsidRPr="007C1494">
        <w:rPr>
          <w:rFonts w:eastAsia="Calibri" w:cs="Times New Roman"/>
          <w:noProof/>
          <w:szCs w:val="24"/>
        </w:rPr>
        <w:t>n</w:t>
      </w:r>
      <w:r w:rsidR="00B64C1F" w:rsidRPr="007C1494">
        <w:rPr>
          <w:rFonts w:eastAsia="Calibri" w:cs="Times New Roman"/>
          <w:noProof/>
          <w:szCs w:val="24"/>
        </w:rPr>
        <w:t>-</w:t>
      </w:r>
      <w:r w:rsidR="00E44E68" w:rsidRPr="007C1494">
        <w:rPr>
          <w:rFonts w:eastAsia="Calibri" w:cs="Times New Roman"/>
          <w:noProof/>
          <w:szCs w:val="24"/>
        </w:rPr>
        <w:t>compliance (as in option one).</w:t>
      </w:r>
      <w:bookmarkStart w:id="125" w:name="_Toc67074888"/>
      <w:bookmarkEnd w:id="125"/>
    </w:p>
    <w:p w14:paraId="60B70AEB" w14:textId="19BF7181" w:rsidR="00BE3F85" w:rsidRPr="007C1494" w:rsidRDefault="00BE3F85" w:rsidP="00E44E68">
      <w:pPr>
        <w:jc w:val="both"/>
        <w:rPr>
          <w:rFonts w:eastAsia="Calibri" w:cs="Times New Roman"/>
          <w:noProof/>
          <w:szCs w:val="24"/>
        </w:rPr>
      </w:pPr>
      <w:r>
        <w:rPr>
          <w:rFonts w:eastAsia="Calibri" w:cs="Times New Roman"/>
          <w:noProof/>
          <w:szCs w:val="24"/>
        </w:rPr>
        <w:t xml:space="preserve">Policy option 3 seeks to achieve some of the same benefits of option 2, namely creating incentives for countries to engage and protect their forests </w:t>
      </w:r>
      <w:r w:rsidR="00CB0B0F">
        <w:rPr>
          <w:rFonts w:eastAsia="Calibri" w:cs="Times New Roman"/>
          <w:noProof/>
          <w:szCs w:val="24"/>
        </w:rPr>
        <w:t>(</w:t>
      </w:r>
      <w:r>
        <w:rPr>
          <w:rFonts w:eastAsia="Calibri" w:cs="Times New Roman"/>
          <w:noProof/>
          <w:szCs w:val="24"/>
        </w:rPr>
        <w:t>in exchange for improved market access</w:t>
      </w:r>
      <w:r w:rsidR="00CB0B0F">
        <w:rPr>
          <w:rFonts w:eastAsia="Calibri" w:cs="Times New Roman"/>
          <w:noProof/>
          <w:szCs w:val="24"/>
        </w:rPr>
        <w:t>)</w:t>
      </w:r>
      <w:r>
        <w:rPr>
          <w:rFonts w:eastAsia="Calibri" w:cs="Times New Roman"/>
          <w:noProof/>
          <w:szCs w:val="24"/>
        </w:rPr>
        <w:t xml:space="preserve">, </w:t>
      </w:r>
      <w:r w:rsidR="00CB0B0F">
        <w:rPr>
          <w:rFonts w:eastAsia="Calibri" w:cs="Times New Roman"/>
          <w:noProof/>
          <w:szCs w:val="24"/>
        </w:rPr>
        <w:t xml:space="preserve">as well as </w:t>
      </w:r>
      <w:r>
        <w:rPr>
          <w:rFonts w:eastAsia="Calibri" w:cs="Times New Roman"/>
          <w:noProof/>
          <w:szCs w:val="24"/>
        </w:rPr>
        <w:t xml:space="preserve">facilitating compliance — and reducing costs — for operators. However, in contrast with option 2, which </w:t>
      </w:r>
      <w:r w:rsidR="00480689">
        <w:rPr>
          <w:rFonts w:eastAsia="Calibri" w:cs="Times New Roman"/>
          <w:noProof/>
          <w:szCs w:val="24"/>
        </w:rPr>
        <w:t xml:space="preserve">can be applied to all countries, </w:t>
      </w:r>
      <w:r>
        <w:rPr>
          <w:rFonts w:eastAsia="Calibri" w:cs="Times New Roman"/>
          <w:noProof/>
          <w:szCs w:val="24"/>
        </w:rPr>
        <w:t xml:space="preserve">policy option 3 </w:t>
      </w:r>
      <w:r w:rsidR="00CB0B0F">
        <w:rPr>
          <w:rFonts w:eastAsia="Calibri" w:cs="Times New Roman"/>
          <w:noProof/>
          <w:szCs w:val="24"/>
        </w:rPr>
        <w:t>would rely</w:t>
      </w:r>
      <w:r>
        <w:rPr>
          <w:rFonts w:eastAsia="Calibri" w:cs="Times New Roman"/>
          <w:noProof/>
          <w:szCs w:val="24"/>
        </w:rPr>
        <w:t xml:space="preserve"> on the </w:t>
      </w:r>
      <w:r w:rsidR="00CB0B0F">
        <w:rPr>
          <w:rFonts w:eastAsia="Calibri" w:cs="Times New Roman"/>
          <w:noProof/>
          <w:szCs w:val="24"/>
        </w:rPr>
        <w:t xml:space="preserve">willingness of countries to </w:t>
      </w:r>
      <w:r w:rsidR="000B39A8">
        <w:rPr>
          <w:rFonts w:eastAsia="Calibri" w:cs="Times New Roman"/>
          <w:noProof/>
          <w:szCs w:val="24"/>
        </w:rPr>
        <w:t>create</w:t>
      </w:r>
      <w:r w:rsidR="00CB0B0F">
        <w:rPr>
          <w:rFonts w:eastAsia="Calibri" w:cs="Times New Roman"/>
          <w:noProof/>
          <w:szCs w:val="24"/>
        </w:rPr>
        <w:t xml:space="preserve"> their own mandatory public certification system</w:t>
      </w:r>
      <w:r w:rsidR="00E60CA0">
        <w:rPr>
          <w:rFonts w:eastAsia="Calibri" w:cs="Times New Roman"/>
          <w:noProof/>
          <w:szCs w:val="24"/>
        </w:rPr>
        <w:t>s</w:t>
      </w:r>
      <w:r w:rsidR="00480689">
        <w:rPr>
          <w:rFonts w:eastAsia="Calibri" w:cs="Times New Roman"/>
          <w:noProof/>
          <w:szCs w:val="24"/>
        </w:rPr>
        <w:t xml:space="preserve"> and request its recognition</w:t>
      </w:r>
      <w:r w:rsidR="00CB0B0F">
        <w:rPr>
          <w:rFonts w:eastAsia="Calibri" w:cs="Times New Roman"/>
          <w:noProof/>
          <w:szCs w:val="24"/>
        </w:rPr>
        <w:t xml:space="preserve">. </w:t>
      </w:r>
    </w:p>
    <w:p w14:paraId="1E93D8C9" w14:textId="2301BC6C" w:rsidR="00E44E68" w:rsidRPr="007C1494" w:rsidRDefault="00335526" w:rsidP="00335526">
      <w:pPr>
        <w:pStyle w:val="Heading3"/>
        <w:rPr>
          <w:noProof/>
          <w:szCs w:val="24"/>
        </w:rPr>
      </w:pPr>
      <w:bookmarkStart w:id="126" w:name="_Toc75542190"/>
      <w:bookmarkStart w:id="127" w:name="_Toc75543223"/>
      <w:bookmarkStart w:id="128" w:name="_Toc84591911"/>
      <w:r w:rsidRPr="00335526">
        <w:t>5.3.4</w:t>
      </w:r>
      <w:r w:rsidRPr="00335526">
        <w:tab/>
      </w:r>
      <w:r w:rsidR="00E44E68" w:rsidRPr="00B02CBC">
        <w:rPr>
          <w:noProof/>
        </w:rPr>
        <w:t>Policy option 4: Mandatory labelling combined with an improved due diligence requirement, relying on a deforestation free definition</w:t>
      </w:r>
      <w:bookmarkEnd w:id="126"/>
      <w:bookmarkEnd w:id="127"/>
      <w:bookmarkEnd w:id="128"/>
    </w:p>
    <w:p w14:paraId="25AB6715" w14:textId="3796205A" w:rsidR="00C139FC" w:rsidRPr="007C1494" w:rsidRDefault="000B39A8" w:rsidP="00C139FC">
      <w:pPr>
        <w:jc w:val="both"/>
        <w:rPr>
          <w:rFonts w:eastAsia="Calibri" w:cs="Times New Roman"/>
          <w:noProof/>
          <w:szCs w:val="24"/>
        </w:rPr>
      </w:pPr>
      <w:r>
        <w:rPr>
          <w:rFonts w:eastAsia="Calibri" w:cs="Times New Roman"/>
          <w:noProof/>
          <w:szCs w:val="24"/>
        </w:rPr>
        <w:t xml:space="preserve">Policy option 4 also builds on the due diligence system laid out in policy option 1. In addition, companies </w:t>
      </w:r>
      <w:r w:rsidR="008809DD">
        <w:rPr>
          <w:rFonts w:eastAsia="Calibri" w:cs="Times New Roman"/>
          <w:noProof/>
          <w:szCs w:val="24"/>
        </w:rPr>
        <w:t xml:space="preserve">will be required to </w:t>
      </w:r>
      <w:r w:rsidR="00E44E68" w:rsidRPr="007C1494">
        <w:rPr>
          <w:rFonts w:eastAsia="Calibri" w:cs="Times New Roman"/>
          <w:noProof/>
          <w:szCs w:val="24"/>
        </w:rPr>
        <w:t xml:space="preserve">label </w:t>
      </w:r>
      <w:r w:rsidR="008809DD">
        <w:rPr>
          <w:rFonts w:eastAsia="Calibri" w:cs="Times New Roman"/>
          <w:noProof/>
          <w:szCs w:val="24"/>
        </w:rPr>
        <w:t xml:space="preserve">relevant commodities and products </w:t>
      </w:r>
      <w:r w:rsidR="00E44E68" w:rsidRPr="007C1494">
        <w:rPr>
          <w:rFonts w:eastAsia="Calibri" w:cs="Times New Roman"/>
          <w:noProof/>
          <w:szCs w:val="24"/>
        </w:rPr>
        <w:t xml:space="preserve">signalling compliance </w:t>
      </w:r>
      <w:r w:rsidR="008809DD">
        <w:rPr>
          <w:rFonts w:eastAsia="Calibri" w:cs="Times New Roman"/>
          <w:noProof/>
          <w:szCs w:val="24"/>
        </w:rPr>
        <w:t>with the EU intervention</w:t>
      </w:r>
      <w:r w:rsidR="00E44E68" w:rsidRPr="007C1494">
        <w:rPr>
          <w:rFonts w:eastAsia="Calibri" w:cs="Times New Roman"/>
          <w:noProof/>
          <w:szCs w:val="24"/>
        </w:rPr>
        <w:t xml:space="preserve">. </w:t>
      </w:r>
      <w:r w:rsidR="008809DD">
        <w:rPr>
          <w:rFonts w:eastAsia="Calibri" w:cs="Times New Roman"/>
          <w:noProof/>
          <w:szCs w:val="24"/>
        </w:rPr>
        <w:t xml:space="preserve">This label would be for information purposes only, as non-compliant products would not be allowed to be placed on the EU market, in line with the general prohibition established in the underlying due diligence system. </w:t>
      </w:r>
      <w:r w:rsidR="00C139FC" w:rsidRPr="007C1494">
        <w:rPr>
          <w:rFonts w:eastAsia="Calibri" w:cs="Times New Roman"/>
          <w:noProof/>
          <w:szCs w:val="24"/>
        </w:rPr>
        <w:t xml:space="preserve">Mandatory labelling would provide consumers with </w:t>
      </w:r>
      <w:r w:rsidR="00CA08E7" w:rsidRPr="007C1494">
        <w:rPr>
          <w:rFonts w:eastAsia="Calibri" w:cs="Times New Roman"/>
          <w:noProof/>
          <w:szCs w:val="24"/>
        </w:rPr>
        <w:t xml:space="preserve">the </w:t>
      </w:r>
      <w:r w:rsidR="00C139FC" w:rsidRPr="007C1494">
        <w:rPr>
          <w:rFonts w:eastAsia="Calibri" w:cs="Times New Roman"/>
          <w:noProof/>
          <w:szCs w:val="24"/>
        </w:rPr>
        <w:t xml:space="preserve">information </w:t>
      </w:r>
      <w:r w:rsidR="00DF06F5" w:rsidRPr="007C1494">
        <w:rPr>
          <w:rFonts w:eastAsia="Calibri" w:cs="Times New Roman"/>
          <w:noProof/>
          <w:szCs w:val="24"/>
        </w:rPr>
        <w:t>that</w:t>
      </w:r>
      <w:r w:rsidR="00C139FC" w:rsidRPr="007C1494">
        <w:rPr>
          <w:rFonts w:eastAsia="Calibri" w:cs="Times New Roman"/>
          <w:noProof/>
          <w:szCs w:val="24"/>
        </w:rPr>
        <w:t xml:space="preserve"> products </w:t>
      </w:r>
      <w:r w:rsidR="00DF06F5" w:rsidRPr="007C1494">
        <w:rPr>
          <w:rFonts w:eastAsia="Calibri" w:cs="Times New Roman"/>
          <w:noProof/>
          <w:szCs w:val="24"/>
        </w:rPr>
        <w:t xml:space="preserve">placed on the EU market </w:t>
      </w:r>
      <w:r w:rsidR="00CA08E7" w:rsidRPr="007C1494">
        <w:rPr>
          <w:rFonts w:eastAsia="Calibri" w:cs="Times New Roman"/>
          <w:noProof/>
          <w:szCs w:val="24"/>
        </w:rPr>
        <w:t xml:space="preserve">are not </w:t>
      </w:r>
      <w:r w:rsidR="00375E24" w:rsidRPr="007C1494">
        <w:rPr>
          <w:rFonts w:eastAsia="Calibri" w:cs="Times New Roman"/>
          <w:noProof/>
          <w:szCs w:val="24"/>
        </w:rPr>
        <w:t>coming from supply chains associated with</w:t>
      </w:r>
      <w:r w:rsidR="00C139FC" w:rsidRPr="007C1494">
        <w:rPr>
          <w:rFonts w:eastAsia="Calibri" w:cs="Times New Roman"/>
          <w:noProof/>
          <w:szCs w:val="24"/>
        </w:rPr>
        <w:t xml:space="preserve"> deforestation and/or forest degradation</w:t>
      </w:r>
      <w:r w:rsidR="008809DD">
        <w:rPr>
          <w:rFonts w:eastAsia="Calibri" w:cs="Times New Roman"/>
          <w:noProof/>
          <w:szCs w:val="24"/>
        </w:rPr>
        <w:t>, potentially increasing awareness about the subject.</w:t>
      </w:r>
    </w:p>
    <w:p w14:paraId="76D55CAC" w14:textId="7A477934" w:rsidR="00E44E68" w:rsidRPr="007C1494" w:rsidRDefault="00335526" w:rsidP="00335526">
      <w:pPr>
        <w:pStyle w:val="Heading3"/>
        <w:rPr>
          <w:noProof/>
          <w:szCs w:val="24"/>
        </w:rPr>
      </w:pPr>
      <w:bookmarkStart w:id="129" w:name="_Toc67074995"/>
      <w:bookmarkStart w:id="130" w:name="_Toc75542191"/>
      <w:bookmarkStart w:id="131" w:name="_Toc75543224"/>
      <w:bookmarkStart w:id="132" w:name="_Toc84591912"/>
      <w:r w:rsidRPr="00335526">
        <w:t>5.3.5</w:t>
      </w:r>
      <w:r w:rsidRPr="00335526">
        <w:tab/>
      </w:r>
      <w:r w:rsidR="00E44E68" w:rsidRPr="00B02CBC">
        <w:rPr>
          <w:noProof/>
        </w:rPr>
        <w:t>Policy option 5: Deforestation-free requirement for placing on the EU market supported by benchmarking and country card systems</w:t>
      </w:r>
      <w:bookmarkEnd w:id="129"/>
      <w:bookmarkEnd w:id="130"/>
      <w:bookmarkEnd w:id="131"/>
      <w:bookmarkEnd w:id="132"/>
    </w:p>
    <w:p w14:paraId="5A36EEE4" w14:textId="45A07398" w:rsidR="00E97ECE" w:rsidRDefault="00E44E68" w:rsidP="00E44E68">
      <w:pPr>
        <w:jc w:val="both"/>
        <w:rPr>
          <w:rFonts w:eastAsia="Calibri" w:cs="Times New Roman"/>
          <w:noProof/>
          <w:szCs w:val="24"/>
        </w:rPr>
      </w:pPr>
      <w:r w:rsidRPr="007C1494">
        <w:rPr>
          <w:rFonts w:eastAsia="Calibri" w:cs="Times New Roman"/>
          <w:noProof/>
          <w:szCs w:val="24"/>
        </w:rPr>
        <w:t xml:space="preserve">This option </w:t>
      </w:r>
      <w:r w:rsidR="00B9256E">
        <w:rPr>
          <w:rFonts w:eastAsia="Calibri" w:cs="Times New Roman"/>
          <w:noProof/>
          <w:szCs w:val="24"/>
        </w:rPr>
        <w:t xml:space="preserve">is the only one </w:t>
      </w:r>
      <w:r w:rsidR="005411D3">
        <w:rPr>
          <w:rFonts w:eastAsia="Calibri" w:cs="Times New Roman"/>
          <w:noProof/>
          <w:szCs w:val="24"/>
        </w:rPr>
        <w:t xml:space="preserve">not based on a </w:t>
      </w:r>
      <w:r w:rsidR="00B9256E">
        <w:rPr>
          <w:rFonts w:eastAsia="Calibri" w:cs="Times New Roman"/>
          <w:noProof/>
          <w:szCs w:val="24"/>
        </w:rPr>
        <w:t xml:space="preserve">due diligence system. It </w:t>
      </w:r>
      <w:r w:rsidRPr="007C1494">
        <w:rPr>
          <w:rFonts w:eastAsia="Calibri" w:cs="Times New Roman"/>
          <w:noProof/>
          <w:szCs w:val="24"/>
        </w:rPr>
        <w:t xml:space="preserve">would </w:t>
      </w:r>
      <w:r w:rsidR="00B9256E">
        <w:rPr>
          <w:rFonts w:eastAsia="Calibri" w:cs="Times New Roman"/>
          <w:noProof/>
          <w:szCs w:val="24"/>
        </w:rPr>
        <w:t>be based</w:t>
      </w:r>
      <w:r w:rsidR="00E97ECE">
        <w:rPr>
          <w:rFonts w:eastAsia="Calibri" w:cs="Times New Roman"/>
          <w:noProof/>
          <w:szCs w:val="24"/>
        </w:rPr>
        <w:t>, with the necessary adaptations,</w:t>
      </w:r>
      <w:r w:rsidR="00B9256E">
        <w:rPr>
          <w:rFonts w:eastAsia="Calibri" w:cs="Times New Roman"/>
          <w:noProof/>
          <w:szCs w:val="24"/>
        </w:rPr>
        <w:t xml:space="preserve"> on the </w:t>
      </w:r>
      <w:r w:rsidR="00E97ECE">
        <w:rPr>
          <w:rFonts w:eastAsia="Calibri" w:cs="Times New Roman"/>
          <w:noProof/>
          <w:szCs w:val="24"/>
        </w:rPr>
        <w:t xml:space="preserve">current </w:t>
      </w:r>
      <w:r w:rsidR="00B9256E">
        <w:rPr>
          <w:rFonts w:eastAsia="Calibri" w:cs="Times New Roman"/>
          <w:noProof/>
          <w:szCs w:val="24"/>
        </w:rPr>
        <w:t xml:space="preserve">EU rules to </w:t>
      </w:r>
      <w:r w:rsidR="00E97ECE" w:rsidRPr="00E97ECE">
        <w:rPr>
          <w:rFonts w:eastAsia="Calibri" w:cs="Times New Roman"/>
          <w:noProof/>
          <w:szCs w:val="24"/>
        </w:rPr>
        <w:t>prevent, deter and eliminate illegal, unreported and unregulated fishing</w:t>
      </w:r>
      <w:r w:rsidR="00E97ECE">
        <w:rPr>
          <w:rFonts w:eastAsia="Calibri" w:cs="Times New Roman"/>
          <w:noProof/>
          <w:szCs w:val="24"/>
        </w:rPr>
        <w:t xml:space="preserve"> (IUU)</w:t>
      </w:r>
      <w:r w:rsidR="00480689">
        <w:rPr>
          <w:rFonts w:eastAsia="Calibri" w:cs="Times New Roman"/>
          <w:noProof/>
          <w:szCs w:val="24"/>
        </w:rPr>
        <w:t>.</w:t>
      </w:r>
      <w:r w:rsidR="009A0156" w:rsidRPr="009A0156">
        <w:rPr>
          <w:rStyle w:val="FootnoteReference"/>
          <w:rFonts w:eastAsia="Calibri" w:cs="Times New Roman"/>
          <w:noProof/>
          <w:szCs w:val="24"/>
        </w:rPr>
        <w:t xml:space="preserve"> </w:t>
      </w:r>
      <w:r w:rsidR="009A0156">
        <w:rPr>
          <w:rStyle w:val="FootnoteReference"/>
          <w:rFonts w:eastAsia="Calibri" w:cs="Times New Roman"/>
          <w:noProof/>
          <w:szCs w:val="24"/>
        </w:rPr>
        <w:footnoteReference w:id="113"/>
      </w:r>
      <w:r w:rsidR="00E97ECE">
        <w:rPr>
          <w:rFonts w:eastAsia="Calibri" w:cs="Times New Roman"/>
          <w:noProof/>
          <w:szCs w:val="24"/>
        </w:rPr>
        <w:t xml:space="preserve"> </w:t>
      </w:r>
    </w:p>
    <w:p w14:paraId="72511B28" w14:textId="4A08B29D" w:rsidR="00E44E68" w:rsidRPr="007C1494" w:rsidRDefault="00E97ECE" w:rsidP="00E44E68">
      <w:pPr>
        <w:jc w:val="both"/>
        <w:rPr>
          <w:rFonts w:eastAsia="Calibri" w:cs="Times New Roman"/>
          <w:noProof/>
          <w:szCs w:val="24"/>
        </w:rPr>
      </w:pPr>
      <w:r>
        <w:rPr>
          <w:rFonts w:eastAsia="Calibri" w:cs="Times New Roman"/>
          <w:noProof/>
          <w:szCs w:val="24"/>
        </w:rPr>
        <w:t>The system w</w:t>
      </w:r>
      <w:r w:rsidR="005411D3">
        <w:rPr>
          <w:rFonts w:eastAsia="Calibri" w:cs="Times New Roman"/>
          <w:noProof/>
          <w:szCs w:val="24"/>
        </w:rPr>
        <w:t>ould</w:t>
      </w:r>
      <w:r>
        <w:rPr>
          <w:rFonts w:eastAsia="Calibri" w:cs="Times New Roman"/>
          <w:noProof/>
          <w:szCs w:val="24"/>
        </w:rPr>
        <w:t xml:space="preserve"> consist of </w:t>
      </w:r>
      <w:r w:rsidR="00E44E68" w:rsidRPr="007C1494">
        <w:rPr>
          <w:rFonts w:eastAsia="Calibri" w:cs="Times New Roman"/>
          <w:noProof/>
          <w:szCs w:val="24"/>
        </w:rPr>
        <w:t>several features to implement and enforce the deforestation</w:t>
      </w:r>
      <w:r w:rsidR="00321466" w:rsidRPr="007C1494">
        <w:rPr>
          <w:rFonts w:eastAsia="Calibri" w:cs="Times New Roman"/>
          <w:noProof/>
          <w:szCs w:val="24"/>
        </w:rPr>
        <w:t>-</w:t>
      </w:r>
      <w:r w:rsidR="00E44E68" w:rsidRPr="007C1494">
        <w:rPr>
          <w:rFonts w:eastAsia="Calibri" w:cs="Times New Roman"/>
          <w:noProof/>
          <w:szCs w:val="24"/>
        </w:rPr>
        <w:t xml:space="preserve">free </w:t>
      </w:r>
      <w:r w:rsidR="0034593A">
        <w:rPr>
          <w:rFonts w:eastAsia="Calibri" w:cs="Times New Roman"/>
          <w:noProof/>
          <w:szCs w:val="24"/>
        </w:rPr>
        <w:t>definition</w:t>
      </w:r>
      <w:r>
        <w:rPr>
          <w:rFonts w:eastAsia="Calibri" w:cs="Times New Roman"/>
          <w:noProof/>
          <w:szCs w:val="24"/>
        </w:rPr>
        <w:t xml:space="preserve"> and the requirement for the relevant commodities and products to be produced according in respect of the laws of the country of production</w:t>
      </w:r>
      <w:r w:rsidR="00E44E68" w:rsidRPr="007C1494">
        <w:rPr>
          <w:rFonts w:eastAsia="Calibri" w:cs="Times New Roman"/>
          <w:noProof/>
          <w:szCs w:val="24"/>
        </w:rPr>
        <w:t xml:space="preserve">: </w:t>
      </w:r>
      <w:r>
        <w:rPr>
          <w:rFonts w:eastAsia="Calibri" w:cs="Times New Roman"/>
          <w:noProof/>
          <w:szCs w:val="24"/>
        </w:rPr>
        <w:t xml:space="preserve">a) Public certification systems in producing countries </w:t>
      </w:r>
      <w:r w:rsidR="005411D3">
        <w:rPr>
          <w:rFonts w:eastAsia="Calibri" w:cs="Times New Roman"/>
          <w:noProof/>
          <w:szCs w:val="24"/>
        </w:rPr>
        <w:t xml:space="preserve">intending </w:t>
      </w:r>
      <w:r>
        <w:rPr>
          <w:rFonts w:eastAsia="Calibri" w:cs="Times New Roman"/>
          <w:noProof/>
          <w:szCs w:val="24"/>
        </w:rPr>
        <w:t>to place their commodities and products on the EU market; b) a</w:t>
      </w:r>
      <w:r w:rsidR="00E44E68" w:rsidRPr="007C1494">
        <w:rPr>
          <w:rFonts w:eastAsia="Calibri" w:cs="Times New Roman"/>
          <w:noProof/>
          <w:szCs w:val="24"/>
        </w:rPr>
        <w:t xml:space="preserve"> benchmarking system to support the implementation and enforcement of the measure</w:t>
      </w:r>
      <w:r>
        <w:rPr>
          <w:rFonts w:eastAsia="Calibri" w:cs="Times New Roman"/>
          <w:noProof/>
          <w:szCs w:val="24"/>
        </w:rPr>
        <w:t>;</w:t>
      </w:r>
      <w:r w:rsidR="00E44E68" w:rsidRPr="007C1494">
        <w:rPr>
          <w:rFonts w:eastAsia="Calibri" w:cs="Times New Roman"/>
          <w:noProof/>
          <w:szCs w:val="24"/>
        </w:rPr>
        <w:t xml:space="preserve"> </w:t>
      </w:r>
      <w:r w:rsidR="00266444">
        <w:rPr>
          <w:rFonts w:eastAsia="Calibri" w:cs="Times New Roman"/>
          <w:noProof/>
          <w:szCs w:val="24"/>
        </w:rPr>
        <w:t xml:space="preserve">c) a country carding system; d) </w:t>
      </w:r>
      <w:r w:rsidR="00E44E68" w:rsidRPr="007C1494">
        <w:rPr>
          <w:rFonts w:eastAsia="Calibri" w:cs="Times New Roman"/>
          <w:noProof/>
          <w:szCs w:val="24"/>
        </w:rPr>
        <w:t>penalties for EU operators not adhering to the laws</w:t>
      </w:r>
      <w:r w:rsidR="00266444">
        <w:rPr>
          <w:rFonts w:eastAsia="Calibri" w:cs="Times New Roman"/>
          <w:noProof/>
          <w:szCs w:val="24"/>
        </w:rPr>
        <w:t xml:space="preserve"> and </w:t>
      </w:r>
      <w:r w:rsidR="00E44E68" w:rsidRPr="007C1494">
        <w:rPr>
          <w:rFonts w:eastAsia="Calibri" w:cs="Times New Roman"/>
          <w:noProof/>
          <w:szCs w:val="24"/>
        </w:rPr>
        <w:t xml:space="preserve">a list of contravening operators. </w:t>
      </w:r>
    </w:p>
    <w:p w14:paraId="041B72E6" w14:textId="371F8DD8" w:rsidR="0073264F" w:rsidRPr="007C1494" w:rsidRDefault="0025631B" w:rsidP="00E44E68">
      <w:pPr>
        <w:jc w:val="both"/>
        <w:rPr>
          <w:rFonts w:eastAsia="Calibri" w:cs="Times New Roman"/>
          <w:noProof/>
          <w:szCs w:val="24"/>
        </w:rPr>
      </w:pPr>
      <w:r w:rsidRPr="007C1494">
        <w:rPr>
          <w:rFonts w:eastAsia="Calibri" w:cs="Times New Roman"/>
          <w:noProof/>
          <w:szCs w:val="24"/>
        </w:rPr>
        <w:t>Producing c</w:t>
      </w:r>
      <w:r w:rsidR="0073264F" w:rsidRPr="007C1494">
        <w:rPr>
          <w:rFonts w:eastAsia="Calibri" w:cs="Times New Roman"/>
          <w:noProof/>
          <w:szCs w:val="24"/>
        </w:rPr>
        <w:t xml:space="preserve">ountries </w:t>
      </w:r>
      <w:r w:rsidR="0050318D">
        <w:rPr>
          <w:rFonts w:eastAsia="Calibri" w:cs="Times New Roman"/>
          <w:noProof/>
          <w:szCs w:val="24"/>
        </w:rPr>
        <w:t xml:space="preserve">would </w:t>
      </w:r>
      <w:r w:rsidR="0073264F" w:rsidRPr="007C1494">
        <w:rPr>
          <w:rFonts w:eastAsia="Calibri" w:cs="Times New Roman"/>
          <w:noProof/>
          <w:szCs w:val="24"/>
        </w:rPr>
        <w:t>issue and validate certificat</w:t>
      </w:r>
      <w:r w:rsidRPr="007C1494">
        <w:rPr>
          <w:rFonts w:eastAsia="Calibri" w:cs="Times New Roman"/>
          <w:noProof/>
          <w:szCs w:val="24"/>
        </w:rPr>
        <w:t>es</w:t>
      </w:r>
      <w:r w:rsidR="0073264F" w:rsidRPr="007C1494">
        <w:rPr>
          <w:rFonts w:eastAsia="Calibri" w:cs="Times New Roman"/>
          <w:noProof/>
          <w:szCs w:val="24"/>
        </w:rPr>
        <w:t xml:space="preserve"> for the </w:t>
      </w:r>
      <w:r w:rsidRPr="007C1494">
        <w:rPr>
          <w:rFonts w:eastAsia="Calibri" w:cs="Times New Roman"/>
          <w:noProof/>
          <w:szCs w:val="24"/>
        </w:rPr>
        <w:t xml:space="preserve">placing </w:t>
      </w:r>
      <w:r w:rsidR="0073264F" w:rsidRPr="007C1494">
        <w:rPr>
          <w:rFonts w:eastAsia="Calibri" w:cs="Times New Roman"/>
          <w:noProof/>
          <w:szCs w:val="24"/>
        </w:rPr>
        <w:t>of commodities</w:t>
      </w:r>
      <w:r w:rsidR="00456579" w:rsidRPr="007C1494">
        <w:rPr>
          <w:rFonts w:eastAsia="Calibri" w:cs="Times New Roman"/>
          <w:noProof/>
          <w:szCs w:val="24"/>
        </w:rPr>
        <w:t>/</w:t>
      </w:r>
      <w:r w:rsidR="0073264F" w:rsidRPr="007C1494">
        <w:rPr>
          <w:rFonts w:eastAsia="Calibri" w:cs="Times New Roman"/>
          <w:noProof/>
          <w:szCs w:val="24"/>
        </w:rPr>
        <w:t xml:space="preserve">products </w:t>
      </w:r>
      <w:r w:rsidRPr="007C1494">
        <w:rPr>
          <w:rFonts w:eastAsia="Calibri" w:cs="Times New Roman"/>
          <w:noProof/>
          <w:szCs w:val="24"/>
        </w:rPr>
        <w:t>on</w:t>
      </w:r>
      <w:r w:rsidR="0073264F" w:rsidRPr="007C1494">
        <w:rPr>
          <w:rFonts w:eastAsia="Calibri" w:cs="Times New Roman"/>
          <w:noProof/>
          <w:szCs w:val="24"/>
        </w:rPr>
        <w:t xml:space="preserve"> the EU</w:t>
      </w:r>
      <w:r w:rsidRPr="007C1494">
        <w:rPr>
          <w:rFonts w:eastAsia="Calibri" w:cs="Times New Roman"/>
          <w:noProof/>
          <w:szCs w:val="24"/>
        </w:rPr>
        <w:t xml:space="preserve"> market</w:t>
      </w:r>
      <w:r w:rsidR="0073264F" w:rsidRPr="007C1494">
        <w:rPr>
          <w:rFonts w:eastAsia="Calibri" w:cs="Times New Roman"/>
          <w:noProof/>
          <w:szCs w:val="24"/>
        </w:rPr>
        <w:t xml:space="preserve">, </w:t>
      </w:r>
      <w:r w:rsidR="004F6D25">
        <w:rPr>
          <w:rFonts w:eastAsia="Calibri" w:cs="Times New Roman"/>
          <w:noProof/>
          <w:szCs w:val="24"/>
        </w:rPr>
        <w:t xml:space="preserve">including basic information about the </w:t>
      </w:r>
      <w:r w:rsidR="0073264F" w:rsidRPr="007C1494">
        <w:rPr>
          <w:rFonts w:eastAsia="Calibri" w:cs="Times New Roman"/>
          <w:noProof/>
          <w:szCs w:val="24"/>
        </w:rPr>
        <w:t xml:space="preserve">consignment, as well as specifying that the commodities </w:t>
      </w:r>
      <w:r w:rsidRPr="007C1494">
        <w:rPr>
          <w:rFonts w:eastAsia="Calibri" w:cs="Times New Roman"/>
          <w:noProof/>
          <w:szCs w:val="24"/>
        </w:rPr>
        <w:t xml:space="preserve">and products </w:t>
      </w:r>
      <w:r w:rsidR="0073264F" w:rsidRPr="007C1494">
        <w:rPr>
          <w:rFonts w:eastAsia="Calibri" w:cs="Times New Roman"/>
          <w:noProof/>
          <w:szCs w:val="24"/>
        </w:rPr>
        <w:t>were harvested</w:t>
      </w:r>
      <w:r w:rsidR="00456579" w:rsidRPr="007C1494">
        <w:rPr>
          <w:rFonts w:eastAsia="Calibri" w:cs="Times New Roman"/>
          <w:noProof/>
          <w:szCs w:val="24"/>
        </w:rPr>
        <w:t>/</w:t>
      </w:r>
      <w:r w:rsidR="0073264F" w:rsidRPr="007C1494">
        <w:rPr>
          <w:rFonts w:eastAsia="Calibri" w:cs="Times New Roman"/>
          <w:noProof/>
          <w:szCs w:val="24"/>
        </w:rPr>
        <w:t>grown</w:t>
      </w:r>
      <w:r w:rsidRPr="007C1494">
        <w:rPr>
          <w:rFonts w:eastAsia="Calibri" w:cs="Times New Roman"/>
          <w:noProof/>
          <w:szCs w:val="24"/>
        </w:rPr>
        <w:t>/produced</w:t>
      </w:r>
      <w:r w:rsidR="0073264F" w:rsidRPr="007C1494">
        <w:rPr>
          <w:rFonts w:eastAsia="Calibri" w:cs="Times New Roman"/>
          <w:noProof/>
          <w:szCs w:val="24"/>
        </w:rPr>
        <w:t xml:space="preserve"> in compliance with national and international legislation </w:t>
      </w:r>
      <w:r w:rsidRPr="007C1494">
        <w:rPr>
          <w:rFonts w:eastAsia="Calibri" w:cs="Times New Roman"/>
          <w:noProof/>
          <w:szCs w:val="24"/>
        </w:rPr>
        <w:t xml:space="preserve">as well as in compliance </w:t>
      </w:r>
      <w:r w:rsidR="0073264F" w:rsidRPr="007C1494">
        <w:rPr>
          <w:rFonts w:eastAsia="Calibri" w:cs="Times New Roman"/>
          <w:noProof/>
          <w:szCs w:val="24"/>
        </w:rPr>
        <w:t xml:space="preserve">with </w:t>
      </w:r>
      <w:r w:rsidRPr="007C1494">
        <w:rPr>
          <w:rFonts w:eastAsia="Calibri" w:cs="Times New Roman"/>
          <w:noProof/>
          <w:szCs w:val="24"/>
        </w:rPr>
        <w:t>the</w:t>
      </w:r>
      <w:r w:rsidR="0073264F" w:rsidRPr="007C1494">
        <w:rPr>
          <w:rFonts w:eastAsia="Calibri" w:cs="Times New Roman"/>
          <w:noProof/>
          <w:szCs w:val="24"/>
        </w:rPr>
        <w:t xml:space="preserve"> ‘deforestation</w:t>
      </w:r>
      <w:r w:rsidR="00321466" w:rsidRPr="007C1494">
        <w:rPr>
          <w:rFonts w:eastAsia="Calibri" w:cs="Times New Roman"/>
          <w:noProof/>
          <w:szCs w:val="24"/>
        </w:rPr>
        <w:t>-</w:t>
      </w:r>
      <w:r w:rsidR="0073264F" w:rsidRPr="007C1494">
        <w:rPr>
          <w:rFonts w:eastAsia="Calibri" w:cs="Times New Roman"/>
          <w:noProof/>
          <w:szCs w:val="24"/>
        </w:rPr>
        <w:t xml:space="preserve">free’ </w:t>
      </w:r>
      <w:r w:rsidR="0034593A">
        <w:rPr>
          <w:rFonts w:eastAsia="Calibri" w:cs="Times New Roman"/>
          <w:noProof/>
          <w:szCs w:val="24"/>
        </w:rPr>
        <w:t>definition</w:t>
      </w:r>
      <w:r w:rsidR="0034593A" w:rsidRPr="007C1494">
        <w:rPr>
          <w:rFonts w:eastAsia="Calibri" w:cs="Times New Roman"/>
          <w:noProof/>
          <w:szCs w:val="24"/>
        </w:rPr>
        <w:t xml:space="preserve"> </w:t>
      </w:r>
      <w:r w:rsidR="0073264F" w:rsidRPr="007C1494">
        <w:rPr>
          <w:rFonts w:eastAsia="Calibri" w:cs="Times New Roman"/>
          <w:noProof/>
          <w:szCs w:val="24"/>
        </w:rPr>
        <w:t>defined at EU level.</w:t>
      </w:r>
    </w:p>
    <w:p w14:paraId="2C8BC44B" w14:textId="1204FA6B" w:rsidR="00E44E68" w:rsidRDefault="0050318D" w:rsidP="00E44E68">
      <w:pPr>
        <w:jc w:val="both"/>
        <w:rPr>
          <w:rFonts w:eastAsia="Calibri" w:cs="Times New Roman"/>
          <w:noProof/>
          <w:szCs w:val="24"/>
        </w:rPr>
      </w:pPr>
      <w:r>
        <w:rPr>
          <w:rFonts w:eastAsia="Calibri" w:cs="Times New Roman"/>
          <w:noProof/>
          <w:szCs w:val="24"/>
        </w:rPr>
        <w:t>Member states would be in charge of receiving, inspecting and monitoring the commodities and products, as well as their certificates. An EU entity w</w:t>
      </w:r>
      <w:r w:rsidR="00D23FFC">
        <w:rPr>
          <w:rFonts w:eastAsia="Calibri" w:cs="Times New Roman"/>
          <w:noProof/>
          <w:szCs w:val="24"/>
        </w:rPr>
        <w:t>ould</w:t>
      </w:r>
      <w:r>
        <w:rPr>
          <w:rFonts w:eastAsia="Calibri" w:cs="Times New Roman"/>
          <w:noProof/>
          <w:szCs w:val="24"/>
        </w:rPr>
        <w:t xml:space="preserve"> be in charge of monitoring the certification systems</w:t>
      </w:r>
      <w:r w:rsidR="007A39E0">
        <w:rPr>
          <w:rFonts w:eastAsia="Calibri" w:cs="Times New Roman"/>
          <w:noProof/>
          <w:szCs w:val="24"/>
        </w:rPr>
        <w:t xml:space="preserve"> of the countries. It would also be in charge of the</w:t>
      </w:r>
      <w:r w:rsidR="007A39E0" w:rsidRPr="007C1494">
        <w:rPr>
          <w:rFonts w:eastAsia="Calibri" w:cs="Times New Roman"/>
          <w:noProof/>
          <w:szCs w:val="24"/>
        </w:rPr>
        <w:t xml:space="preserve"> </w:t>
      </w:r>
      <w:r w:rsidR="00E44E68" w:rsidRPr="007C1494">
        <w:rPr>
          <w:rFonts w:eastAsia="Calibri" w:cs="Times New Roman"/>
          <w:noProof/>
          <w:szCs w:val="24"/>
        </w:rPr>
        <w:t xml:space="preserve">benchmarking system. Countries (EU and non-EU) identified as </w:t>
      </w:r>
      <w:r w:rsidR="002C21EB" w:rsidRPr="007C1494">
        <w:rPr>
          <w:rFonts w:eastAsia="Calibri" w:cs="Times New Roman"/>
          <w:noProof/>
          <w:szCs w:val="24"/>
        </w:rPr>
        <w:t xml:space="preserve">experiencing serious rates of deforestation and forest degradation and as </w:t>
      </w:r>
      <w:r w:rsidR="00E44E68" w:rsidRPr="007C1494">
        <w:rPr>
          <w:rFonts w:eastAsia="Calibri" w:cs="Times New Roman"/>
          <w:noProof/>
          <w:szCs w:val="24"/>
        </w:rPr>
        <w:t>having inadequate measures in place to prevent and deter activities associated with deforestation and/or forest degradation may be issued with a formal warning (yellow card)</w:t>
      </w:r>
      <w:r w:rsidR="002C21EB" w:rsidRPr="007C1494">
        <w:rPr>
          <w:rFonts w:eastAsia="Calibri" w:cs="Times New Roman"/>
          <w:noProof/>
          <w:szCs w:val="24"/>
        </w:rPr>
        <w:t xml:space="preserve">. Yellow cards </w:t>
      </w:r>
      <w:r w:rsidR="00D23FFC">
        <w:rPr>
          <w:rFonts w:eastAsia="Calibri" w:cs="Times New Roman"/>
          <w:noProof/>
          <w:szCs w:val="24"/>
        </w:rPr>
        <w:t>would</w:t>
      </w:r>
      <w:r w:rsidR="002C21EB" w:rsidRPr="007C1494">
        <w:rPr>
          <w:rFonts w:eastAsia="Calibri" w:cs="Times New Roman"/>
          <w:noProof/>
          <w:szCs w:val="24"/>
        </w:rPr>
        <w:t xml:space="preserve"> trigger a dialogue process between the country in question and the Commission, </w:t>
      </w:r>
      <w:r w:rsidR="00E44E68" w:rsidRPr="007C1494">
        <w:rPr>
          <w:rFonts w:eastAsia="Calibri" w:cs="Times New Roman"/>
          <w:noProof/>
          <w:szCs w:val="24"/>
        </w:rPr>
        <w:t>which over time</w:t>
      </w:r>
      <w:r w:rsidR="000C29B7" w:rsidRPr="007C1494">
        <w:rPr>
          <w:rFonts w:eastAsia="Calibri" w:cs="Times New Roman"/>
          <w:noProof/>
          <w:szCs w:val="24"/>
        </w:rPr>
        <w:t>,</w:t>
      </w:r>
      <w:r w:rsidR="00E44E68" w:rsidRPr="007C1494">
        <w:rPr>
          <w:rFonts w:eastAsia="Calibri" w:cs="Times New Roman"/>
          <w:noProof/>
          <w:szCs w:val="24"/>
        </w:rPr>
        <w:t xml:space="preserve"> </w:t>
      </w:r>
      <w:r w:rsidR="000C29B7" w:rsidRPr="007C1494">
        <w:rPr>
          <w:rFonts w:eastAsia="Calibri" w:cs="Times New Roman"/>
          <w:noProof/>
          <w:szCs w:val="24"/>
        </w:rPr>
        <w:t xml:space="preserve">and in the absence of corrective measures, </w:t>
      </w:r>
      <w:r w:rsidR="00E44E68" w:rsidRPr="007C1494">
        <w:rPr>
          <w:rFonts w:eastAsia="Calibri" w:cs="Times New Roman"/>
          <w:noProof/>
          <w:szCs w:val="24"/>
        </w:rPr>
        <w:t xml:space="preserve">may lead to a </w:t>
      </w:r>
      <w:r w:rsidR="002C21EB" w:rsidRPr="007C1494">
        <w:rPr>
          <w:rFonts w:eastAsia="Calibri" w:cs="Times New Roman"/>
          <w:noProof/>
          <w:szCs w:val="24"/>
        </w:rPr>
        <w:t xml:space="preserve">red card, which would be the basis for a </w:t>
      </w:r>
      <w:r w:rsidR="00E44E68" w:rsidRPr="007C1494">
        <w:rPr>
          <w:rFonts w:eastAsia="Calibri" w:cs="Times New Roman"/>
          <w:noProof/>
          <w:szCs w:val="24"/>
        </w:rPr>
        <w:t xml:space="preserve">ban for their products on the EU </w:t>
      </w:r>
      <w:r w:rsidR="00410DF2" w:rsidRPr="007C1494">
        <w:rPr>
          <w:rFonts w:eastAsia="Calibri" w:cs="Times New Roman"/>
          <w:noProof/>
          <w:szCs w:val="24"/>
        </w:rPr>
        <w:t>market.</w:t>
      </w:r>
    </w:p>
    <w:p w14:paraId="6407843B" w14:textId="77777777" w:rsidR="006378E5" w:rsidRPr="007C1494" w:rsidRDefault="006378E5" w:rsidP="00E44E68">
      <w:pPr>
        <w:jc w:val="both"/>
        <w:rPr>
          <w:rFonts w:eastAsia="Calibri" w:cs="Times New Roman"/>
          <w:noProof/>
          <w:szCs w:val="24"/>
        </w:rPr>
      </w:pPr>
    </w:p>
    <w:p w14:paraId="663183D9" w14:textId="1EC384C4" w:rsidR="00244E6A" w:rsidRPr="007C1494" w:rsidRDefault="00335526" w:rsidP="00335526">
      <w:pPr>
        <w:pStyle w:val="Heading2"/>
        <w:rPr>
          <w:noProof/>
        </w:rPr>
      </w:pPr>
      <w:bookmarkStart w:id="133" w:name="_Toc75542192"/>
      <w:bookmarkStart w:id="134" w:name="_Toc75543225"/>
      <w:bookmarkStart w:id="135" w:name="_Toc84591913"/>
      <w:r w:rsidRPr="00335526">
        <w:t>5.4</w:t>
      </w:r>
      <w:r w:rsidRPr="00335526">
        <w:tab/>
      </w:r>
      <w:r w:rsidR="00244E6A" w:rsidRPr="007C1494">
        <w:rPr>
          <w:noProof/>
        </w:rPr>
        <w:t xml:space="preserve">Options discarded </w:t>
      </w:r>
      <w:bookmarkEnd w:id="107"/>
      <w:bookmarkEnd w:id="108"/>
      <w:bookmarkEnd w:id="133"/>
      <w:bookmarkEnd w:id="134"/>
      <w:r w:rsidR="005E7ADB">
        <w:rPr>
          <w:noProof/>
        </w:rPr>
        <w:t>after the initial viability screening</w:t>
      </w:r>
      <w:bookmarkEnd w:id="135"/>
    </w:p>
    <w:p w14:paraId="11BAACB1" w14:textId="7E366F74" w:rsidR="001243BB" w:rsidRPr="0027420E" w:rsidRDefault="001243BB">
      <w:pPr>
        <w:pStyle w:val="WDBody"/>
        <w:spacing w:after="200" w:line="276" w:lineRule="auto"/>
        <w:contextualSpacing/>
        <w:jc w:val="both"/>
        <w:rPr>
          <w:rFonts w:ascii="Times New Roman" w:hAnsi="Times New Roman" w:cs="Times New Roman"/>
          <w:noProof/>
          <w:sz w:val="24"/>
          <w:szCs w:val="24"/>
        </w:rPr>
      </w:pPr>
      <w:bookmarkStart w:id="136" w:name="_Toc481484475"/>
      <w:bookmarkStart w:id="137" w:name="_Toc67074997"/>
      <w:r w:rsidRPr="0027420E">
        <w:rPr>
          <w:rFonts w:ascii="Times New Roman" w:hAnsi="Times New Roman" w:cs="Times New Roman"/>
          <w:noProof/>
          <w:sz w:val="24"/>
          <w:szCs w:val="24"/>
        </w:rPr>
        <w:t xml:space="preserve">A total of 17 policy measures </w:t>
      </w:r>
      <w:r w:rsidR="00332BF0" w:rsidRPr="0027420E">
        <w:rPr>
          <w:rFonts w:ascii="Times New Roman" w:hAnsi="Times New Roman" w:cs="Times New Roman"/>
          <w:noProof/>
          <w:sz w:val="24"/>
          <w:szCs w:val="24"/>
        </w:rPr>
        <w:t xml:space="preserve">(see Figure 7.2) </w:t>
      </w:r>
      <w:r w:rsidRPr="0027420E">
        <w:rPr>
          <w:rFonts w:ascii="Times New Roman" w:hAnsi="Times New Roman" w:cs="Times New Roman"/>
          <w:noProof/>
          <w:sz w:val="24"/>
          <w:szCs w:val="24"/>
        </w:rPr>
        <w:t>were considered in the initial viability screening of this Impact Assessment. The list of potential measures covered a wide range of possible interventions which were alternative to one another, included regulatory and non-regulatory instruments, and went from soft to hard interventions</w:t>
      </w:r>
      <w:r w:rsidR="00D325D9" w:rsidRPr="00D325D9">
        <w:rPr>
          <w:rFonts w:ascii="Times New Roman" w:hAnsi="Times New Roman" w:cs="Times New Roman"/>
          <w:noProof/>
          <w:sz w:val="24"/>
          <w:szCs w:val="24"/>
        </w:rPr>
        <w:t>.</w:t>
      </w:r>
    </w:p>
    <w:p w14:paraId="417FC583" w14:textId="77777777" w:rsidR="001243BB" w:rsidRPr="0027420E" w:rsidRDefault="001243BB">
      <w:pPr>
        <w:pStyle w:val="WDBody"/>
        <w:spacing w:after="200" w:line="276" w:lineRule="auto"/>
        <w:contextualSpacing/>
        <w:jc w:val="both"/>
        <w:rPr>
          <w:rFonts w:ascii="Times New Roman" w:hAnsi="Times New Roman" w:cs="Times New Roman"/>
          <w:noProof/>
          <w:sz w:val="24"/>
          <w:szCs w:val="24"/>
        </w:rPr>
      </w:pPr>
      <w:r w:rsidRPr="0027420E">
        <w:rPr>
          <w:rFonts w:ascii="Times New Roman" w:hAnsi="Times New Roman" w:cs="Times New Roman"/>
          <w:noProof/>
          <w:sz w:val="24"/>
          <w:szCs w:val="24"/>
        </w:rPr>
        <w:t>The information sources used to select and assess those policy measures were the following:</w:t>
      </w:r>
    </w:p>
    <w:p w14:paraId="5DC909CE" w14:textId="77777777" w:rsidR="001243BB" w:rsidRPr="0027420E" w:rsidRDefault="001243BB">
      <w:pPr>
        <w:pStyle w:val="WDBody"/>
        <w:numPr>
          <w:ilvl w:val="0"/>
          <w:numId w:val="83"/>
        </w:numPr>
        <w:spacing w:after="200" w:line="276" w:lineRule="auto"/>
        <w:contextualSpacing/>
        <w:jc w:val="both"/>
        <w:rPr>
          <w:rFonts w:ascii="Times New Roman" w:hAnsi="Times New Roman" w:cs="Times New Roman"/>
          <w:noProof/>
          <w:sz w:val="24"/>
          <w:szCs w:val="24"/>
        </w:rPr>
      </w:pPr>
      <w:r w:rsidRPr="0027420E">
        <w:rPr>
          <w:rFonts w:ascii="Times New Roman" w:hAnsi="Times New Roman" w:cs="Times New Roman"/>
          <w:noProof/>
          <w:sz w:val="24"/>
          <w:szCs w:val="24"/>
        </w:rPr>
        <w:t>An initial list put forward in the Inception Impact Assessment based on:</w:t>
      </w:r>
    </w:p>
    <w:p w14:paraId="048A0E2A" w14:textId="56AC0577" w:rsidR="001243BB" w:rsidRPr="0027420E" w:rsidRDefault="001243BB">
      <w:pPr>
        <w:pStyle w:val="WDBody"/>
        <w:numPr>
          <w:ilvl w:val="1"/>
          <w:numId w:val="83"/>
        </w:numPr>
        <w:spacing w:after="200" w:line="276" w:lineRule="auto"/>
        <w:contextualSpacing/>
        <w:jc w:val="both"/>
        <w:rPr>
          <w:rFonts w:ascii="Times New Roman" w:hAnsi="Times New Roman" w:cs="Times New Roman"/>
          <w:noProof/>
          <w:sz w:val="24"/>
          <w:szCs w:val="24"/>
        </w:rPr>
      </w:pPr>
      <w:r w:rsidRPr="0027420E">
        <w:rPr>
          <w:rFonts w:ascii="Times New Roman" w:hAnsi="Times New Roman" w:cs="Times New Roman"/>
          <w:noProof/>
          <w:sz w:val="24"/>
          <w:szCs w:val="24"/>
        </w:rPr>
        <w:t>Previous EU policy choices, such as the EU</w:t>
      </w:r>
      <w:r w:rsidR="00B833FE">
        <w:rPr>
          <w:rFonts w:ascii="Times New Roman" w:hAnsi="Times New Roman" w:cs="Times New Roman"/>
          <w:noProof/>
          <w:sz w:val="24"/>
          <w:szCs w:val="24"/>
        </w:rPr>
        <w:t>TR</w:t>
      </w:r>
      <w:r w:rsidRPr="0027420E" w:rsidDel="00B833FE">
        <w:rPr>
          <w:rFonts w:ascii="Times New Roman" w:hAnsi="Times New Roman" w:cs="Times New Roman"/>
          <w:noProof/>
          <w:sz w:val="24"/>
          <w:szCs w:val="24"/>
        </w:rPr>
        <w:t xml:space="preserve"> </w:t>
      </w:r>
      <w:r w:rsidRPr="0027420E">
        <w:rPr>
          <w:rFonts w:ascii="Times New Roman" w:hAnsi="Times New Roman" w:cs="Times New Roman"/>
          <w:noProof/>
          <w:sz w:val="24"/>
          <w:szCs w:val="24"/>
        </w:rPr>
        <w:t>and the FLEGT Regulation, the EU regulation to prevent, deter and eliminate illegal, unreported and unregulated fishing (IUU), the Renewable Energy Directive, the Conflict Minerals Regulation or the rules governing the EU Organic Logo.</w:t>
      </w:r>
    </w:p>
    <w:p w14:paraId="3F4E0B11" w14:textId="5024DA2D" w:rsidR="001243BB" w:rsidRPr="0027420E" w:rsidRDefault="001243BB">
      <w:pPr>
        <w:pStyle w:val="WDBody"/>
        <w:numPr>
          <w:ilvl w:val="1"/>
          <w:numId w:val="83"/>
        </w:numPr>
        <w:spacing w:after="200" w:line="276" w:lineRule="auto"/>
        <w:contextualSpacing/>
        <w:jc w:val="both"/>
        <w:rPr>
          <w:rFonts w:ascii="Times New Roman" w:hAnsi="Times New Roman" w:cs="Times New Roman"/>
          <w:noProof/>
          <w:sz w:val="24"/>
          <w:szCs w:val="24"/>
        </w:rPr>
      </w:pPr>
      <w:r w:rsidRPr="0027420E">
        <w:rPr>
          <w:rFonts w:ascii="Times New Roman" w:hAnsi="Times New Roman" w:cs="Times New Roman"/>
          <w:noProof/>
          <w:sz w:val="24"/>
          <w:szCs w:val="24"/>
        </w:rPr>
        <w:t xml:space="preserve">The political commitments laid out in the </w:t>
      </w:r>
      <w:r w:rsidR="00D761F9" w:rsidRPr="00760D6B">
        <w:rPr>
          <w:rFonts w:ascii="Times New Roman" w:hAnsi="Times New Roman" w:cs="Times New Roman"/>
          <w:noProof/>
          <w:sz w:val="24"/>
          <w:szCs w:val="24"/>
        </w:rPr>
        <w:t>2019</w:t>
      </w:r>
      <w:r w:rsidRPr="0027420E">
        <w:rPr>
          <w:rFonts w:ascii="Times New Roman" w:hAnsi="Times New Roman" w:cs="Times New Roman"/>
          <w:noProof/>
          <w:sz w:val="24"/>
          <w:szCs w:val="24"/>
        </w:rPr>
        <w:t xml:space="preserve"> Communication, the European Green Deal, the EU Biodiversity Strategy and the Farm to Fork Strategy.</w:t>
      </w:r>
    </w:p>
    <w:p w14:paraId="300B72A7" w14:textId="0A1DD03E" w:rsidR="001243BB" w:rsidRPr="0027420E" w:rsidRDefault="001243BB">
      <w:pPr>
        <w:pStyle w:val="WDBody"/>
        <w:numPr>
          <w:ilvl w:val="1"/>
          <w:numId w:val="83"/>
        </w:numPr>
        <w:spacing w:after="200" w:line="276" w:lineRule="auto"/>
        <w:contextualSpacing/>
        <w:jc w:val="both"/>
        <w:rPr>
          <w:rFonts w:ascii="Times New Roman" w:hAnsi="Times New Roman" w:cs="Times New Roman"/>
          <w:noProof/>
          <w:sz w:val="24"/>
          <w:szCs w:val="24"/>
        </w:rPr>
      </w:pPr>
      <w:r w:rsidRPr="0027420E">
        <w:rPr>
          <w:rFonts w:ascii="Times New Roman" w:hAnsi="Times New Roman" w:cs="Times New Roman"/>
          <w:noProof/>
          <w:sz w:val="24"/>
          <w:szCs w:val="24"/>
        </w:rPr>
        <w:t>Inputs received ahead of the launch of the legislative initiative from stakeholders, EU member states, third countries, etc. These were gathered for example in bilateral meetings with Commission services and position papers.</w:t>
      </w:r>
    </w:p>
    <w:p w14:paraId="423A4496" w14:textId="75954BB3" w:rsidR="001243BB" w:rsidRPr="0027420E" w:rsidRDefault="001243BB">
      <w:pPr>
        <w:pStyle w:val="WDBody"/>
        <w:numPr>
          <w:ilvl w:val="0"/>
          <w:numId w:val="83"/>
        </w:numPr>
        <w:spacing w:after="200" w:line="276" w:lineRule="auto"/>
        <w:contextualSpacing/>
        <w:jc w:val="both"/>
        <w:rPr>
          <w:rFonts w:ascii="Times New Roman" w:hAnsi="Times New Roman" w:cs="Times New Roman"/>
          <w:noProof/>
          <w:sz w:val="24"/>
          <w:szCs w:val="24"/>
        </w:rPr>
      </w:pPr>
      <w:r w:rsidRPr="0027420E">
        <w:rPr>
          <w:rFonts w:ascii="Times New Roman" w:hAnsi="Times New Roman" w:cs="Times New Roman"/>
          <w:noProof/>
          <w:sz w:val="24"/>
          <w:szCs w:val="24"/>
        </w:rPr>
        <w:t xml:space="preserve">The public feedback received </w:t>
      </w:r>
      <w:r w:rsidR="00420FA2" w:rsidRPr="00760D6B">
        <w:rPr>
          <w:rFonts w:ascii="Times New Roman" w:hAnsi="Times New Roman" w:cs="Times New Roman"/>
          <w:noProof/>
          <w:sz w:val="24"/>
          <w:szCs w:val="24"/>
        </w:rPr>
        <w:t>on</w:t>
      </w:r>
      <w:r w:rsidRPr="0027420E">
        <w:rPr>
          <w:rFonts w:ascii="Times New Roman" w:hAnsi="Times New Roman" w:cs="Times New Roman"/>
          <w:noProof/>
          <w:sz w:val="24"/>
          <w:szCs w:val="24"/>
        </w:rPr>
        <w:t xml:space="preserve"> the Inception Impact Assessment (a total of 99 contributions</w:t>
      </w:r>
      <w:r w:rsidRPr="00760D6B">
        <w:rPr>
          <w:rFonts w:ascii="Times New Roman" w:hAnsi="Times New Roman" w:cs="Times New Roman"/>
          <w:noProof/>
          <w:sz w:val="24"/>
          <w:szCs w:val="24"/>
        </w:rPr>
        <w:t>)</w:t>
      </w:r>
      <w:r w:rsidR="007E2EA3" w:rsidRPr="00760D6B">
        <w:rPr>
          <w:rFonts w:ascii="Times New Roman" w:hAnsi="Times New Roman" w:cs="Times New Roman"/>
          <w:noProof/>
          <w:sz w:val="24"/>
          <w:szCs w:val="24"/>
        </w:rPr>
        <w:t>.</w:t>
      </w:r>
      <w:r w:rsidR="00611C03">
        <w:rPr>
          <w:rStyle w:val="FootnoteReference"/>
          <w:rFonts w:ascii="Times New Roman" w:hAnsi="Times New Roman" w:cs="Times New Roman"/>
          <w:noProof/>
          <w:sz w:val="24"/>
          <w:szCs w:val="24"/>
        </w:rPr>
        <w:footnoteReference w:id="114"/>
      </w:r>
    </w:p>
    <w:p w14:paraId="5066191D" w14:textId="7B62B0F5" w:rsidR="001243BB" w:rsidRPr="0027420E" w:rsidRDefault="001243BB">
      <w:pPr>
        <w:pStyle w:val="WDBody"/>
        <w:numPr>
          <w:ilvl w:val="0"/>
          <w:numId w:val="83"/>
        </w:numPr>
        <w:spacing w:after="200" w:line="276" w:lineRule="auto"/>
        <w:contextualSpacing/>
        <w:jc w:val="both"/>
        <w:rPr>
          <w:rFonts w:ascii="Times New Roman" w:hAnsi="Times New Roman" w:cs="Times New Roman"/>
          <w:noProof/>
          <w:sz w:val="24"/>
          <w:szCs w:val="24"/>
        </w:rPr>
      </w:pPr>
      <w:r w:rsidRPr="0027420E">
        <w:rPr>
          <w:rFonts w:ascii="Times New Roman" w:hAnsi="Times New Roman" w:cs="Times New Roman"/>
          <w:noProof/>
          <w:sz w:val="24"/>
          <w:szCs w:val="24"/>
        </w:rPr>
        <w:t>The European Parliament resolution of 22 October 2020 with recommendations to the Commission on an EU legal framework to halt and reverse EU-driven global deforestation.</w:t>
      </w:r>
    </w:p>
    <w:p w14:paraId="77DE5994" w14:textId="4B7DBBD5" w:rsidR="001243BB" w:rsidRPr="0027420E" w:rsidRDefault="001243BB">
      <w:pPr>
        <w:pStyle w:val="WDBody"/>
        <w:numPr>
          <w:ilvl w:val="0"/>
          <w:numId w:val="83"/>
        </w:numPr>
        <w:spacing w:after="200" w:line="276" w:lineRule="auto"/>
        <w:contextualSpacing/>
        <w:jc w:val="both"/>
        <w:rPr>
          <w:rFonts w:ascii="Times New Roman" w:hAnsi="Times New Roman" w:cs="Times New Roman"/>
          <w:noProof/>
          <w:sz w:val="24"/>
          <w:szCs w:val="24"/>
        </w:rPr>
      </w:pPr>
      <w:r w:rsidRPr="0027420E">
        <w:rPr>
          <w:rFonts w:ascii="Times New Roman" w:hAnsi="Times New Roman" w:cs="Times New Roman"/>
          <w:noProof/>
          <w:sz w:val="24"/>
          <w:szCs w:val="24"/>
        </w:rPr>
        <w:t xml:space="preserve">The positions expressed by the Council of the EU, in particular the Council conclusions on the </w:t>
      </w:r>
      <w:r w:rsidR="00D761F9" w:rsidRPr="00760D6B">
        <w:rPr>
          <w:rFonts w:ascii="Times New Roman" w:hAnsi="Times New Roman" w:cs="Times New Roman"/>
          <w:noProof/>
          <w:sz w:val="24"/>
          <w:szCs w:val="24"/>
        </w:rPr>
        <w:t>2019</w:t>
      </w:r>
      <w:r w:rsidR="00D761F9">
        <w:rPr>
          <w:rFonts w:ascii="Times New Roman" w:hAnsi="Times New Roman" w:cs="Times New Roman"/>
          <w:noProof/>
          <w:sz w:val="24"/>
          <w:szCs w:val="24"/>
        </w:rPr>
        <w:t xml:space="preserve"> </w:t>
      </w:r>
      <w:r w:rsidR="00D761F9" w:rsidRPr="00760D6B">
        <w:rPr>
          <w:rFonts w:ascii="Times New Roman" w:hAnsi="Times New Roman" w:cs="Times New Roman"/>
          <w:noProof/>
          <w:sz w:val="24"/>
          <w:szCs w:val="24"/>
        </w:rPr>
        <w:t>C</w:t>
      </w:r>
      <w:r w:rsidRPr="00760D6B">
        <w:rPr>
          <w:rFonts w:ascii="Times New Roman" w:hAnsi="Times New Roman" w:cs="Times New Roman"/>
          <w:noProof/>
          <w:sz w:val="24"/>
          <w:szCs w:val="24"/>
        </w:rPr>
        <w:t>ommunication</w:t>
      </w:r>
      <w:r w:rsidRPr="0027420E">
        <w:rPr>
          <w:rFonts w:ascii="Times New Roman" w:hAnsi="Times New Roman" w:cs="Times New Roman"/>
          <w:noProof/>
          <w:sz w:val="24"/>
          <w:szCs w:val="24"/>
        </w:rPr>
        <w:t>.</w:t>
      </w:r>
    </w:p>
    <w:p w14:paraId="281F801F" w14:textId="2B2B70BB" w:rsidR="001243BB" w:rsidRPr="0027420E" w:rsidRDefault="001243BB">
      <w:pPr>
        <w:pStyle w:val="WDBody"/>
        <w:numPr>
          <w:ilvl w:val="0"/>
          <w:numId w:val="83"/>
        </w:numPr>
        <w:spacing w:after="200" w:line="276" w:lineRule="auto"/>
        <w:contextualSpacing/>
        <w:jc w:val="both"/>
        <w:rPr>
          <w:rFonts w:ascii="Times New Roman" w:hAnsi="Times New Roman" w:cs="Times New Roman"/>
          <w:noProof/>
          <w:sz w:val="24"/>
          <w:szCs w:val="24"/>
        </w:rPr>
      </w:pPr>
      <w:r w:rsidRPr="0027420E">
        <w:rPr>
          <w:rFonts w:ascii="Times New Roman" w:hAnsi="Times New Roman" w:cs="Times New Roman"/>
          <w:noProof/>
          <w:sz w:val="24"/>
          <w:szCs w:val="24"/>
        </w:rPr>
        <w:t xml:space="preserve">The stakeholder consultation of this impact assessment, including the </w:t>
      </w:r>
      <w:r w:rsidRPr="00760D6B">
        <w:rPr>
          <w:rFonts w:ascii="Times New Roman" w:hAnsi="Times New Roman" w:cs="Times New Roman"/>
          <w:noProof/>
          <w:sz w:val="24"/>
          <w:szCs w:val="24"/>
        </w:rPr>
        <w:t>o</w:t>
      </w:r>
      <w:r w:rsidR="00611C03">
        <w:rPr>
          <w:rFonts w:ascii="Times New Roman" w:hAnsi="Times New Roman" w:cs="Times New Roman"/>
          <w:noProof/>
          <w:sz w:val="24"/>
          <w:szCs w:val="24"/>
        </w:rPr>
        <w:t xml:space="preserve">nline </w:t>
      </w:r>
      <w:r w:rsidRPr="0027420E">
        <w:rPr>
          <w:rFonts w:ascii="Times New Roman" w:hAnsi="Times New Roman" w:cs="Times New Roman"/>
          <w:noProof/>
          <w:sz w:val="24"/>
          <w:szCs w:val="24"/>
        </w:rPr>
        <w:t>public consultation</w:t>
      </w:r>
      <w:r w:rsidR="00611C03">
        <w:rPr>
          <w:rStyle w:val="FootnoteReference"/>
          <w:rFonts w:ascii="Times New Roman" w:hAnsi="Times New Roman" w:cs="Times New Roman"/>
          <w:noProof/>
          <w:sz w:val="24"/>
          <w:szCs w:val="24"/>
        </w:rPr>
        <w:footnoteReference w:id="115"/>
      </w:r>
      <w:r w:rsidRPr="0027420E">
        <w:rPr>
          <w:rFonts w:ascii="Times New Roman" w:hAnsi="Times New Roman" w:cs="Times New Roman"/>
          <w:noProof/>
          <w:sz w:val="24"/>
          <w:szCs w:val="24"/>
        </w:rPr>
        <w:t xml:space="preserve"> with nearly 1.2 million contributions and the targeted consultation where 49 organisations and 92 individuals were consulted via specific interviews and focus groups.</w:t>
      </w:r>
      <w:r w:rsidR="002C2A78" w:rsidRPr="0027420E">
        <w:rPr>
          <w:rFonts w:ascii="Times New Roman" w:hAnsi="Times New Roman" w:cs="Times New Roman"/>
          <w:noProof/>
          <w:sz w:val="24"/>
          <w:szCs w:val="24"/>
        </w:rPr>
        <w:t xml:space="preserve"> </w:t>
      </w:r>
      <w:r w:rsidR="00091F2F" w:rsidRPr="0027420E">
        <w:rPr>
          <w:rFonts w:ascii="Times New Roman" w:hAnsi="Times New Roman" w:cs="Times New Roman"/>
          <w:noProof/>
          <w:sz w:val="24"/>
          <w:szCs w:val="24"/>
        </w:rPr>
        <w:t>The outcome of the online public consultation showed a high level of support for binding measures (e.g. deforestation-free requirement, IUU-like approach, mandatory due diligence, mandatory public certification, etc.) whereas voluntary measures (e.g. voluntary due diligence, private certification schemes, voluntary labelling) received the lowest rates of support</w:t>
      </w:r>
      <w:r w:rsidR="002C2A78" w:rsidRPr="0027420E">
        <w:rPr>
          <w:rFonts w:ascii="Times New Roman" w:hAnsi="Times New Roman" w:cs="Times New Roman"/>
          <w:noProof/>
          <w:sz w:val="24"/>
          <w:szCs w:val="24"/>
        </w:rPr>
        <w:t xml:space="preserve"> (see detailed results on annex 2.)</w:t>
      </w:r>
      <w:r w:rsidR="00206163" w:rsidRPr="0027420E">
        <w:rPr>
          <w:rFonts w:ascii="Times New Roman" w:hAnsi="Times New Roman" w:cs="Times New Roman"/>
          <w:noProof/>
          <w:sz w:val="24"/>
          <w:szCs w:val="24"/>
        </w:rPr>
        <w:t xml:space="preserve"> In general, targeted interviews and position papers showed that businesses and NGOs agree on the need for binding EU rules. Both groups showed a high level of support for mandatory due diligence. Businesses argue that homogeneous, mandatory EU rules can level the playing field and advocate, in general, for more lax due diligence rules. NGOs</w:t>
      </w:r>
      <w:r w:rsidR="00C655A5" w:rsidRPr="0027420E">
        <w:rPr>
          <w:rFonts w:ascii="Times New Roman" w:hAnsi="Times New Roman" w:cs="Times New Roman"/>
          <w:noProof/>
          <w:sz w:val="24"/>
          <w:szCs w:val="24"/>
        </w:rPr>
        <w:t xml:space="preserve"> argue that putting responsibility on companies via due diligence obligations is the right way to go and advocate in general for stricter due diligence rules.</w:t>
      </w:r>
    </w:p>
    <w:p w14:paraId="0B4DCA5A" w14:textId="2A4C00B1" w:rsidR="00B402A8" w:rsidRPr="0027420E" w:rsidRDefault="001243BB">
      <w:pPr>
        <w:pStyle w:val="WDBody"/>
        <w:numPr>
          <w:ilvl w:val="0"/>
          <w:numId w:val="83"/>
        </w:numPr>
        <w:spacing w:after="200" w:line="276" w:lineRule="auto"/>
        <w:contextualSpacing/>
        <w:jc w:val="both"/>
        <w:rPr>
          <w:rFonts w:ascii="Times New Roman" w:hAnsi="Times New Roman" w:cs="Times New Roman"/>
          <w:noProof/>
          <w:sz w:val="24"/>
          <w:szCs w:val="24"/>
        </w:rPr>
      </w:pPr>
      <w:r w:rsidRPr="0027420E">
        <w:rPr>
          <w:rFonts w:ascii="Times New Roman" w:hAnsi="Times New Roman" w:cs="Times New Roman"/>
          <w:noProof/>
          <w:sz w:val="24"/>
          <w:szCs w:val="24"/>
        </w:rPr>
        <w:t>Further stakeholder, EU member states and third countries’ consultation, in particular via individual meetings with Commission services, seminars and public events organized by third parties</w:t>
      </w:r>
      <w:r w:rsidR="00611C03">
        <w:rPr>
          <w:rFonts w:ascii="Times New Roman" w:hAnsi="Times New Roman" w:cs="Times New Roman"/>
          <w:noProof/>
          <w:sz w:val="24"/>
          <w:szCs w:val="24"/>
        </w:rPr>
        <w:t>.</w:t>
      </w:r>
    </w:p>
    <w:p w14:paraId="5B82FAC1" w14:textId="1092347C" w:rsidR="001243BB" w:rsidRPr="0027420E" w:rsidRDefault="00B402A8">
      <w:pPr>
        <w:pStyle w:val="WDBody"/>
        <w:numPr>
          <w:ilvl w:val="0"/>
          <w:numId w:val="83"/>
        </w:numPr>
        <w:spacing w:after="200" w:line="276" w:lineRule="auto"/>
        <w:contextualSpacing/>
        <w:jc w:val="both"/>
        <w:rPr>
          <w:rFonts w:ascii="Times New Roman" w:hAnsi="Times New Roman" w:cs="Times New Roman"/>
          <w:noProof/>
          <w:sz w:val="24"/>
          <w:szCs w:val="24"/>
        </w:rPr>
      </w:pPr>
      <w:r w:rsidRPr="0027420E">
        <w:rPr>
          <w:rFonts w:ascii="Times New Roman" w:hAnsi="Times New Roman" w:cs="Times New Roman"/>
          <w:noProof/>
          <w:sz w:val="24"/>
          <w:szCs w:val="24"/>
        </w:rPr>
        <w:t>T</w:t>
      </w:r>
      <w:r w:rsidR="001243BB" w:rsidRPr="0027420E">
        <w:rPr>
          <w:rFonts w:ascii="Times New Roman" w:hAnsi="Times New Roman" w:cs="Times New Roman"/>
          <w:noProof/>
          <w:sz w:val="24"/>
          <w:szCs w:val="24"/>
        </w:rPr>
        <w:t>he meetings of the Commission Expert Group/Multi-Stakeholder Platform on Protecting and Restoring the World’s Forests, including the EU</w:t>
      </w:r>
      <w:r w:rsidR="00611C03">
        <w:rPr>
          <w:rFonts w:ascii="Times New Roman" w:hAnsi="Times New Roman" w:cs="Times New Roman"/>
          <w:noProof/>
          <w:sz w:val="24"/>
          <w:szCs w:val="24"/>
        </w:rPr>
        <w:t>TR</w:t>
      </w:r>
      <w:r w:rsidR="001243BB" w:rsidRPr="0027420E" w:rsidDel="00611C03">
        <w:rPr>
          <w:rFonts w:ascii="Times New Roman" w:hAnsi="Times New Roman" w:cs="Times New Roman"/>
          <w:noProof/>
          <w:sz w:val="24"/>
          <w:szCs w:val="24"/>
        </w:rPr>
        <w:t xml:space="preserve"> </w:t>
      </w:r>
      <w:r w:rsidR="001243BB" w:rsidRPr="0027420E">
        <w:rPr>
          <w:rFonts w:ascii="Times New Roman" w:hAnsi="Times New Roman" w:cs="Times New Roman"/>
          <w:noProof/>
          <w:sz w:val="24"/>
          <w:szCs w:val="24"/>
        </w:rPr>
        <w:t>and the FLEGT Regulation. Since the launch of the roadmap for this legislative initiative in February 2020, the group has met nine times in different configurations — and included four specific workshops to gather inputs on policy options studied in the impact assessment</w:t>
      </w:r>
      <w:r w:rsidR="0061662E" w:rsidRPr="0027420E">
        <w:rPr>
          <w:rFonts w:ascii="Times New Roman" w:hAnsi="Times New Roman" w:cs="Times New Roman"/>
          <w:noProof/>
          <w:sz w:val="24"/>
          <w:szCs w:val="24"/>
        </w:rPr>
        <w:t xml:space="preserve"> (see more detailed information on annex 2</w:t>
      </w:r>
      <w:r w:rsidR="0061662E" w:rsidRPr="00760D6B">
        <w:rPr>
          <w:rFonts w:ascii="Times New Roman" w:hAnsi="Times New Roman" w:cs="Times New Roman"/>
          <w:noProof/>
          <w:sz w:val="24"/>
          <w:szCs w:val="24"/>
        </w:rPr>
        <w:t>)</w:t>
      </w:r>
      <w:r w:rsidR="00611C03">
        <w:rPr>
          <w:rFonts w:ascii="Times New Roman" w:hAnsi="Times New Roman" w:cs="Times New Roman"/>
          <w:noProof/>
          <w:sz w:val="24"/>
          <w:szCs w:val="24"/>
        </w:rPr>
        <w:t>.</w:t>
      </w:r>
    </w:p>
    <w:p w14:paraId="4ADAA19E" w14:textId="53F4349D" w:rsidR="001243BB" w:rsidRPr="0027420E" w:rsidRDefault="001243BB">
      <w:pPr>
        <w:pStyle w:val="WDBody"/>
        <w:numPr>
          <w:ilvl w:val="0"/>
          <w:numId w:val="83"/>
        </w:numPr>
        <w:spacing w:after="200" w:line="276" w:lineRule="auto"/>
        <w:contextualSpacing/>
        <w:jc w:val="both"/>
        <w:rPr>
          <w:rFonts w:ascii="Times New Roman" w:hAnsi="Times New Roman" w:cs="Times New Roman"/>
          <w:noProof/>
          <w:sz w:val="24"/>
          <w:szCs w:val="24"/>
        </w:rPr>
      </w:pPr>
      <w:r w:rsidRPr="0027420E">
        <w:rPr>
          <w:rFonts w:ascii="Times New Roman" w:hAnsi="Times New Roman" w:cs="Times New Roman"/>
          <w:noProof/>
          <w:sz w:val="24"/>
          <w:szCs w:val="24"/>
        </w:rPr>
        <w:t xml:space="preserve">Inter-service meetings among relevant Commission departments. Until May 2021, five meetings </w:t>
      </w:r>
      <w:r w:rsidR="00420FA2">
        <w:rPr>
          <w:rFonts w:ascii="Times New Roman" w:hAnsi="Times New Roman" w:cs="Times New Roman"/>
          <w:noProof/>
          <w:sz w:val="24"/>
          <w:szCs w:val="24"/>
        </w:rPr>
        <w:t>took</w:t>
      </w:r>
      <w:r w:rsidRPr="0027420E">
        <w:rPr>
          <w:rFonts w:ascii="Times New Roman" w:hAnsi="Times New Roman" w:cs="Times New Roman"/>
          <w:noProof/>
          <w:sz w:val="24"/>
          <w:szCs w:val="24"/>
        </w:rPr>
        <w:t xml:space="preserve"> place, some of them including specific discussions on policy options. The inter-service group, for example, endorsed the list of 14 policy measures included in the questionnaire of the open public consultation.</w:t>
      </w:r>
    </w:p>
    <w:p w14:paraId="40770CA1" w14:textId="1B5EA01E" w:rsidR="001243BB" w:rsidRPr="0027420E" w:rsidRDefault="001243BB">
      <w:pPr>
        <w:pStyle w:val="WDBody"/>
        <w:numPr>
          <w:ilvl w:val="0"/>
          <w:numId w:val="83"/>
        </w:numPr>
        <w:spacing w:after="200" w:line="276" w:lineRule="auto"/>
        <w:contextualSpacing/>
        <w:jc w:val="both"/>
        <w:rPr>
          <w:rFonts w:ascii="Times New Roman" w:hAnsi="Times New Roman" w:cs="Times New Roman"/>
          <w:noProof/>
          <w:sz w:val="24"/>
          <w:szCs w:val="24"/>
        </w:rPr>
      </w:pPr>
      <w:r w:rsidRPr="0027420E">
        <w:rPr>
          <w:rFonts w:ascii="Times New Roman" w:hAnsi="Times New Roman" w:cs="Times New Roman"/>
          <w:noProof/>
          <w:sz w:val="24"/>
          <w:szCs w:val="24"/>
        </w:rPr>
        <w:t>The Fitness Check of the EU</w:t>
      </w:r>
      <w:r w:rsidR="00B742E5">
        <w:rPr>
          <w:rFonts w:ascii="Times New Roman" w:hAnsi="Times New Roman" w:cs="Times New Roman"/>
          <w:noProof/>
          <w:sz w:val="24"/>
          <w:szCs w:val="24"/>
        </w:rPr>
        <w:t>TR</w:t>
      </w:r>
      <w:r w:rsidRPr="0027420E" w:rsidDel="00B742E5">
        <w:rPr>
          <w:rFonts w:ascii="Times New Roman" w:hAnsi="Times New Roman" w:cs="Times New Roman"/>
          <w:noProof/>
          <w:sz w:val="24"/>
          <w:szCs w:val="24"/>
        </w:rPr>
        <w:t xml:space="preserve"> </w:t>
      </w:r>
      <w:r w:rsidRPr="0027420E">
        <w:rPr>
          <w:rFonts w:ascii="Times New Roman" w:hAnsi="Times New Roman" w:cs="Times New Roman"/>
          <w:noProof/>
          <w:sz w:val="24"/>
          <w:szCs w:val="24"/>
        </w:rPr>
        <w:t>and the FLEGT Regulation.</w:t>
      </w:r>
      <w:r w:rsidR="0061662E" w:rsidRPr="0027420E">
        <w:rPr>
          <w:rFonts w:ascii="Times New Roman" w:hAnsi="Times New Roman" w:cs="Times New Roman"/>
          <w:noProof/>
          <w:sz w:val="24"/>
          <w:szCs w:val="24"/>
        </w:rPr>
        <w:t xml:space="preserve"> In particular, this </w:t>
      </w:r>
      <w:r w:rsidR="00E36AEB" w:rsidRPr="0027420E">
        <w:rPr>
          <w:rFonts w:ascii="Times New Roman" w:hAnsi="Times New Roman" w:cs="Times New Roman"/>
          <w:noProof/>
          <w:sz w:val="24"/>
          <w:szCs w:val="24"/>
        </w:rPr>
        <w:t>report</w:t>
      </w:r>
      <w:r w:rsidR="0061662E" w:rsidRPr="0027420E">
        <w:rPr>
          <w:rFonts w:ascii="Times New Roman" w:hAnsi="Times New Roman" w:cs="Times New Roman"/>
          <w:noProof/>
          <w:sz w:val="24"/>
          <w:szCs w:val="24"/>
        </w:rPr>
        <w:t xml:space="preserve"> was instrumental to assess the </w:t>
      </w:r>
      <w:r w:rsidR="00E36AEB" w:rsidRPr="0027420E">
        <w:rPr>
          <w:rFonts w:ascii="Times New Roman" w:hAnsi="Times New Roman" w:cs="Times New Roman"/>
          <w:noProof/>
          <w:sz w:val="24"/>
          <w:szCs w:val="24"/>
        </w:rPr>
        <w:t>strengths</w:t>
      </w:r>
      <w:r w:rsidR="0061662E" w:rsidRPr="0027420E">
        <w:rPr>
          <w:rFonts w:ascii="Times New Roman" w:hAnsi="Times New Roman" w:cs="Times New Roman"/>
          <w:noProof/>
          <w:sz w:val="24"/>
          <w:szCs w:val="24"/>
        </w:rPr>
        <w:t xml:space="preserve"> and weaknesses of mandatory due diligence and </w:t>
      </w:r>
      <w:r w:rsidR="00354BC0" w:rsidRPr="0027420E">
        <w:rPr>
          <w:rFonts w:ascii="Times New Roman" w:hAnsi="Times New Roman" w:cs="Times New Roman"/>
          <w:noProof/>
          <w:sz w:val="24"/>
          <w:szCs w:val="24"/>
        </w:rPr>
        <w:t xml:space="preserve">that </w:t>
      </w:r>
      <w:r w:rsidR="0061662E" w:rsidRPr="0027420E">
        <w:rPr>
          <w:rFonts w:ascii="Times New Roman" w:hAnsi="Times New Roman" w:cs="Times New Roman"/>
          <w:noProof/>
          <w:sz w:val="24"/>
          <w:szCs w:val="24"/>
        </w:rPr>
        <w:t>of bilateral trade agreements with producing countries</w:t>
      </w:r>
      <w:r w:rsidR="00354BC0" w:rsidRPr="0027420E">
        <w:rPr>
          <w:rFonts w:ascii="Times New Roman" w:hAnsi="Times New Roman" w:cs="Times New Roman"/>
          <w:noProof/>
          <w:sz w:val="24"/>
          <w:szCs w:val="24"/>
        </w:rPr>
        <w:t>, in line with the Voluntary Partnership Agreements (VPAs) of the timber sector</w:t>
      </w:r>
      <w:r w:rsidR="00E36AEB" w:rsidRPr="0027420E">
        <w:rPr>
          <w:rFonts w:ascii="Times New Roman" w:hAnsi="Times New Roman" w:cs="Times New Roman"/>
          <w:noProof/>
          <w:sz w:val="24"/>
          <w:szCs w:val="24"/>
        </w:rPr>
        <w:t>.</w:t>
      </w:r>
    </w:p>
    <w:p w14:paraId="356D1071" w14:textId="462282C1" w:rsidR="00E36AEB" w:rsidRPr="0027420E" w:rsidRDefault="00E36AEB">
      <w:pPr>
        <w:pStyle w:val="WDBody"/>
        <w:numPr>
          <w:ilvl w:val="0"/>
          <w:numId w:val="83"/>
        </w:numPr>
        <w:spacing w:after="200" w:line="276" w:lineRule="auto"/>
        <w:contextualSpacing/>
        <w:jc w:val="both"/>
        <w:rPr>
          <w:rFonts w:ascii="Times New Roman" w:hAnsi="Times New Roman" w:cs="Times New Roman"/>
          <w:noProof/>
          <w:sz w:val="24"/>
          <w:szCs w:val="24"/>
        </w:rPr>
      </w:pPr>
      <w:r w:rsidRPr="0027420E">
        <w:rPr>
          <w:rFonts w:ascii="Times New Roman" w:hAnsi="Times New Roman" w:cs="Times New Roman"/>
          <w:noProof/>
          <w:sz w:val="24"/>
          <w:szCs w:val="24"/>
        </w:rPr>
        <w:t>The Study on Certification and Verification Schemes in the Forest Sector and for Wood-based Products</w:t>
      </w:r>
      <w:r w:rsidR="00E56E2F" w:rsidRPr="0027420E">
        <w:rPr>
          <w:rFonts w:ascii="Times New Roman" w:hAnsi="Times New Roman" w:cs="Times New Roman"/>
          <w:noProof/>
          <w:sz w:val="24"/>
          <w:szCs w:val="24"/>
        </w:rPr>
        <w:t>, which provided fundamental insights on certification systems and their strengths and weaknesses.</w:t>
      </w:r>
    </w:p>
    <w:p w14:paraId="322C5B59" w14:textId="00B7DA46" w:rsidR="001243BB" w:rsidRPr="0027420E" w:rsidRDefault="001243BB">
      <w:pPr>
        <w:pStyle w:val="WDBody"/>
        <w:numPr>
          <w:ilvl w:val="0"/>
          <w:numId w:val="83"/>
        </w:numPr>
        <w:spacing w:after="200" w:line="276" w:lineRule="auto"/>
        <w:contextualSpacing/>
        <w:jc w:val="both"/>
        <w:rPr>
          <w:rFonts w:ascii="Times New Roman" w:hAnsi="Times New Roman" w:cs="Times New Roman"/>
          <w:noProof/>
          <w:sz w:val="24"/>
          <w:szCs w:val="24"/>
        </w:rPr>
      </w:pPr>
      <w:r w:rsidRPr="0027420E">
        <w:rPr>
          <w:rFonts w:ascii="Times New Roman" w:hAnsi="Times New Roman" w:cs="Times New Roman"/>
          <w:noProof/>
          <w:sz w:val="24"/>
          <w:szCs w:val="24"/>
        </w:rPr>
        <w:t>The study “Impact assessment on demand side measures to address deforestation”</w:t>
      </w:r>
      <w:r w:rsidR="00B742E5">
        <w:rPr>
          <w:rFonts w:ascii="Times New Roman" w:hAnsi="Times New Roman" w:cs="Times New Roman"/>
          <w:noProof/>
          <w:sz w:val="24"/>
          <w:szCs w:val="24"/>
        </w:rPr>
        <w:t>, which</w:t>
      </w:r>
      <w:r w:rsidR="00E56E2F" w:rsidRPr="0027420E">
        <w:rPr>
          <w:rFonts w:ascii="Times New Roman" w:hAnsi="Times New Roman" w:cs="Times New Roman"/>
          <w:noProof/>
          <w:sz w:val="24"/>
          <w:szCs w:val="24"/>
        </w:rPr>
        <w:t xml:space="preserve"> provided </w:t>
      </w:r>
      <w:r w:rsidR="00332BF0" w:rsidRPr="0027420E">
        <w:rPr>
          <w:rFonts w:ascii="Times New Roman" w:hAnsi="Times New Roman" w:cs="Times New Roman"/>
          <w:noProof/>
          <w:sz w:val="24"/>
          <w:szCs w:val="24"/>
        </w:rPr>
        <w:t>part of the underlying analysis and data for this Impact Assessment.</w:t>
      </w:r>
    </w:p>
    <w:p w14:paraId="6AB93D85" w14:textId="37E531AE" w:rsidR="001243BB" w:rsidRPr="0027420E" w:rsidRDefault="001243BB">
      <w:pPr>
        <w:pStyle w:val="WDBody"/>
        <w:numPr>
          <w:ilvl w:val="0"/>
          <w:numId w:val="83"/>
        </w:numPr>
        <w:spacing w:after="200" w:line="276" w:lineRule="auto"/>
        <w:jc w:val="both"/>
        <w:rPr>
          <w:rFonts w:ascii="Times New Roman" w:hAnsi="Times New Roman" w:cs="Times New Roman"/>
          <w:noProof/>
          <w:sz w:val="24"/>
          <w:szCs w:val="24"/>
        </w:rPr>
      </w:pPr>
      <w:r w:rsidRPr="0027420E">
        <w:rPr>
          <w:rFonts w:ascii="Times New Roman" w:hAnsi="Times New Roman" w:cs="Times New Roman"/>
          <w:noProof/>
          <w:sz w:val="24"/>
          <w:szCs w:val="24"/>
        </w:rPr>
        <w:t xml:space="preserve">Existing evidence from literature. </w:t>
      </w:r>
      <w:r w:rsidR="00355BC6" w:rsidRPr="0027420E">
        <w:rPr>
          <w:rFonts w:ascii="Times New Roman" w:hAnsi="Times New Roman" w:cs="Times New Roman"/>
          <w:noProof/>
          <w:sz w:val="24"/>
          <w:szCs w:val="24"/>
        </w:rPr>
        <w:t xml:space="preserve">Particular attention was paid to evaluations and reports </w:t>
      </w:r>
      <w:r w:rsidR="0089173E" w:rsidRPr="0027420E">
        <w:rPr>
          <w:rFonts w:ascii="Times New Roman" w:hAnsi="Times New Roman" w:cs="Times New Roman"/>
          <w:noProof/>
          <w:sz w:val="24"/>
          <w:szCs w:val="24"/>
        </w:rPr>
        <w:t>on</w:t>
      </w:r>
      <w:r w:rsidR="00355BC6" w:rsidRPr="0027420E">
        <w:rPr>
          <w:rFonts w:ascii="Times New Roman" w:hAnsi="Times New Roman" w:cs="Times New Roman"/>
          <w:noProof/>
          <w:sz w:val="24"/>
          <w:szCs w:val="24"/>
        </w:rPr>
        <w:t xml:space="preserve"> previous EU laws that </w:t>
      </w:r>
      <w:r w:rsidR="0089173E" w:rsidRPr="0027420E">
        <w:rPr>
          <w:rFonts w:ascii="Times New Roman" w:hAnsi="Times New Roman" w:cs="Times New Roman"/>
          <w:noProof/>
          <w:sz w:val="24"/>
          <w:szCs w:val="24"/>
        </w:rPr>
        <w:t xml:space="preserve">were used </w:t>
      </w:r>
      <w:r w:rsidR="00355BC6" w:rsidRPr="0027420E">
        <w:rPr>
          <w:rFonts w:ascii="Times New Roman" w:hAnsi="Times New Roman" w:cs="Times New Roman"/>
          <w:noProof/>
          <w:sz w:val="24"/>
          <w:szCs w:val="24"/>
        </w:rPr>
        <w:t xml:space="preserve">as </w:t>
      </w:r>
      <w:r w:rsidR="0089173E" w:rsidRPr="0027420E">
        <w:rPr>
          <w:rFonts w:ascii="Times New Roman" w:hAnsi="Times New Roman" w:cs="Times New Roman"/>
          <w:noProof/>
          <w:sz w:val="24"/>
          <w:szCs w:val="24"/>
        </w:rPr>
        <w:t>a model to different policy measures.</w:t>
      </w:r>
    </w:p>
    <w:p w14:paraId="5F7A0F80" w14:textId="77777777" w:rsidR="001243BB" w:rsidRPr="0027420E" w:rsidRDefault="001243BB">
      <w:pPr>
        <w:pStyle w:val="WDBody"/>
        <w:spacing w:after="200" w:line="276" w:lineRule="auto"/>
        <w:jc w:val="both"/>
        <w:rPr>
          <w:rFonts w:ascii="Times New Roman" w:hAnsi="Times New Roman" w:cs="Times New Roman"/>
          <w:noProof/>
          <w:sz w:val="24"/>
          <w:szCs w:val="24"/>
        </w:rPr>
      </w:pPr>
      <w:r w:rsidRPr="0027420E">
        <w:rPr>
          <w:rFonts w:ascii="Times New Roman" w:hAnsi="Times New Roman" w:cs="Times New Roman"/>
          <w:noProof/>
          <w:sz w:val="24"/>
          <w:szCs w:val="24"/>
        </w:rPr>
        <w:t>The criteria used in the viability screening to assess those policy measures and select the five final policy options whose potential impacts were studied in detail were, among others:</w:t>
      </w:r>
    </w:p>
    <w:p w14:paraId="68B188D3" w14:textId="77777777" w:rsidR="001243BB" w:rsidRPr="0027420E" w:rsidRDefault="001243BB">
      <w:pPr>
        <w:pStyle w:val="WDBody"/>
        <w:numPr>
          <w:ilvl w:val="0"/>
          <w:numId w:val="84"/>
        </w:numPr>
        <w:spacing w:after="0" w:line="276" w:lineRule="auto"/>
        <w:ind w:left="714" w:hanging="357"/>
        <w:contextualSpacing/>
        <w:jc w:val="both"/>
        <w:rPr>
          <w:rFonts w:ascii="Times New Roman" w:hAnsi="Times New Roman" w:cs="Times New Roman"/>
          <w:noProof/>
          <w:sz w:val="24"/>
          <w:szCs w:val="24"/>
        </w:rPr>
      </w:pPr>
      <w:r w:rsidRPr="0027420E">
        <w:rPr>
          <w:rFonts w:ascii="Times New Roman" w:hAnsi="Times New Roman" w:cs="Times New Roman"/>
          <w:noProof/>
          <w:sz w:val="24"/>
          <w:szCs w:val="24"/>
        </w:rPr>
        <w:t xml:space="preserve">Legal, technical and political feasibility and proportionality; </w:t>
      </w:r>
    </w:p>
    <w:p w14:paraId="4ABEDF77" w14:textId="2EA9D10F" w:rsidR="00AB2E9D" w:rsidRPr="0027420E" w:rsidRDefault="00AB2E9D">
      <w:pPr>
        <w:pStyle w:val="WDBody"/>
        <w:numPr>
          <w:ilvl w:val="0"/>
          <w:numId w:val="84"/>
        </w:numPr>
        <w:spacing w:after="0" w:line="276" w:lineRule="auto"/>
        <w:ind w:left="714" w:hanging="357"/>
        <w:contextualSpacing/>
        <w:jc w:val="both"/>
        <w:rPr>
          <w:rFonts w:ascii="Times New Roman" w:hAnsi="Times New Roman" w:cs="Times New Roman"/>
          <w:noProof/>
          <w:sz w:val="24"/>
          <w:szCs w:val="24"/>
        </w:rPr>
      </w:pPr>
      <w:r w:rsidRPr="0027420E">
        <w:rPr>
          <w:rFonts w:ascii="Times New Roman" w:hAnsi="Times New Roman" w:cs="Times New Roman"/>
          <w:noProof/>
          <w:sz w:val="24"/>
          <w:szCs w:val="24"/>
        </w:rPr>
        <w:t>Potential effectiveness;</w:t>
      </w:r>
    </w:p>
    <w:p w14:paraId="185E00E0" w14:textId="054CADDB" w:rsidR="001243BB" w:rsidRPr="0027420E" w:rsidRDefault="00AB2E9D">
      <w:pPr>
        <w:pStyle w:val="WDBody"/>
        <w:numPr>
          <w:ilvl w:val="0"/>
          <w:numId w:val="84"/>
        </w:numPr>
        <w:spacing w:after="0" w:line="276" w:lineRule="auto"/>
        <w:ind w:left="714" w:hanging="357"/>
        <w:contextualSpacing/>
        <w:jc w:val="both"/>
        <w:rPr>
          <w:rFonts w:ascii="Times New Roman" w:hAnsi="Times New Roman" w:cs="Times New Roman"/>
          <w:noProof/>
          <w:sz w:val="24"/>
          <w:szCs w:val="24"/>
        </w:rPr>
      </w:pPr>
      <w:r w:rsidRPr="0027420E">
        <w:rPr>
          <w:rFonts w:ascii="Times New Roman" w:hAnsi="Times New Roman" w:cs="Times New Roman"/>
          <w:noProof/>
          <w:sz w:val="24"/>
          <w:szCs w:val="24"/>
        </w:rPr>
        <w:t xml:space="preserve">Potential </w:t>
      </w:r>
      <w:r w:rsidR="001243BB" w:rsidRPr="0027420E">
        <w:rPr>
          <w:rFonts w:ascii="Times New Roman" w:hAnsi="Times New Roman" w:cs="Times New Roman"/>
          <w:noProof/>
          <w:sz w:val="24"/>
          <w:szCs w:val="24"/>
        </w:rPr>
        <w:t>efficiency</w:t>
      </w:r>
      <w:r w:rsidRPr="0027420E">
        <w:rPr>
          <w:rFonts w:ascii="Times New Roman" w:hAnsi="Times New Roman" w:cs="Times New Roman"/>
          <w:noProof/>
          <w:sz w:val="24"/>
          <w:szCs w:val="24"/>
        </w:rPr>
        <w:t xml:space="preserve"> and </w:t>
      </w:r>
      <w:r w:rsidR="001243BB" w:rsidRPr="0027420E">
        <w:rPr>
          <w:rFonts w:ascii="Times New Roman" w:hAnsi="Times New Roman" w:cs="Times New Roman"/>
          <w:noProof/>
          <w:sz w:val="24"/>
          <w:szCs w:val="24"/>
        </w:rPr>
        <w:t>costs;</w:t>
      </w:r>
    </w:p>
    <w:p w14:paraId="69545003" w14:textId="3A05C60B" w:rsidR="001243BB" w:rsidRPr="0027420E" w:rsidRDefault="000954AD">
      <w:pPr>
        <w:pStyle w:val="WDBody"/>
        <w:numPr>
          <w:ilvl w:val="0"/>
          <w:numId w:val="84"/>
        </w:numPr>
        <w:spacing w:after="0" w:line="276" w:lineRule="auto"/>
        <w:ind w:left="714" w:hanging="357"/>
        <w:contextualSpacing/>
        <w:jc w:val="both"/>
        <w:rPr>
          <w:rFonts w:ascii="Times New Roman" w:hAnsi="Times New Roman" w:cs="Times New Roman"/>
          <w:noProof/>
          <w:sz w:val="24"/>
          <w:szCs w:val="24"/>
        </w:rPr>
      </w:pPr>
      <w:r>
        <w:rPr>
          <w:rFonts w:ascii="Times New Roman" w:hAnsi="Times New Roman" w:cs="Times New Roman"/>
          <w:noProof/>
          <w:sz w:val="24"/>
          <w:szCs w:val="24"/>
        </w:rPr>
        <w:t>Potential</w:t>
      </w:r>
      <w:r w:rsidR="001243BB" w:rsidRPr="0027420E">
        <w:rPr>
          <w:rFonts w:ascii="Times New Roman" w:hAnsi="Times New Roman" w:cs="Times New Roman"/>
          <w:noProof/>
          <w:sz w:val="24"/>
          <w:szCs w:val="24"/>
        </w:rPr>
        <w:t xml:space="preserve"> </w:t>
      </w:r>
      <w:r>
        <w:rPr>
          <w:rFonts w:ascii="Times New Roman" w:hAnsi="Times New Roman" w:cs="Times New Roman"/>
          <w:noProof/>
          <w:sz w:val="24"/>
          <w:szCs w:val="24"/>
        </w:rPr>
        <w:t>challenges</w:t>
      </w:r>
      <w:r w:rsidR="001243BB" w:rsidRPr="0027420E">
        <w:rPr>
          <w:rFonts w:ascii="Times New Roman" w:hAnsi="Times New Roman" w:cs="Times New Roman"/>
          <w:noProof/>
          <w:sz w:val="24"/>
          <w:szCs w:val="24"/>
        </w:rPr>
        <w:t xml:space="preserve"> </w:t>
      </w:r>
      <w:r>
        <w:rPr>
          <w:rFonts w:ascii="Times New Roman" w:hAnsi="Times New Roman" w:cs="Times New Roman"/>
          <w:noProof/>
          <w:sz w:val="24"/>
          <w:szCs w:val="24"/>
        </w:rPr>
        <w:t xml:space="preserve">for </w:t>
      </w:r>
      <w:r w:rsidR="001243BB" w:rsidRPr="0027420E">
        <w:rPr>
          <w:rFonts w:ascii="Times New Roman" w:hAnsi="Times New Roman" w:cs="Times New Roman"/>
          <w:noProof/>
          <w:sz w:val="24"/>
          <w:szCs w:val="24"/>
        </w:rPr>
        <w:t>implementation;</w:t>
      </w:r>
    </w:p>
    <w:p w14:paraId="11EEA1C2" w14:textId="77777777" w:rsidR="00002437" w:rsidRPr="00002437" w:rsidRDefault="00AB2E9D">
      <w:pPr>
        <w:pStyle w:val="WDBody"/>
        <w:numPr>
          <w:ilvl w:val="0"/>
          <w:numId w:val="84"/>
        </w:numPr>
        <w:spacing w:after="0" w:line="276" w:lineRule="auto"/>
        <w:ind w:left="714" w:hanging="357"/>
        <w:contextualSpacing/>
        <w:jc w:val="both"/>
        <w:rPr>
          <w:noProof/>
        </w:rPr>
      </w:pPr>
      <w:r w:rsidRPr="0027420E">
        <w:rPr>
          <w:rFonts w:ascii="Times New Roman" w:hAnsi="Times New Roman" w:cs="Times New Roman"/>
          <w:noProof/>
          <w:sz w:val="24"/>
          <w:szCs w:val="24"/>
        </w:rPr>
        <w:t>Feedback from</w:t>
      </w:r>
      <w:r w:rsidR="001243BB" w:rsidRPr="0027420E">
        <w:rPr>
          <w:rFonts w:ascii="Times New Roman" w:hAnsi="Times New Roman" w:cs="Times New Roman"/>
          <w:noProof/>
          <w:sz w:val="24"/>
          <w:szCs w:val="24"/>
        </w:rPr>
        <w:t xml:space="preserve"> stakeholders, EU member states and third countries.</w:t>
      </w:r>
    </w:p>
    <w:p w14:paraId="62C15B27" w14:textId="77777777" w:rsidR="00002437" w:rsidRDefault="00002437">
      <w:pPr>
        <w:pStyle w:val="WDBody"/>
        <w:spacing w:after="0" w:line="276" w:lineRule="auto"/>
        <w:contextualSpacing/>
        <w:jc w:val="both"/>
        <w:rPr>
          <w:rFonts w:ascii="Times New Roman" w:hAnsi="Times New Roman" w:cs="Times New Roman"/>
          <w:noProof/>
          <w:sz w:val="24"/>
          <w:szCs w:val="24"/>
        </w:rPr>
      </w:pPr>
    </w:p>
    <w:p w14:paraId="3C4CF854" w14:textId="77777777" w:rsidR="00002437" w:rsidRPr="007C1494" w:rsidRDefault="00002437" w:rsidP="00002437">
      <w:pPr>
        <w:jc w:val="both"/>
        <w:rPr>
          <w:noProof/>
        </w:rPr>
      </w:pPr>
      <w:r w:rsidRPr="007C1494">
        <w:rPr>
          <w:noProof/>
        </w:rPr>
        <w:t xml:space="preserve">The screening of the viability of policy options, </w:t>
      </w:r>
      <w:r>
        <w:rPr>
          <w:noProof/>
        </w:rPr>
        <w:t xml:space="preserve">based on the criteria and information sources described above, </w:t>
      </w:r>
      <w:r w:rsidRPr="007C1494">
        <w:rPr>
          <w:noProof/>
        </w:rPr>
        <w:t xml:space="preserve">led to discarding a number of policy options at an early stage. </w:t>
      </w:r>
      <w:r>
        <w:rPr>
          <w:noProof/>
        </w:rPr>
        <w:t>Five of them (deforestation-free standard, mandatory due diligence, country benchmarking, mandatory public certification and mandatory labelling) made the cut into the combinations listed in the five final policy options selected.</w:t>
      </w:r>
    </w:p>
    <w:p w14:paraId="5C387CDE" w14:textId="77777777" w:rsidR="00EA2369" w:rsidRDefault="00002437" w:rsidP="00002437">
      <w:pPr>
        <w:jc w:val="both"/>
        <w:rPr>
          <w:noProof/>
        </w:rPr>
      </w:pPr>
      <w:r>
        <w:rPr>
          <w:noProof/>
        </w:rPr>
        <w:t xml:space="preserve">The options ruled out were voluntary labelling, voluntary due diligence, voluntary private certification, broad trade agreements, voluntary partnership agreements, mandatory information disclosure, information campaigns, green diplomacy, and approaches based on an expansion of the EUTR maintaining only legality as the criteria of compliance, the </w:t>
      </w:r>
      <w:r w:rsidRPr="000954AD">
        <w:rPr>
          <w:noProof/>
        </w:rPr>
        <w:t>Financial Action Task Force (FATF)</w:t>
      </w:r>
      <w:r>
        <w:rPr>
          <w:noProof/>
        </w:rPr>
        <w:t xml:space="preserve"> and </w:t>
      </w:r>
      <w:r w:rsidRPr="000954AD">
        <w:rPr>
          <w:noProof/>
        </w:rPr>
        <w:t xml:space="preserve">The Kimberley Process </w:t>
      </w:r>
      <w:r>
        <w:rPr>
          <w:noProof/>
        </w:rPr>
        <w:t>aiming at curbing</w:t>
      </w:r>
      <w:r w:rsidRPr="000954AD">
        <w:rPr>
          <w:noProof/>
        </w:rPr>
        <w:t xml:space="preserve"> </w:t>
      </w:r>
      <w:r>
        <w:rPr>
          <w:noProof/>
        </w:rPr>
        <w:t xml:space="preserve">trade on </w:t>
      </w:r>
      <w:r w:rsidRPr="000954AD">
        <w:rPr>
          <w:noProof/>
        </w:rPr>
        <w:t>conflict diamonds</w:t>
      </w:r>
      <w:r>
        <w:rPr>
          <w:noProof/>
        </w:rPr>
        <w:t xml:space="preserve">. </w:t>
      </w:r>
    </w:p>
    <w:p w14:paraId="6FDF9098" w14:textId="2361923E" w:rsidR="00002437" w:rsidRDefault="00002437" w:rsidP="00002437">
      <w:pPr>
        <w:jc w:val="both"/>
        <w:rPr>
          <w:noProof/>
        </w:rPr>
      </w:pPr>
      <w:r>
        <w:rPr>
          <w:noProof/>
        </w:rPr>
        <w:t xml:space="preserve">More details on the initial viability screening for all 17 considered policy options are provided in annex 6. </w:t>
      </w:r>
      <w:r w:rsidR="00431799">
        <w:rPr>
          <w:noProof/>
        </w:rPr>
        <w:t xml:space="preserve">Table 4 (see below) </w:t>
      </w:r>
      <w:r w:rsidR="00C52359">
        <w:rPr>
          <w:noProof/>
        </w:rPr>
        <w:t xml:space="preserve">offers </w:t>
      </w:r>
      <w:r w:rsidR="00431799">
        <w:rPr>
          <w:noProof/>
        </w:rPr>
        <w:t xml:space="preserve">a summary </w:t>
      </w:r>
      <w:r w:rsidR="00C52359">
        <w:rPr>
          <w:noProof/>
        </w:rPr>
        <w:t xml:space="preserve">on </w:t>
      </w:r>
      <w:r w:rsidR="00431799">
        <w:rPr>
          <w:noProof/>
        </w:rPr>
        <w:t>all policy options and the main criteria used for the initial viability screening, cross-matching each policy measure with the criteria used – and grading its performance with a positive (green), neutral (orange) or negative (red) mark. The last column of the table states whether the option has made the cut into the five final policy options.</w:t>
      </w:r>
    </w:p>
    <w:p w14:paraId="71340BD1" w14:textId="180FAD19" w:rsidR="005A625E" w:rsidRDefault="00F946D6" w:rsidP="00002437">
      <w:pPr>
        <w:jc w:val="both"/>
        <w:rPr>
          <w:noProof/>
        </w:rPr>
      </w:pPr>
      <w:r>
        <w:rPr>
          <w:noProof/>
        </w:rPr>
        <w:t>M</w:t>
      </w:r>
      <w:r w:rsidR="00665A0E">
        <w:rPr>
          <w:noProof/>
        </w:rPr>
        <w:t>any soft measures — such as voluntary labelling, voluntary due diligence and voluntary certification — were ruled out on grounds that these measures and related commitments have already been implemented for years by some companies, with little success in terms of preventing deforestation and fostering deforestation-free supply chains. In addition, the feedback from stakeholders</w:t>
      </w:r>
      <w:r>
        <w:rPr>
          <w:noProof/>
        </w:rPr>
        <w:t>, the general public</w:t>
      </w:r>
      <w:r w:rsidR="00665A0E">
        <w:rPr>
          <w:noProof/>
        </w:rPr>
        <w:t xml:space="preserve"> and </w:t>
      </w:r>
      <w:r>
        <w:rPr>
          <w:noProof/>
        </w:rPr>
        <w:t>the European Parliament all pointed to the need of binding measures.</w:t>
      </w:r>
    </w:p>
    <w:p w14:paraId="6EBB0E81" w14:textId="1EAE3472" w:rsidR="00002437" w:rsidRDefault="00002437" w:rsidP="00002437">
      <w:pPr>
        <w:jc w:val="both"/>
        <w:rPr>
          <w:noProof/>
        </w:rPr>
      </w:pPr>
      <w:r>
        <w:rPr>
          <w:noProof/>
        </w:rPr>
        <w:t xml:space="preserve">It is worth explaining here </w:t>
      </w:r>
      <w:r w:rsidR="005A625E">
        <w:rPr>
          <w:noProof/>
        </w:rPr>
        <w:t xml:space="preserve">in detail </w:t>
      </w:r>
      <w:r>
        <w:rPr>
          <w:noProof/>
        </w:rPr>
        <w:t>the considerations around two of the policy measures — the Voluntary Partnership Agreements and the private certification systems — that have been ruled out as stand-alone measures, in spite of support from a significant number of stakeholders</w:t>
      </w:r>
      <w:r w:rsidR="00420FA2">
        <w:rPr>
          <w:noProof/>
        </w:rPr>
        <w:t>.</w:t>
      </w:r>
      <w:r>
        <w:rPr>
          <w:noProof/>
        </w:rPr>
        <w:t xml:space="preserve"> </w:t>
      </w:r>
      <w:r w:rsidR="00420FA2" w:rsidRPr="00760D6B">
        <w:rPr>
          <w:noProof/>
        </w:rPr>
        <w:t>These present</w:t>
      </w:r>
      <w:r>
        <w:rPr>
          <w:noProof/>
        </w:rPr>
        <w:t xml:space="preserve"> additional complexity that deserves further clarification.</w:t>
      </w:r>
    </w:p>
    <w:p w14:paraId="03315A26" w14:textId="4E930C35" w:rsidR="0027420E" w:rsidRDefault="00002437" w:rsidP="00760D6B">
      <w:pPr>
        <w:pStyle w:val="WDBody"/>
        <w:spacing w:after="0" w:line="276" w:lineRule="auto"/>
        <w:contextualSpacing/>
        <w:jc w:val="both"/>
        <w:rPr>
          <w:noProof/>
        </w:rPr>
        <w:sectPr w:rsidR="0027420E" w:rsidSect="00244E6A">
          <w:headerReference w:type="even" r:id="rId31"/>
          <w:headerReference w:type="default" r:id="rId32"/>
          <w:footerReference w:type="even" r:id="rId33"/>
          <w:footerReference w:type="default" r:id="rId34"/>
          <w:headerReference w:type="first" r:id="rId35"/>
          <w:footerReference w:type="first" r:id="rId36"/>
          <w:pgSz w:w="11906" w:h="16838"/>
          <w:pgMar w:top="1020" w:right="1701" w:bottom="1020" w:left="1587" w:header="601" w:footer="1077" w:gutter="0"/>
          <w:cols w:space="720"/>
          <w:titlePg/>
        </w:sectPr>
      </w:pPr>
      <w:r w:rsidRPr="00002437">
        <w:rPr>
          <w:rFonts w:ascii="Times New Roman" w:hAnsi="Times New Roman"/>
          <w:noProof/>
          <w:color w:val="auto"/>
          <w:sz w:val="24"/>
        </w:rPr>
        <w:t>The first is the approach based on the model of the FLEGT Voluntary Partnership Agreement (VPA), the bilateral trade treaties for timber and timber products between the EU and a wood producing country (see box 1 and 2 for more background on their functioning and the shortcomings detected in the Fitness Check.)</w:t>
      </w:r>
      <w:r w:rsidR="004874DE">
        <w:rPr>
          <w:noProof/>
        </w:rPr>
        <w:br w:type="page"/>
      </w:r>
    </w:p>
    <w:p w14:paraId="03945C86" w14:textId="77777777" w:rsidR="001243BB" w:rsidRDefault="001243BB" w:rsidP="0027420E">
      <w:pPr>
        <w:pStyle w:val="WDBody"/>
        <w:jc w:val="both"/>
        <w:rPr>
          <w:noProof/>
        </w:rPr>
      </w:pPr>
    </w:p>
    <w:p w14:paraId="478BB11D" w14:textId="73368D05" w:rsidR="00AB2E9D" w:rsidRPr="00B07AE5" w:rsidRDefault="00AB2E9D">
      <w:pPr>
        <w:pStyle w:val="WDFigureTitle"/>
        <w:jc w:val="both"/>
        <w:rPr>
          <w:rFonts w:eastAsia="Calibri" w:cs="Segoe UI"/>
          <w:noProof/>
          <w:color w:val="auto"/>
        </w:rPr>
      </w:pPr>
      <w:r w:rsidRPr="00362EF8" w:rsidDel="00B07AE5">
        <w:rPr>
          <w:rFonts w:eastAsia="Calibri" w:cs="Segoe UI"/>
          <w:noProof/>
          <w:color w:val="auto"/>
        </w:rPr>
        <w:t xml:space="preserve">Table </w:t>
      </w:r>
      <w:r w:rsidR="005E6293">
        <w:rPr>
          <w:rFonts w:eastAsia="Calibri" w:cs="Segoe UI"/>
          <w:noProof/>
          <w:color w:val="auto"/>
        </w:rPr>
        <w:t>4</w:t>
      </w:r>
      <w:r w:rsidRPr="00760D6B">
        <w:rPr>
          <w:rFonts w:eastAsia="Calibri" w:cs="Segoe UI"/>
          <w:noProof/>
          <w:color w:val="auto"/>
        </w:rPr>
        <w:tab/>
      </w:r>
      <w:r w:rsidR="005E6293">
        <w:rPr>
          <w:rFonts w:eastAsia="Calibri" w:cs="Segoe UI"/>
          <w:noProof/>
          <w:color w:val="auto"/>
        </w:rPr>
        <w:t>S</w:t>
      </w:r>
      <w:r w:rsidRPr="00760D6B">
        <w:rPr>
          <w:rFonts w:eastAsia="Calibri" w:cs="Segoe UI"/>
          <w:noProof/>
          <w:color w:val="auto"/>
        </w:rPr>
        <w:t>ummary</w:t>
      </w:r>
      <w:r w:rsidRPr="00B07AE5">
        <w:rPr>
          <w:rFonts w:eastAsia="Calibri" w:cs="Segoe UI"/>
          <w:noProof/>
          <w:color w:val="auto"/>
        </w:rPr>
        <w:t xml:space="preserve"> of the initial viability screening of policy measures</w:t>
      </w:r>
      <w:r w:rsidR="00B07AE5">
        <w:rPr>
          <w:rFonts w:cs="Segoe UI"/>
          <w:noProof/>
          <w:color w:val="auto"/>
        </w:rPr>
        <w:t>. Source: Own elaboration</w:t>
      </w:r>
    </w:p>
    <w:tbl>
      <w:tblPr>
        <w:tblW w:w="13580" w:type="dxa"/>
        <w:tblInd w:w="118" w:type="dxa"/>
        <w:tblLook w:val="04A0" w:firstRow="1" w:lastRow="0" w:firstColumn="1" w:lastColumn="0" w:noHBand="0" w:noVBand="1"/>
      </w:tblPr>
      <w:tblGrid>
        <w:gridCol w:w="440"/>
        <w:gridCol w:w="3380"/>
        <w:gridCol w:w="1140"/>
        <w:gridCol w:w="1415"/>
        <w:gridCol w:w="1140"/>
        <w:gridCol w:w="1199"/>
        <w:gridCol w:w="1120"/>
        <w:gridCol w:w="1241"/>
        <w:gridCol w:w="2759"/>
      </w:tblGrid>
      <w:tr w:rsidR="0009263A" w:rsidRPr="0009263A" w14:paraId="62ACEE9D" w14:textId="77777777" w:rsidTr="0009263A">
        <w:trPr>
          <w:trHeight w:val="300"/>
        </w:trPr>
        <w:tc>
          <w:tcPr>
            <w:tcW w:w="320" w:type="dxa"/>
            <w:tcBorders>
              <w:top w:val="single" w:sz="8" w:space="0" w:color="auto"/>
              <w:left w:val="single" w:sz="8" w:space="0" w:color="auto"/>
              <w:bottom w:val="single" w:sz="4" w:space="0" w:color="auto"/>
              <w:right w:val="nil"/>
            </w:tcBorders>
            <w:shd w:val="clear" w:color="000000" w:fill="D9D9D9"/>
            <w:noWrap/>
            <w:vAlign w:val="bottom"/>
            <w:hideMark/>
          </w:tcPr>
          <w:p w14:paraId="47D6FD14"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3380" w:type="dxa"/>
            <w:tcBorders>
              <w:top w:val="single" w:sz="8" w:space="0" w:color="auto"/>
              <w:left w:val="nil"/>
              <w:bottom w:val="single" w:sz="4" w:space="0" w:color="auto"/>
              <w:right w:val="nil"/>
            </w:tcBorders>
            <w:shd w:val="clear" w:color="000000" w:fill="D9D9D9"/>
            <w:noWrap/>
            <w:vAlign w:val="bottom"/>
            <w:hideMark/>
          </w:tcPr>
          <w:p w14:paraId="1DB7B286" w14:textId="77777777" w:rsidR="0009263A" w:rsidRPr="0009263A" w:rsidRDefault="0009263A" w:rsidP="0009263A">
            <w:pPr>
              <w:spacing w:after="0" w:line="240" w:lineRule="auto"/>
              <w:jc w:val="center"/>
              <w:rPr>
                <w:rFonts w:ascii="Calibri" w:eastAsia="Times New Roman" w:hAnsi="Calibri" w:cs="Calibri"/>
                <w:b/>
                <w:bCs/>
                <w:noProof/>
                <w:color w:val="000000"/>
                <w:sz w:val="22"/>
                <w:lang w:eastAsia="zh-CN"/>
              </w:rPr>
            </w:pPr>
            <w:r w:rsidRPr="0009263A">
              <w:rPr>
                <w:rFonts w:ascii="Calibri" w:eastAsia="Times New Roman" w:hAnsi="Calibri" w:cs="Calibri"/>
                <w:b/>
                <w:bCs/>
                <w:noProof/>
                <w:color w:val="000000"/>
                <w:sz w:val="22"/>
                <w:lang w:eastAsia="zh-CN"/>
              </w:rPr>
              <w:t>Measure</w:t>
            </w:r>
          </w:p>
        </w:tc>
        <w:tc>
          <w:tcPr>
            <w:tcW w:w="1140" w:type="dxa"/>
            <w:tcBorders>
              <w:top w:val="single" w:sz="8" w:space="0" w:color="auto"/>
              <w:left w:val="nil"/>
              <w:bottom w:val="single" w:sz="4" w:space="0" w:color="auto"/>
              <w:right w:val="nil"/>
            </w:tcBorders>
            <w:shd w:val="clear" w:color="000000" w:fill="D9D9D9"/>
            <w:noWrap/>
            <w:vAlign w:val="bottom"/>
            <w:hideMark/>
          </w:tcPr>
          <w:p w14:paraId="2B487262" w14:textId="77777777" w:rsidR="0009263A" w:rsidRPr="0009263A" w:rsidRDefault="0009263A" w:rsidP="0009263A">
            <w:pPr>
              <w:spacing w:after="0" w:line="240" w:lineRule="auto"/>
              <w:jc w:val="center"/>
              <w:rPr>
                <w:rFonts w:ascii="Calibri" w:eastAsia="Times New Roman" w:hAnsi="Calibri" w:cs="Calibri"/>
                <w:b/>
                <w:bCs/>
                <w:noProof/>
                <w:color w:val="000000"/>
                <w:sz w:val="22"/>
                <w:lang w:eastAsia="zh-CN"/>
              </w:rPr>
            </w:pPr>
            <w:r w:rsidRPr="0009263A">
              <w:rPr>
                <w:rFonts w:ascii="Calibri" w:eastAsia="Times New Roman" w:hAnsi="Calibri" w:cs="Calibri"/>
                <w:b/>
                <w:bCs/>
                <w:noProof/>
                <w:color w:val="000000"/>
                <w:sz w:val="22"/>
                <w:lang w:eastAsia="zh-CN"/>
              </w:rPr>
              <w:t>Feasibility</w:t>
            </w:r>
          </w:p>
        </w:tc>
        <w:tc>
          <w:tcPr>
            <w:tcW w:w="1360" w:type="dxa"/>
            <w:tcBorders>
              <w:top w:val="single" w:sz="8" w:space="0" w:color="auto"/>
              <w:left w:val="nil"/>
              <w:bottom w:val="single" w:sz="4" w:space="0" w:color="auto"/>
              <w:right w:val="nil"/>
            </w:tcBorders>
            <w:shd w:val="clear" w:color="000000" w:fill="D9D9D9"/>
            <w:noWrap/>
            <w:vAlign w:val="bottom"/>
            <w:hideMark/>
          </w:tcPr>
          <w:p w14:paraId="1558D9D1" w14:textId="77777777" w:rsidR="0009263A" w:rsidRPr="0009263A" w:rsidRDefault="0009263A" w:rsidP="0009263A">
            <w:pPr>
              <w:spacing w:after="0" w:line="240" w:lineRule="auto"/>
              <w:jc w:val="center"/>
              <w:rPr>
                <w:rFonts w:ascii="Calibri" w:eastAsia="Times New Roman" w:hAnsi="Calibri" w:cs="Calibri"/>
                <w:b/>
                <w:bCs/>
                <w:noProof/>
                <w:color w:val="000000"/>
                <w:sz w:val="22"/>
                <w:lang w:eastAsia="zh-CN"/>
              </w:rPr>
            </w:pPr>
            <w:r w:rsidRPr="0009263A">
              <w:rPr>
                <w:rFonts w:ascii="Calibri" w:eastAsia="Times New Roman" w:hAnsi="Calibri" w:cs="Calibri"/>
                <w:b/>
                <w:bCs/>
                <w:noProof/>
                <w:color w:val="000000"/>
                <w:sz w:val="22"/>
                <w:lang w:eastAsia="zh-CN"/>
              </w:rPr>
              <w:t>Effectiveness</w:t>
            </w:r>
          </w:p>
        </w:tc>
        <w:tc>
          <w:tcPr>
            <w:tcW w:w="1140" w:type="dxa"/>
            <w:tcBorders>
              <w:top w:val="single" w:sz="8" w:space="0" w:color="auto"/>
              <w:left w:val="nil"/>
              <w:bottom w:val="single" w:sz="4" w:space="0" w:color="auto"/>
              <w:right w:val="nil"/>
            </w:tcBorders>
            <w:shd w:val="clear" w:color="000000" w:fill="D9D9D9"/>
            <w:noWrap/>
            <w:vAlign w:val="bottom"/>
            <w:hideMark/>
          </w:tcPr>
          <w:p w14:paraId="0CA8F3F5" w14:textId="77777777" w:rsidR="0009263A" w:rsidRPr="0009263A" w:rsidRDefault="0009263A" w:rsidP="0009263A">
            <w:pPr>
              <w:spacing w:after="0" w:line="240" w:lineRule="auto"/>
              <w:jc w:val="center"/>
              <w:rPr>
                <w:rFonts w:ascii="Calibri" w:eastAsia="Times New Roman" w:hAnsi="Calibri" w:cs="Calibri"/>
                <w:b/>
                <w:bCs/>
                <w:noProof/>
                <w:color w:val="000000"/>
                <w:sz w:val="22"/>
                <w:lang w:eastAsia="zh-CN"/>
              </w:rPr>
            </w:pPr>
            <w:r w:rsidRPr="0009263A">
              <w:rPr>
                <w:rFonts w:ascii="Calibri" w:eastAsia="Times New Roman" w:hAnsi="Calibri" w:cs="Calibri"/>
                <w:b/>
                <w:bCs/>
                <w:noProof/>
                <w:color w:val="000000"/>
                <w:sz w:val="22"/>
                <w:lang w:eastAsia="zh-CN"/>
              </w:rPr>
              <w:t>Costs</w:t>
            </w:r>
          </w:p>
        </w:tc>
        <w:tc>
          <w:tcPr>
            <w:tcW w:w="1120" w:type="dxa"/>
            <w:tcBorders>
              <w:top w:val="single" w:sz="8" w:space="0" w:color="auto"/>
              <w:left w:val="nil"/>
              <w:bottom w:val="single" w:sz="4" w:space="0" w:color="auto"/>
              <w:right w:val="nil"/>
            </w:tcBorders>
            <w:shd w:val="clear" w:color="000000" w:fill="D9D9D9"/>
            <w:noWrap/>
            <w:vAlign w:val="bottom"/>
            <w:hideMark/>
          </w:tcPr>
          <w:p w14:paraId="48A3A6FD" w14:textId="77777777" w:rsidR="0009263A" w:rsidRPr="0009263A" w:rsidRDefault="0009263A" w:rsidP="0009263A">
            <w:pPr>
              <w:spacing w:after="0" w:line="240" w:lineRule="auto"/>
              <w:jc w:val="center"/>
              <w:rPr>
                <w:rFonts w:ascii="Calibri" w:eastAsia="Times New Roman" w:hAnsi="Calibri" w:cs="Calibri"/>
                <w:b/>
                <w:bCs/>
                <w:noProof/>
                <w:color w:val="000000"/>
                <w:sz w:val="22"/>
                <w:lang w:eastAsia="zh-CN"/>
              </w:rPr>
            </w:pPr>
            <w:r w:rsidRPr="0009263A">
              <w:rPr>
                <w:rFonts w:ascii="Calibri" w:eastAsia="Times New Roman" w:hAnsi="Calibri" w:cs="Calibri"/>
                <w:b/>
                <w:bCs/>
                <w:noProof/>
                <w:color w:val="000000"/>
                <w:sz w:val="22"/>
                <w:lang w:eastAsia="zh-CN"/>
              </w:rPr>
              <w:t>Challenges</w:t>
            </w:r>
          </w:p>
        </w:tc>
        <w:tc>
          <w:tcPr>
            <w:tcW w:w="1120" w:type="dxa"/>
            <w:tcBorders>
              <w:top w:val="single" w:sz="8" w:space="0" w:color="auto"/>
              <w:left w:val="nil"/>
              <w:bottom w:val="single" w:sz="4" w:space="0" w:color="auto"/>
              <w:right w:val="nil"/>
            </w:tcBorders>
            <w:shd w:val="clear" w:color="000000" w:fill="D9D9D9"/>
            <w:noWrap/>
            <w:vAlign w:val="bottom"/>
            <w:hideMark/>
          </w:tcPr>
          <w:p w14:paraId="494A1F76" w14:textId="77777777" w:rsidR="0009263A" w:rsidRPr="0009263A" w:rsidRDefault="0009263A" w:rsidP="0009263A">
            <w:pPr>
              <w:spacing w:after="0" w:line="240" w:lineRule="auto"/>
              <w:jc w:val="center"/>
              <w:rPr>
                <w:rFonts w:ascii="Calibri" w:eastAsia="Times New Roman" w:hAnsi="Calibri" w:cs="Calibri"/>
                <w:b/>
                <w:bCs/>
                <w:noProof/>
                <w:color w:val="000000"/>
                <w:sz w:val="22"/>
                <w:lang w:eastAsia="zh-CN"/>
              </w:rPr>
            </w:pPr>
            <w:r w:rsidRPr="0009263A">
              <w:rPr>
                <w:rFonts w:ascii="Calibri" w:eastAsia="Times New Roman" w:hAnsi="Calibri" w:cs="Calibri"/>
                <w:b/>
                <w:bCs/>
                <w:noProof/>
                <w:color w:val="000000"/>
                <w:sz w:val="22"/>
                <w:lang w:eastAsia="zh-CN"/>
              </w:rPr>
              <w:t>Feedback</w:t>
            </w:r>
          </w:p>
        </w:tc>
        <w:tc>
          <w:tcPr>
            <w:tcW w:w="4000" w:type="dxa"/>
            <w:gridSpan w:val="2"/>
            <w:tcBorders>
              <w:top w:val="single" w:sz="8" w:space="0" w:color="auto"/>
              <w:left w:val="nil"/>
              <w:bottom w:val="single" w:sz="4" w:space="0" w:color="auto"/>
              <w:right w:val="single" w:sz="8" w:space="0" w:color="000000"/>
            </w:tcBorders>
            <w:shd w:val="clear" w:color="000000" w:fill="D9D9D9"/>
            <w:noWrap/>
            <w:vAlign w:val="bottom"/>
            <w:hideMark/>
          </w:tcPr>
          <w:p w14:paraId="3BA5CCC1" w14:textId="77777777" w:rsidR="0009263A" w:rsidRPr="0009263A" w:rsidRDefault="0009263A" w:rsidP="0009263A">
            <w:pPr>
              <w:spacing w:after="0" w:line="240" w:lineRule="auto"/>
              <w:jc w:val="center"/>
              <w:rPr>
                <w:rFonts w:ascii="Calibri" w:eastAsia="Times New Roman" w:hAnsi="Calibri" w:cs="Calibri"/>
                <w:b/>
                <w:bCs/>
                <w:noProof/>
                <w:color w:val="000000"/>
                <w:sz w:val="22"/>
                <w:lang w:eastAsia="zh-CN"/>
              </w:rPr>
            </w:pPr>
            <w:r w:rsidRPr="0009263A">
              <w:rPr>
                <w:rFonts w:ascii="Calibri" w:eastAsia="Times New Roman" w:hAnsi="Calibri" w:cs="Calibri"/>
                <w:b/>
                <w:bCs/>
                <w:noProof/>
                <w:color w:val="000000"/>
                <w:sz w:val="22"/>
                <w:lang w:eastAsia="zh-CN"/>
              </w:rPr>
              <w:t>Taken in the five final policy options</w:t>
            </w:r>
          </w:p>
        </w:tc>
      </w:tr>
      <w:tr w:rsidR="0009263A" w:rsidRPr="0009263A" w14:paraId="4DE19F39" w14:textId="77777777" w:rsidTr="0009263A">
        <w:trPr>
          <w:trHeight w:val="315"/>
        </w:trPr>
        <w:tc>
          <w:tcPr>
            <w:tcW w:w="320" w:type="dxa"/>
            <w:tcBorders>
              <w:top w:val="nil"/>
              <w:left w:val="single" w:sz="8" w:space="0" w:color="auto"/>
              <w:bottom w:val="nil"/>
              <w:right w:val="nil"/>
            </w:tcBorders>
            <w:shd w:val="clear" w:color="auto" w:fill="auto"/>
            <w:noWrap/>
            <w:vAlign w:val="bottom"/>
            <w:hideMark/>
          </w:tcPr>
          <w:p w14:paraId="1F4AE975"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3380" w:type="dxa"/>
            <w:tcBorders>
              <w:top w:val="nil"/>
              <w:left w:val="nil"/>
              <w:bottom w:val="nil"/>
              <w:right w:val="nil"/>
            </w:tcBorders>
            <w:shd w:val="clear" w:color="auto" w:fill="auto"/>
            <w:noWrap/>
            <w:vAlign w:val="bottom"/>
            <w:hideMark/>
          </w:tcPr>
          <w:p w14:paraId="17EB00FA" w14:textId="77777777" w:rsidR="0009263A" w:rsidRPr="0009263A" w:rsidRDefault="0009263A" w:rsidP="0009263A">
            <w:pPr>
              <w:spacing w:after="0" w:line="240" w:lineRule="auto"/>
              <w:rPr>
                <w:rFonts w:ascii="Calibri" w:eastAsia="Times New Roman" w:hAnsi="Calibri" w:cs="Calibri"/>
                <w:noProof/>
                <w:color w:val="000000"/>
                <w:sz w:val="22"/>
                <w:lang w:eastAsia="zh-CN"/>
              </w:rPr>
            </w:pPr>
          </w:p>
        </w:tc>
        <w:tc>
          <w:tcPr>
            <w:tcW w:w="1140" w:type="dxa"/>
            <w:tcBorders>
              <w:top w:val="nil"/>
              <w:left w:val="nil"/>
              <w:bottom w:val="nil"/>
              <w:right w:val="nil"/>
            </w:tcBorders>
            <w:shd w:val="clear" w:color="auto" w:fill="auto"/>
            <w:noWrap/>
            <w:vAlign w:val="bottom"/>
            <w:hideMark/>
          </w:tcPr>
          <w:p w14:paraId="2D9137A2" w14:textId="77777777" w:rsidR="0009263A" w:rsidRPr="0009263A" w:rsidRDefault="0009263A" w:rsidP="0009263A">
            <w:pPr>
              <w:spacing w:after="0" w:line="240" w:lineRule="auto"/>
              <w:rPr>
                <w:rFonts w:eastAsia="Times New Roman" w:cs="Times New Roman"/>
                <w:noProof/>
                <w:sz w:val="20"/>
                <w:szCs w:val="20"/>
                <w:lang w:eastAsia="zh-CN"/>
              </w:rPr>
            </w:pPr>
          </w:p>
        </w:tc>
        <w:tc>
          <w:tcPr>
            <w:tcW w:w="1360" w:type="dxa"/>
            <w:tcBorders>
              <w:top w:val="nil"/>
              <w:left w:val="nil"/>
              <w:bottom w:val="nil"/>
              <w:right w:val="nil"/>
            </w:tcBorders>
            <w:shd w:val="clear" w:color="auto" w:fill="auto"/>
            <w:noWrap/>
            <w:vAlign w:val="bottom"/>
            <w:hideMark/>
          </w:tcPr>
          <w:p w14:paraId="37102043" w14:textId="77777777" w:rsidR="0009263A" w:rsidRPr="0009263A" w:rsidRDefault="0009263A" w:rsidP="0009263A">
            <w:pPr>
              <w:spacing w:after="0" w:line="240" w:lineRule="auto"/>
              <w:rPr>
                <w:rFonts w:eastAsia="Times New Roman" w:cs="Times New Roman"/>
                <w:noProof/>
                <w:sz w:val="20"/>
                <w:szCs w:val="20"/>
                <w:lang w:eastAsia="zh-CN"/>
              </w:rPr>
            </w:pPr>
          </w:p>
        </w:tc>
        <w:tc>
          <w:tcPr>
            <w:tcW w:w="1140" w:type="dxa"/>
            <w:tcBorders>
              <w:top w:val="nil"/>
              <w:left w:val="nil"/>
              <w:bottom w:val="nil"/>
              <w:right w:val="nil"/>
            </w:tcBorders>
            <w:shd w:val="clear" w:color="auto" w:fill="auto"/>
            <w:noWrap/>
            <w:vAlign w:val="bottom"/>
            <w:hideMark/>
          </w:tcPr>
          <w:p w14:paraId="00B27F17" w14:textId="77777777" w:rsidR="0009263A" w:rsidRPr="0009263A" w:rsidRDefault="0009263A" w:rsidP="0009263A">
            <w:pPr>
              <w:spacing w:after="0" w:line="240" w:lineRule="auto"/>
              <w:rPr>
                <w:rFonts w:eastAsia="Times New Roman" w:cs="Times New Roman"/>
                <w:noProof/>
                <w:sz w:val="20"/>
                <w:szCs w:val="20"/>
                <w:lang w:eastAsia="zh-CN"/>
              </w:rPr>
            </w:pPr>
          </w:p>
        </w:tc>
        <w:tc>
          <w:tcPr>
            <w:tcW w:w="1120" w:type="dxa"/>
            <w:tcBorders>
              <w:top w:val="nil"/>
              <w:left w:val="nil"/>
              <w:bottom w:val="nil"/>
              <w:right w:val="nil"/>
            </w:tcBorders>
            <w:shd w:val="clear" w:color="auto" w:fill="auto"/>
            <w:noWrap/>
            <w:vAlign w:val="bottom"/>
            <w:hideMark/>
          </w:tcPr>
          <w:p w14:paraId="5AC2332D" w14:textId="77777777" w:rsidR="0009263A" w:rsidRPr="0009263A" w:rsidRDefault="0009263A" w:rsidP="0009263A">
            <w:pPr>
              <w:spacing w:after="0" w:line="240" w:lineRule="auto"/>
              <w:rPr>
                <w:rFonts w:eastAsia="Times New Roman" w:cs="Times New Roman"/>
                <w:noProof/>
                <w:sz w:val="20"/>
                <w:szCs w:val="20"/>
                <w:lang w:eastAsia="zh-CN"/>
              </w:rPr>
            </w:pPr>
          </w:p>
        </w:tc>
        <w:tc>
          <w:tcPr>
            <w:tcW w:w="1120" w:type="dxa"/>
            <w:tcBorders>
              <w:top w:val="nil"/>
              <w:left w:val="nil"/>
              <w:bottom w:val="nil"/>
              <w:right w:val="nil"/>
            </w:tcBorders>
            <w:shd w:val="clear" w:color="auto" w:fill="auto"/>
            <w:noWrap/>
            <w:vAlign w:val="bottom"/>
            <w:hideMark/>
          </w:tcPr>
          <w:p w14:paraId="67322A6D" w14:textId="77777777" w:rsidR="0009263A" w:rsidRPr="0009263A" w:rsidRDefault="0009263A" w:rsidP="0009263A">
            <w:pPr>
              <w:spacing w:after="0" w:line="240" w:lineRule="auto"/>
              <w:rPr>
                <w:rFonts w:eastAsia="Times New Roman" w:cs="Times New Roman"/>
                <w:noProof/>
                <w:sz w:val="20"/>
                <w:szCs w:val="20"/>
                <w:lang w:eastAsia="zh-CN"/>
              </w:rPr>
            </w:pPr>
          </w:p>
        </w:tc>
        <w:tc>
          <w:tcPr>
            <w:tcW w:w="1241" w:type="dxa"/>
            <w:tcBorders>
              <w:top w:val="nil"/>
              <w:left w:val="nil"/>
              <w:bottom w:val="nil"/>
              <w:right w:val="nil"/>
            </w:tcBorders>
            <w:shd w:val="clear" w:color="auto" w:fill="auto"/>
            <w:noWrap/>
            <w:vAlign w:val="bottom"/>
            <w:hideMark/>
          </w:tcPr>
          <w:p w14:paraId="0A927E2E" w14:textId="77777777" w:rsidR="0009263A" w:rsidRPr="0009263A" w:rsidRDefault="0009263A" w:rsidP="0009263A">
            <w:pPr>
              <w:spacing w:after="0" w:line="240" w:lineRule="auto"/>
              <w:rPr>
                <w:rFonts w:eastAsia="Times New Roman" w:cs="Times New Roman"/>
                <w:noProof/>
                <w:sz w:val="20"/>
                <w:szCs w:val="20"/>
                <w:lang w:eastAsia="zh-CN"/>
              </w:rPr>
            </w:pPr>
          </w:p>
        </w:tc>
        <w:tc>
          <w:tcPr>
            <w:tcW w:w="2759" w:type="dxa"/>
            <w:tcBorders>
              <w:top w:val="nil"/>
              <w:left w:val="nil"/>
              <w:bottom w:val="nil"/>
              <w:right w:val="single" w:sz="8" w:space="0" w:color="auto"/>
            </w:tcBorders>
            <w:shd w:val="clear" w:color="auto" w:fill="auto"/>
            <w:noWrap/>
            <w:vAlign w:val="bottom"/>
            <w:hideMark/>
          </w:tcPr>
          <w:p w14:paraId="30FF5160"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r>
      <w:tr w:rsidR="0009263A" w:rsidRPr="0009263A" w14:paraId="68FC088C" w14:textId="77777777" w:rsidTr="0009263A">
        <w:trPr>
          <w:trHeight w:val="315"/>
        </w:trPr>
        <w:tc>
          <w:tcPr>
            <w:tcW w:w="320" w:type="dxa"/>
            <w:tcBorders>
              <w:top w:val="single" w:sz="8" w:space="0" w:color="auto"/>
              <w:left w:val="single" w:sz="8" w:space="0" w:color="auto"/>
              <w:bottom w:val="single" w:sz="8" w:space="0" w:color="auto"/>
              <w:right w:val="nil"/>
            </w:tcBorders>
            <w:shd w:val="clear" w:color="000000" w:fill="D9D9D9"/>
            <w:noWrap/>
            <w:vAlign w:val="bottom"/>
            <w:hideMark/>
          </w:tcPr>
          <w:p w14:paraId="63A63542" w14:textId="77777777" w:rsidR="0009263A" w:rsidRPr="0009263A" w:rsidRDefault="0009263A" w:rsidP="0009263A">
            <w:pPr>
              <w:spacing w:after="0" w:line="240" w:lineRule="auto"/>
              <w:jc w:val="right"/>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1</w:t>
            </w:r>
          </w:p>
        </w:tc>
        <w:tc>
          <w:tcPr>
            <w:tcW w:w="3380" w:type="dxa"/>
            <w:tcBorders>
              <w:top w:val="single" w:sz="8" w:space="0" w:color="auto"/>
              <w:left w:val="nil"/>
              <w:bottom w:val="single" w:sz="8" w:space="0" w:color="auto"/>
              <w:right w:val="nil"/>
            </w:tcBorders>
            <w:shd w:val="clear" w:color="000000" w:fill="D9D9D9"/>
            <w:noWrap/>
            <w:vAlign w:val="bottom"/>
            <w:hideMark/>
          </w:tcPr>
          <w:p w14:paraId="7A55FFDD"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Deforestation-free standard</w:t>
            </w:r>
          </w:p>
        </w:tc>
        <w:tc>
          <w:tcPr>
            <w:tcW w:w="1140" w:type="dxa"/>
            <w:tcBorders>
              <w:top w:val="single" w:sz="8" w:space="0" w:color="auto"/>
              <w:left w:val="single" w:sz="4" w:space="0" w:color="auto"/>
              <w:bottom w:val="single" w:sz="8" w:space="0" w:color="auto"/>
              <w:right w:val="single" w:sz="4" w:space="0" w:color="auto"/>
            </w:tcBorders>
            <w:shd w:val="clear" w:color="000000" w:fill="92D050"/>
            <w:noWrap/>
            <w:vAlign w:val="bottom"/>
            <w:hideMark/>
          </w:tcPr>
          <w:p w14:paraId="5045A7C9"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360" w:type="dxa"/>
            <w:tcBorders>
              <w:top w:val="single" w:sz="8" w:space="0" w:color="auto"/>
              <w:left w:val="nil"/>
              <w:bottom w:val="single" w:sz="8" w:space="0" w:color="auto"/>
              <w:right w:val="single" w:sz="4" w:space="0" w:color="auto"/>
            </w:tcBorders>
            <w:shd w:val="clear" w:color="000000" w:fill="92D050"/>
            <w:noWrap/>
            <w:vAlign w:val="bottom"/>
            <w:hideMark/>
          </w:tcPr>
          <w:p w14:paraId="1B42B671"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40" w:type="dxa"/>
            <w:tcBorders>
              <w:top w:val="single" w:sz="8" w:space="0" w:color="auto"/>
              <w:left w:val="nil"/>
              <w:bottom w:val="single" w:sz="8" w:space="0" w:color="auto"/>
              <w:right w:val="single" w:sz="4" w:space="0" w:color="auto"/>
            </w:tcBorders>
            <w:shd w:val="clear" w:color="000000" w:fill="FFC000"/>
            <w:noWrap/>
            <w:vAlign w:val="bottom"/>
            <w:hideMark/>
          </w:tcPr>
          <w:p w14:paraId="695DE085"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single" w:sz="8" w:space="0" w:color="auto"/>
              <w:left w:val="nil"/>
              <w:bottom w:val="single" w:sz="8" w:space="0" w:color="auto"/>
              <w:right w:val="single" w:sz="4" w:space="0" w:color="auto"/>
            </w:tcBorders>
            <w:shd w:val="clear" w:color="000000" w:fill="FFC000"/>
            <w:noWrap/>
            <w:vAlign w:val="bottom"/>
            <w:hideMark/>
          </w:tcPr>
          <w:p w14:paraId="517B357E"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single" w:sz="8" w:space="0" w:color="auto"/>
              <w:left w:val="nil"/>
              <w:bottom w:val="single" w:sz="8" w:space="0" w:color="auto"/>
              <w:right w:val="single" w:sz="4" w:space="0" w:color="auto"/>
            </w:tcBorders>
            <w:shd w:val="clear" w:color="000000" w:fill="92D050"/>
            <w:noWrap/>
            <w:vAlign w:val="bottom"/>
            <w:hideMark/>
          </w:tcPr>
          <w:p w14:paraId="7EC0012E"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4000" w:type="dxa"/>
            <w:gridSpan w:val="2"/>
            <w:tcBorders>
              <w:top w:val="single" w:sz="8" w:space="0" w:color="auto"/>
              <w:left w:val="nil"/>
              <w:bottom w:val="single" w:sz="8" w:space="0" w:color="auto"/>
              <w:right w:val="single" w:sz="8" w:space="0" w:color="000000"/>
            </w:tcBorders>
            <w:shd w:val="clear" w:color="000000" w:fill="D9D9D9"/>
            <w:noWrap/>
            <w:vAlign w:val="bottom"/>
            <w:hideMark/>
          </w:tcPr>
          <w:p w14:paraId="26FA3CD2" w14:textId="77777777" w:rsidR="0009263A" w:rsidRPr="0009263A" w:rsidRDefault="0009263A" w:rsidP="0009263A">
            <w:pPr>
              <w:spacing w:after="0" w:line="240" w:lineRule="auto"/>
              <w:jc w:val="center"/>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Yes</w:t>
            </w:r>
          </w:p>
        </w:tc>
      </w:tr>
      <w:tr w:rsidR="0009263A" w:rsidRPr="0009263A" w14:paraId="090199E0" w14:textId="77777777" w:rsidTr="0009263A">
        <w:trPr>
          <w:trHeight w:val="315"/>
        </w:trPr>
        <w:tc>
          <w:tcPr>
            <w:tcW w:w="320" w:type="dxa"/>
            <w:tcBorders>
              <w:top w:val="nil"/>
              <w:left w:val="single" w:sz="8" w:space="0" w:color="auto"/>
              <w:bottom w:val="nil"/>
              <w:right w:val="nil"/>
            </w:tcBorders>
            <w:shd w:val="clear" w:color="auto" w:fill="auto"/>
            <w:noWrap/>
            <w:vAlign w:val="bottom"/>
            <w:hideMark/>
          </w:tcPr>
          <w:p w14:paraId="27E0CEE8" w14:textId="77777777" w:rsidR="0009263A" w:rsidRPr="0009263A" w:rsidRDefault="0009263A" w:rsidP="0009263A">
            <w:pPr>
              <w:spacing w:after="0" w:line="240" w:lineRule="auto"/>
              <w:jc w:val="right"/>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2</w:t>
            </w:r>
          </w:p>
        </w:tc>
        <w:tc>
          <w:tcPr>
            <w:tcW w:w="3380" w:type="dxa"/>
            <w:tcBorders>
              <w:top w:val="nil"/>
              <w:left w:val="nil"/>
              <w:bottom w:val="nil"/>
              <w:right w:val="nil"/>
            </w:tcBorders>
            <w:shd w:val="clear" w:color="auto" w:fill="auto"/>
            <w:noWrap/>
            <w:vAlign w:val="bottom"/>
            <w:hideMark/>
          </w:tcPr>
          <w:p w14:paraId="766E7145"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Voluntary labelling</w:t>
            </w:r>
          </w:p>
        </w:tc>
        <w:tc>
          <w:tcPr>
            <w:tcW w:w="1140" w:type="dxa"/>
            <w:tcBorders>
              <w:top w:val="nil"/>
              <w:left w:val="single" w:sz="4" w:space="0" w:color="auto"/>
              <w:bottom w:val="nil"/>
              <w:right w:val="single" w:sz="4" w:space="0" w:color="auto"/>
            </w:tcBorders>
            <w:shd w:val="clear" w:color="000000" w:fill="92D050"/>
            <w:noWrap/>
            <w:vAlign w:val="bottom"/>
            <w:hideMark/>
          </w:tcPr>
          <w:p w14:paraId="05FC5FDA"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360" w:type="dxa"/>
            <w:tcBorders>
              <w:top w:val="nil"/>
              <w:left w:val="nil"/>
              <w:bottom w:val="nil"/>
              <w:right w:val="single" w:sz="4" w:space="0" w:color="auto"/>
            </w:tcBorders>
            <w:shd w:val="clear" w:color="000000" w:fill="FF0000"/>
            <w:noWrap/>
            <w:vAlign w:val="bottom"/>
            <w:hideMark/>
          </w:tcPr>
          <w:p w14:paraId="3DF5E45E" w14:textId="77777777" w:rsidR="0009263A" w:rsidRPr="0009263A" w:rsidRDefault="0009263A" w:rsidP="0009263A">
            <w:pPr>
              <w:spacing w:after="0" w:line="240" w:lineRule="auto"/>
              <w:rPr>
                <w:rFonts w:ascii="Calibri" w:eastAsia="Times New Roman" w:hAnsi="Calibri" w:cs="Calibri"/>
                <w:noProof/>
                <w:color w:val="FF0000"/>
                <w:sz w:val="22"/>
                <w:lang w:eastAsia="zh-CN"/>
              </w:rPr>
            </w:pPr>
            <w:r w:rsidRPr="0009263A">
              <w:rPr>
                <w:rFonts w:ascii="Calibri" w:eastAsia="Times New Roman" w:hAnsi="Calibri" w:cs="Calibri"/>
                <w:noProof/>
                <w:color w:val="FF0000"/>
                <w:sz w:val="22"/>
                <w:lang w:eastAsia="zh-CN"/>
              </w:rPr>
              <w:t> </w:t>
            </w:r>
          </w:p>
        </w:tc>
        <w:tc>
          <w:tcPr>
            <w:tcW w:w="1140" w:type="dxa"/>
            <w:tcBorders>
              <w:top w:val="nil"/>
              <w:left w:val="nil"/>
              <w:bottom w:val="nil"/>
              <w:right w:val="single" w:sz="4" w:space="0" w:color="auto"/>
            </w:tcBorders>
            <w:shd w:val="clear" w:color="000000" w:fill="92D050"/>
            <w:noWrap/>
            <w:vAlign w:val="bottom"/>
            <w:hideMark/>
          </w:tcPr>
          <w:p w14:paraId="1D46D081"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nil"/>
              <w:left w:val="nil"/>
              <w:bottom w:val="nil"/>
              <w:right w:val="single" w:sz="4" w:space="0" w:color="auto"/>
            </w:tcBorders>
            <w:shd w:val="clear" w:color="000000" w:fill="FF0000"/>
            <w:noWrap/>
            <w:vAlign w:val="bottom"/>
            <w:hideMark/>
          </w:tcPr>
          <w:p w14:paraId="40B99CFC"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nil"/>
              <w:left w:val="nil"/>
              <w:bottom w:val="nil"/>
              <w:right w:val="single" w:sz="4" w:space="0" w:color="auto"/>
            </w:tcBorders>
            <w:shd w:val="clear" w:color="000000" w:fill="FF0000"/>
            <w:noWrap/>
            <w:vAlign w:val="bottom"/>
            <w:hideMark/>
          </w:tcPr>
          <w:p w14:paraId="2BC84B43"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400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3DFC0967" w14:textId="77777777" w:rsidR="0009263A" w:rsidRPr="0009263A" w:rsidRDefault="0009263A" w:rsidP="0009263A">
            <w:pPr>
              <w:spacing w:after="0" w:line="240" w:lineRule="auto"/>
              <w:jc w:val="center"/>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No</w:t>
            </w:r>
          </w:p>
        </w:tc>
      </w:tr>
      <w:tr w:rsidR="0009263A" w:rsidRPr="0009263A" w14:paraId="36C2C898" w14:textId="77777777" w:rsidTr="0009263A">
        <w:trPr>
          <w:trHeight w:val="315"/>
        </w:trPr>
        <w:tc>
          <w:tcPr>
            <w:tcW w:w="320" w:type="dxa"/>
            <w:tcBorders>
              <w:top w:val="single" w:sz="8" w:space="0" w:color="auto"/>
              <w:left w:val="single" w:sz="8" w:space="0" w:color="auto"/>
              <w:bottom w:val="single" w:sz="8" w:space="0" w:color="auto"/>
              <w:right w:val="nil"/>
            </w:tcBorders>
            <w:shd w:val="clear" w:color="000000" w:fill="D9D9D9"/>
            <w:noWrap/>
            <w:vAlign w:val="bottom"/>
            <w:hideMark/>
          </w:tcPr>
          <w:p w14:paraId="1D78D79B" w14:textId="77777777" w:rsidR="0009263A" w:rsidRPr="0009263A" w:rsidRDefault="0009263A" w:rsidP="0009263A">
            <w:pPr>
              <w:spacing w:after="0" w:line="240" w:lineRule="auto"/>
              <w:jc w:val="right"/>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3</w:t>
            </w:r>
          </w:p>
        </w:tc>
        <w:tc>
          <w:tcPr>
            <w:tcW w:w="3380" w:type="dxa"/>
            <w:tcBorders>
              <w:top w:val="single" w:sz="8" w:space="0" w:color="auto"/>
              <w:left w:val="nil"/>
              <w:bottom w:val="single" w:sz="8" w:space="0" w:color="auto"/>
              <w:right w:val="nil"/>
            </w:tcBorders>
            <w:shd w:val="clear" w:color="000000" w:fill="D9D9D9"/>
            <w:noWrap/>
            <w:vAlign w:val="bottom"/>
            <w:hideMark/>
          </w:tcPr>
          <w:p w14:paraId="3FF415BF"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Mandatory labelling</w:t>
            </w:r>
          </w:p>
        </w:tc>
        <w:tc>
          <w:tcPr>
            <w:tcW w:w="1140" w:type="dxa"/>
            <w:tcBorders>
              <w:top w:val="single" w:sz="8" w:space="0" w:color="auto"/>
              <w:left w:val="single" w:sz="4" w:space="0" w:color="auto"/>
              <w:bottom w:val="single" w:sz="8" w:space="0" w:color="auto"/>
              <w:right w:val="single" w:sz="4" w:space="0" w:color="auto"/>
            </w:tcBorders>
            <w:shd w:val="clear" w:color="000000" w:fill="92D050"/>
            <w:noWrap/>
            <w:vAlign w:val="bottom"/>
            <w:hideMark/>
          </w:tcPr>
          <w:p w14:paraId="11F32252"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360" w:type="dxa"/>
            <w:tcBorders>
              <w:top w:val="single" w:sz="8" w:space="0" w:color="auto"/>
              <w:left w:val="nil"/>
              <w:bottom w:val="single" w:sz="8" w:space="0" w:color="auto"/>
              <w:right w:val="single" w:sz="4" w:space="0" w:color="auto"/>
            </w:tcBorders>
            <w:shd w:val="clear" w:color="000000" w:fill="FF0000"/>
            <w:noWrap/>
            <w:vAlign w:val="bottom"/>
            <w:hideMark/>
          </w:tcPr>
          <w:p w14:paraId="377866C7"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40" w:type="dxa"/>
            <w:tcBorders>
              <w:top w:val="single" w:sz="8" w:space="0" w:color="auto"/>
              <w:left w:val="nil"/>
              <w:bottom w:val="single" w:sz="8" w:space="0" w:color="auto"/>
              <w:right w:val="single" w:sz="4" w:space="0" w:color="auto"/>
            </w:tcBorders>
            <w:shd w:val="clear" w:color="000000" w:fill="FFC000"/>
            <w:noWrap/>
            <w:vAlign w:val="bottom"/>
            <w:hideMark/>
          </w:tcPr>
          <w:p w14:paraId="210BA29B"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single" w:sz="8" w:space="0" w:color="auto"/>
              <w:left w:val="nil"/>
              <w:bottom w:val="single" w:sz="8" w:space="0" w:color="auto"/>
              <w:right w:val="single" w:sz="4" w:space="0" w:color="auto"/>
            </w:tcBorders>
            <w:shd w:val="clear" w:color="000000" w:fill="FFC000"/>
            <w:noWrap/>
            <w:vAlign w:val="bottom"/>
            <w:hideMark/>
          </w:tcPr>
          <w:p w14:paraId="5669E4A1"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single" w:sz="8" w:space="0" w:color="auto"/>
              <w:left w:val="nil"/>
              <w:bottom w:val="single" w:sz="8" w:space="0" w:color="auto"/>
              <w:right w:val="single" w:sz="4" w:space="0" w:color="auto"/>
            </w:tcBorders>
            <w:shd w:val="clear" w:color="000000" w:fill="92D050"/>
            <w:noWrap/>
            <w:vAlign w:val="bottom"/>
            <w:hideMark/>
          </w:tcPr>
          <w:p w14:paraId="3774E9E7" w14:textId="77777777" w:rsidR="0009263A" w:rsidRPr="0009263A" w:rsidRDefault="0009263A" w:rsidP="0009263A">
            <w:pPr>
              <w:spacing w:after="0" w:line="240" w:lineRule="auto"/>
              <w:rPr>
                <w:rFonts w:ascii="Calibri" w:eastAsia="Times New Roman" w:hAnsi="Calibri" w:cs="Calibri"/>
                <w:noProof/>
                <w:color w:val="FF0000"/>
                <w:sz w:val="22"/>
                <w:lang w:eastAsia="zh-CN"/>
              </w:rPr>
            </w:pPr>
            <w:r w:rsidRPr="0009263A">
              <w:rPr>
                <w:rFonts w:ascii="Calibri" w:eastAsia="Times New Roman" w:hAnsi="Calibri" w:cs="Calibri"/>
                <w:noProof/>
                <w:color w:val="FF0000"/>
                <w:sz w:val="22"/>
                <w:lang w:eastAsia="zh-CN"/>
              </w:rPr>
              <w:t> </w:t>
            </w:r>
          </w:p>
        </w:tc>
        <w:tc>
          <w:tcPr>
            <w:tcW w:w="4000" w:type="dxa"/>
            <w:gridSpan w:val="2"/>
            <w:tcBorders>
              <w:top w:val="single" w:sz="8" w:space="0" w:color="auto"/>
              <w:left w:val="nil"/>
              <w:bottom w:val="single" w:sz="8" w:space="0" w:color="auto"/>
              <w:right w:val="single" w:sz="8" w:space="0" w:color="000000"/>
            </w:tcBorders>
            <w:shd w:val="clear" w:color="000000" w:fill="D9D9D9"/>
            <w:noWrap/>
            <w:vAlign w:val="bottom"/>
            <w:hideMark/>
          </w:tcPr>
          <w:p w14:paraId="1B3E0E99" w14:textId="77777777" w:rsidR="0009263A" w:rsidRPr="0009263A" w:rsidRDefault="0009263A" w:rsidP="0009263A">
            <w:pPr>
              <w:spacing w:after="0" w:line="240" w:lineRule="auto"/>
              <w:jc w:val="center"/>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Yes</w:t>
            </w:r>
          </w:p>
        </w:tc>
      </w:tr>
      <w:tr w:rsidR="0009263A" w:rsidRPr="0009263A" w14:paraId="3CF6F049" w14:textId="77777777" w:rsidTr="0009263A">
        <w:trPr>
          <w:trHeight w:val="315"/>
        </w:trPr>
        <w:tc>
          <w:tcPr>
            <w:tcW w:w="320" w:type="dxa"/>
            <w:tcBorders>
              <w:top w:val="nil"/>
              <w:left w:val="single" w:sz="8" w:space="0" w:color="auto"/>
              <w:bottom w:val="single" w:sz="8" w:space="0" w:color="auto"/>
              <w:right w:val="nil"/>
            </w:tcBorders>
            <w:shd w:val="clear" w:color="000000" w:fill="D9D9D9"/>
            <w:noWrap/>
            <w:vAlign w:val="bottom"/>
            <w:hideMark/>
          </w:tcPr>
          <w:p w14:paraId="69962DDB" w14:textId="77777777" w:rsidR="0009263A" w:rsidRPr="0009263A" w:rsidRDefault="0009263A" w:rsidP="0009263A">
            <w:pPr>
              <w:spacing w:after="0" w:line="240" w:lineRule="auto"/>
              <w:jc w:val="right"/>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4</w:t>
            </w:r>
          </w:p>
        </w:tc>
        <w:tc>
          <w:tcPr>
            <w:tcW w:w="3380" w:type="dxa"/>
            <w:tcBorders>
              <w:top w:val="nil"/>
              <w:left w:val="nil"/>
              <w:bottom w:val="single" w:sz="8" w:space="0" w:color="auto"/>
              <w:right w:val="nil"/>
            </w:tcBorders>
            <w:shd w:val="clear" w:color="000000" w:fill="D9D9D9"/>
            <w:noWrap/>
            <w:vAlign w:val="bottom"/>
            <w:hideMark/>
          </w:tcPr>
          <w:p w14:paraId="416A2511"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IUU Fishing</w:t>
            </w:r>
          </w:p>
        </w:tc>
        <w:tc>
          <w:tcPr>
            <w:tcW w:w="1140" w:type="dxa"/>
            <w:tcBorders>
              <w:top w:val="nil"/>
              <w:left w:val="single" w:sz="4" w:space="0" w:color="auto"/>
              <w:bottom w:val="single" w:sz="8" w:space="0" w:color="auto"/>
              <w:right w:val="single" w:sz="4" w:space="0" w:color="auto"/>
            </w:tcBorders>
            <w:shd w:val="clear" w:color="000000" w:fill="FFC000"/>
            <w:noWrap/>
            <w:vAlign w:val="bottom"/>
            <w:hideMark/>
          </w:tcPr>
          <w:p w14:paraId="201CD658"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360" w:type="dxa"/>
            <w:tcBorders>
              <w:top w:val="nil"/>
              <w:left w:val="nil"/>
              <w:bottom w:val="single" w:sz="8" w:space="0" w:color="auto"/>
              <w:right w:val="single" w:sz="4" w:space="0" w:color="auto"/>
            </w:tcBorders>
            <w:shd w:val="clear" w:color="000000" w:fill="FFC000"/>
            <w:noWrap/>
            <w:vAlign w:val="bottom"/>
            <w:hideMark/>
          </w:tcPr>
          <w:p w14:paraId="0D57A74B"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40" w:type="dxa"/>
            <w:tcBorders>
              <w:top w:val="nil"/>
              <w:left w:val="nil"/>
              <w:bottom w:val="single" w:sz="8" w:space="0" w:color="auto"/>
              <w:right w:val="single" w:sz="4" w:space="0" w:color="auto"/>
            </w:tcBorders>
            <w:shd w:val="clear" w:color="000000" w:fill="92D050"/>
            <w:noWrap/>
            <w:vAlign w:val="bottom"/>
            <w:hideMark/>
          </w:tcPr>
          <w:p w14:paraId="76B999FF"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nil"/>
              <w:left w:val="nil"/>
              <w:bottom w:val="single" w:sz="8" w:space="0" w:color="auto"/>
              <w:right w:val="single" w:sz="4" w:space="0" w:color="auto"/>
            </w:tcBorders>
            <w:shd w:val="clear" w:color="000000" w:fill="FFC000"/>
            <w:noWrap/>
            <w:vAlign w:val="bottom"/>
            <w:hideMark/>
          </w:tcPr>
          <w:p w14:paraId="4955BCDA"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nil"/>
              <w:left w:val="nil"/>
              <w:bottom w:val="single" w:sz="8" w:space="0" w:color="auto"/>
              <w:right w:val="single" w:sz="4" w:space="0" w:color="auto"/>
            </w:tcBorders>
            <w:shd w:val="clear" w:color="000000" w:fill="92D050"/>
            <w:noWrap/>
            <w:vAlign w:val="bottom"/>
            <w:hideMark/>
          </w:tcPr>
          <w:p w14:paraId="793AE2B7"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4000" w:type="dxa"/>
            <w:gridSpan w:val="2"/>
            <w:tcBorders>
              <w:top w:val="single" w:sz="8" w:space="0" w:color="auto"/>
              <w:left w:val="nil"/>
              <w:bottom w:val="single" w:sz="8" w:space="0" w:color="auto"/>
              <w:right w:val="single" w:sz="8" w:space="0" w:color="000000"/>
            </w:tcBorders>
            <w:shd w:val="clear" w:color="000000" w:fill="D9D9D9"/>
            <w:noWrap/>
            <w:vAlign w:val="bottom"/>
            <w:hideMark/>
          </w:tcPr>
          <w:p w14:paraId="6318796B" w14:textId="77777777" w:rsidR="0009263A" w:rsidRPr="0009263A" w:rsidRDefault="0009263A" w:rsidP="0009263A">
            <w:pPr>
              <w:spacing w:after="0" w:line="240" w:lineRule="auto"/>
              <w:jc w:val="center"/>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Yes</w:t>
            </w:r>
          </w:p>
        </w:tc>
      </w:tr>
      <w:tr w:rsidR="0009263A" w:rsidRPr="0009263A" w14:paraId="0E4D6BB8" w14:textId="77777777" w:rsidTr="0009263A">
        <w:trPr>
          <w:trHeight w:val="315"/>
        </w:trPr>
        <w:tc>
          <w:tcPr>
            <w:tcW w:w="320" w:type="dxa"/>
            <w:tcBorders>
              <w:top w:val="nil"/>
              <w:left w:val="single" w:sz="8" w:space="0" w:color="auto"/>
              <w:bottom w:val="nil"/>
              <w:right w:val="nil"/>
            </w:tcBorders>
            <w:shd w:val="clear" w:color="auto" w:fill="auto"/>
            <w:noWrap/>
            <w:vAlign w:val="bottom"/>
            <w:hideMark/>
          </w:tcPr>
          <w:p w14:paraId="686D085E" w14:textId="77777777" w:rsidR="0009263A" w:rsidRPr="0009263A" w:rsidRDefault="0009263A" w:rsidP="0009263A">
            <w:pPr>
              <w:spacing w:after="0" w:line="240" w:lineRule="auto"/>
              <w:jc w:val="right"/>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5</w:t>
            </w:r>
          </w:p>
        </w:tc>
        <w:tc>
          <w:tcPr>
            <w:tcW w:w="3380" w:type="dxa"/>
            <w:tcBorders>
              <w:top w:val="nil"/>
              <w:left w:val="nil"/>
              <w:bottom w:val="nil"/>
              <w:right w:val="nil"/>
            </w:tcBorders>
            <w:shd w:val="clear" w:color="auto" w:fill="auto"/>
            <w:noWrap/>
            <w:vAlign w:val="bottom"/>
            <w:hideMark/>
          </w:tcPr>
          <w:p w14:paraId="39E6F4E9"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Voluntary due diligence</w:t>
            </w:r>
          </w:p>
        </w:tc>
        <w:tc>
          <w:tcPr>
            <w:tcW w:w="1140" w:type="dxa"/>
            <w:tcBorders>
              <w:top w:val="nil"/>
              <w:left w:val="single" w:sz="4" w:space="0" w:color="auto"/>
              <w:bottom w:val="nil"/>
              <w:right w:val="single" w:sz="4" w:space="0" w:color="auto"/>
            </w:tcBorders>
            <w:shd w:val="clear" w:color="000000" w:fill="92D050"/>
            <w:noWrap/>
            <w:vAlign w:val="bottom"/>
            <w:hideMark/>
          </w:tcPr>
          <w:p w14:paraId="6C4E64A9"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360" w:type="dxa"/>
            <w:tcBorders>
              <w:top w:val="nil"/>
              <w:left w:val="nil"/>
              <w:bottom w:val="nil"/>
              <w:right w:val="single" w:sz="4" w:space="0" w:color="auto"/>
            </w:tcBorders>
            <w:shd w:val="clear" w:color="000000" w:fill="FF0000"/>
            <w:noWrap/>
            <w:vAlign w:val="bottom"/>
            <w:hideMark/>
          </w:tcPr>
          <w:p w14:paraId="16789551"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40" w:type="dxa"/>
            <w:tcBorders>
              <w:top w:val="nil"/>
              <w:left w:val="nil"/>
              <w:bottom w:val="nil"/>
              <w:right w:val="single" w:sz="4" w:space="0" w:color="auto"/>
            </w:tcBorders>
            <w:shd w:val="clear" w:color="000000" w:fill="92D050"/>
            <w:noWrap/>
            <w:vAlign w:val="bottom"/>
            <w:hideMark/>
          </w:tcPr>
          <w:p w14:paraId="2B0509E3"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nil"/>
              <w:left w:val="nil"/>
              <w:bottom w:val="nil"/>
              <w:right w:val="single" w:sz="4" w:space="0" w:color="auto"/>
            </w:tcBorders>
            <w:shd w:val="clear" w:color="000000" w:fill="92D050"/>
            <w:noWrap/>
            <w:vAlign w:val="bottom"/>
            <w:hideMark/>
          </w:tcPr>
          <w:p w14:paraId="7B590B8C"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nil"/>
              <w:left w:val="nil"/>
              <w:bottom w:val="nil"/>
              <w:right w:val="single" w:sz="4" w:space="0" w:color="auto"/>
            </w:tcBorders>
            <w:shd w:val="clear" w:color="000000" w:fill="FF0000"/>
            <w:noWrap/>
            <w:vAlign w:val="bottom"/>
            <w:hideMark/>
          </w:tcPr>
          <w:p w14:paraId="221D0202"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400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DE2BBDA" w14:textId="77777777" w:rsidR="0009263A" w:rsidRPr="0009263A" w:rsidRDefault="0009263A" w:rsidP="0009263A">
            <w:pPr>
              <w:spacing w:after="0" w:line="240" w:lineRule="auto"/>
              <w:jc w:val="center"/>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No</w:t>
            </w:r>
          </w:p>
        </w:tc>
      </w:tr>
      <w:tr w:rsidR="0009263A" w:rsidRPr="0009263A" w14:paraId="21F6FC81" w14:textId="77777777" w:rsidTr="0009263A">
        <w:trPr>
          <w:trHeight w:val="315"/>
        </w:trPr>
        <w:tc>
          <w:tcPr>
            <w:tcW w:w="320" w:type="dxa"/>
            <w:tcBorders>
              <w:top w:val="single" w:sz="8" w:space="0" w:color="auto"/>
              <w:left w:val="single" w:sz="8" w:space="0" w:color="auto"/>
              <w:bottom w:val="single" w:sz="8" w:space="0" w:color="auto"/>
              <w:right w:val="nil"/>
            </w:tcBorders>
            <w:shd w:val="clear" w:color="000000" w:fill="D9D9D9"/>
            <w:noWrap/>
            <w:vAlign w:val="bottom"/>
            <w:hideMark/>
          </w:tcPr>
          <w:p w14:paraId="4B2A3D4C" w14:textId="77777777" w:rsidR="0009263A" w:rsidRPr="0009263A" w:rsidRDefault="0009263A" w:rsidP="0009263A">
            <w:pPr>
              <w:spacing w:after="0" w:line="240" w:lineRule="auto"/>
              <w:jc w:val="right"/>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6</w:t>
            </w:r>
          </w:p>
        </w:tc>
        <w:tc>
          <w:tcPr>
            <w:tcW w:w="3380" w:type="dxa"/>
            <w:tcBorders>
              <w:top w:val="single" w:sz="8" w:space="0" w:color="auto"/>
              <w:left w:val="nil"/>
              <w:bottom w:val="single" w:sz="8" w:space="0" w:color="auto"/>
              <w:right w:val="nil"/>
            </w:tcBorders>
            <w:shd w:val="clear" w:color="000000" w:fill="D9D9D9"/>
            <w:noWrap/>
            <w:vAlign w:val="bottom"/>
            <w:hideMark/>
          </w:tcPr>
          <w:p w14:paraId="2E7E6314"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Mandatory due diligence</w:t>
            </w:r>
          </w:p>
        </w:tc>
        <w:tc>
          <w:tcPr>
            <w:tcW w:w="1140" w:type="dxa"/>
            <w:tcBorders>
              <w:top w:val="single" w:sz="8" w:space="0" w:color="auto"/>
              <w:left w:val="single" w:sz="4" w:space="0" w:color="auto"/>
              <w:bottom w:val="single" w:sz="8" w:space="0" w:color="auto"/>
              <w:right w:val="single" w:sz="4" w:space="0" w:color="auto"/>
            </w:tcBorders>
            <w:shd w:val="clear" w:color="000000" w:fill="92D050"/>
            <w:noWrap/>
            <w:vAlign w:val="bottom"/>
            <w:hideMark/>
          </w:tcPr>
          <w:p w14:paraId="41ABC145"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360" w:type="dxa"/>
            <w:tcBorders>
              <w:top w:val="single" w:sz="8" w:space="0" w:color="auto"/>
              <w:left w:val="nil"/>
              <w:bottom w:val="single" w:sz="8" w:space="0" w:color="auto"/>
              <w:right w:val="single" w:sz="4" w:space="0" w:color="auto"/>
            </w:tcBorders>
            <w:shd w:val="clear" w:color="000000" w:fill="FFC000"/>
            <w:noWrap/>
            <w:vAlign w:val="bottom"/>
            <w:hideMark/>
          </w:tcPr>
          <w:p w14:paraId="75224716"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40" w:type="dxa"/>
            <w:tcBorders>
              <w:top w:val="single" w:sz="8" w:space="0" w:color="auto"/>
              <w:left w:val="nil"/>
              <w:bottom w:val="single" w:sz="8" w:space="0" w:color="auto"/>
              <w:right w:val="single" w:sz="4" w:space="0" w:color="auto"/>
            </w:tcBorders>
            <w:shd w:val="clear" w:color="000000" w:fill="FFC000"/>
            <w:noWrap/>
            <w:vAlign w:val="bottom"/>
            <w:hideMark/>
          </w:tcPr>
          <w:p w14:paraId="3F0DFAB9"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single" w:sz="8" w:space="0" w:color="auto"/>
              <w:left w:val="nil"/>
              <w:bottom w:val="single" w:sz="8" w:space="0" w:color="auto"/>
              <w:right w:val="single" w:sz="4" w:space="0" w:color="auto"/>
            </w:tcBorders>
            <w:shd w:val="clear" w:color="000000" w:fill="92D050"/>
            <w:noWrap/>
            <w:vAlign w:val="bottom"/>
            <w:hideMark/>
          </w:tcPr>
          <w:p w14:paraId="16585C0F"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single" w:sz="8" w:space="0" w:color="auto"/>
              <w:left w:val="nil"/>
              <w:bottom w:val="single" w:sz="8" w:space="0" w:color="auto"/>
              <w:right w:val="single" w:sz="4" w:space="0" w:color="auto"/>
            </w:tcBorders>
            <w:shd w:val="clear" w:color="000000" w:fill="92D050"/>
            <w:noWrap/>
            <w:vAlign w:val="bottom"/>
            <w:hideMark/>
          </w:tcPr>
          <w:p w14:paraId="56D05E8D"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4000" w:type="dxa"/>
            <w:gridSpan w:val="2"/>
            <w:tcBorders>
              <w:top w:val="single" w:sz="8" w:space="0" w:color="auto"/>
              <w:left w:val="nil"/>
              <w:bottom w:val="single" w:sz="8" w:space="0" w:color="auto"/>
              <w:right w:val="single" w:sz="8" w:space="0" w:color="000000"/>
            </w:tcBorders>
            <w:shd w:val="clear" w:color="000000" w:fill="D9D9D9"/>
            <w:noWrap/>
            <w:vAlign w:val="bottom"/>
            <w:hideMark/>
          </w:tcPr>
          <w:p w14:paraId="12C81C6B" w14:textId="77777777" w:rsidR="0009263A" w:rsidRPr="0009263A" w:rsidRDefault="0009263A" w:rsidP="0009263A">
            <w:pPr>
              <w:spacing w:after="0" w:line="240" w:lineRule="auto"/>
              <w:jc w:val="center"/>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Yes</w:t>
            </w:r>
          </w:p>
        </w:tc>
      </w:tr>
      <w:tr w:rsidR="0009263A" w:rsidRPr="0009263A" w14:paraId="1B2B7C05" w14:textId="77777777" w:rsidTr="0009263A">
        <w:trPr>
          <w:trHeight w:val="315"/>
        </w:trPr>
        <w:tc>
          <w:tcPr>
            <w:tcW w:w="320" w:type="dxa"/>
            <w:tcBorders>
              <w:top w:val="nil"/>
              <w:left w:val="single" w:sz="8" w:space="0" w:color="auto"/>
              <w:bottom w:val="single" w:sz="8" w:space="0" w:color="auto"/>
              <w:right w:val="nil"/>
            </w:tcBorders>
            <w:shd w:val="clear" w:color="000000" w:fill="D9D9D9"/>
            <w:noWrap/>
            <w:vAlign w:val="bottom"/>
            <w:hideMark/>
          </w:tcPr>
          <w:p w14:paraId="1B41AD38" w14:textId="77777777" w:rsidR="0009263A" w:rsidRPr="0009263A" w:rsidRDefault="0009263A" w:rsidP="0009263A">
            <w:pPr>
              <w:spacing w:after="0" w:line="240" w:lineRule="auto"/>
              <w:jc w:val="right"/>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7</w:t>
            </w:r>
          </w:p>
        </w:tc>
        <w:tc>
          <w:tcPr>
            <w:tcW w:w="3380" w:type="dxa"/>
            <w:tcBorders>
              <w:top w:val="nil"/>
              <w:left w:val="nil"/>
              <w:bottom w:val="single" w:sz="8" w:space="0" w:color="auto"/>
              <w:right w:val="nil"/>
            </w:tcBorders>
            <w:shd w:val="clear" w:color="000000" w:fill="D9D9D9"/>
            <w:noWrap/>
            <w:vAlign w:val="bottom"/>
            <w:hideMark/>
          </w:tcPr>
          <w:p w14:paraId="419EF457"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Mandatory public certification</w:t>
            </w:r>
          </w:p>
        </w:tc>
        <w:tc>
          <w:tcPr>
            <w:tcW w:w="1140" w:type="dxa"/>
            <w:tcBorders>
              <w:top w:val="nil"/>
              <w:left w:val="single" w:sz="4" w:space="0" w:color="auto"/>
              <w:bottom w:val="single" w:sz="8" w:space="0" w:color="auto"/>
              <w:right w:val="single" w:sz="4" w:space="0" w:color="auto"/>
            </w:tcBorders>
            <w:shd w:val="clear" w:color="000000" w:fill="FFC000"/>
            <w:noWrap/>
            <w:vAlign w:val="bottom"/>
            <w:hideMark/>
          </w:tcPr>
          <w:p w14:paraId="0A1093E3"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360" w:type="dxa"/>
            <w:tcBorders>
              <w:top w:val="nil"/>
              <w:left w:val="nil"/>
              <w:bottom w:val="single" w:sz="8" w:space="0" w:color="auto"/>
              <w:right w:val="single" w:sz="4" w:space="0" w:color="auto"/>
            </w:tcBorders>
            <w:shd w:val="clear" w:color="000000" w:fill="FFC000"/>
            <w:noWrap/>
            <w:vAlign w:val="bottom"/>
            <w:hideMark/>
          </w:tcPr>
          <w:p w14:paraId="39061C9E"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40" w:type="dxa"/>
            <w:tcBorders>
              <w:top w:val="nil"/>
              <w:left w:val="nil"/>
              <w:bottom w:val="single" w:sz="8" w:space="0" w:color="auto"/>
              <w:right w:val="single" w:sz="4" w:space="0" w:color="auto"/>
            </w:tcBorders>
            <w:shd w:val="clear" w:color="000000" w:fill="FFC000"/>
            <w:noWrap/>
            <w:vAlign w:val="bottom"/>
            <w:hideMark/>
          </w:tcPr>
          <w:p w14:paraId="3A84B93B"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nil"/>
              <w:left w:val="nil"/>
              <w:bottom w:val="single" w:sz="8" w:space="0" w:color="auto"/>
              <w:right w:val="single" w:sz="4" w:space="0" w:color="auto"/>
            </w:tcBorders>
            <w:shd w:val="clear" w:color="000000" w:fill="FFC000"/>
            <w:noWrap/>
            <w:vAlign w:val="bottom"/>
            <w:hideMark/>
          </w:tcPr>
          <w:p w14:paraId="10C2F27D"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nil"/>
              <w:left w:val="nil"/>
              <w:bottom w:val="single" w:sz="8" w:space="0" w:color="auto"/>
              <w:right w:val="single" w:sz="4" w:space="0" w:color="auto"/>
            </w:tcBorders>
            <w:shd w:val="clear" w:color="000000" w:fill="92D050"/>
            <w:noWrap/>
            <w:vAlign w:val="bottom"/>
            <w:hideMark/>
          </w:tcPr>
          <w:p w14:paraId="21DD6806"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4000" w:type="dxa"/>
            <w:gridSpan w:val="2"/>
            <w:tcBorders>
              <w:top w:val="single" w:sz="8" w:space="0" w:color="auto"/>
              <w:left w:val="nil"/>
              <w:bottom w:val="single" w:sz="8" w:space="0" w:color="auto"/>
              <w:right w:val="single" w:sz="8" w:space="0" w:color="000000"/>
            </w:tcBorders>
            <w:shd w:val="clear" w:color="000000" w:fill="D9D9D9"/>
            <w:noWrap/>
            <w:vAlign w:val="bottom"/>
            <w:hideMark/>
          </w:tcPr>
          <w:p w14:paraId="45EC7403" w14:textId="77777777" w:rsidR="0009263A" w:rsidRPr="0009263A" w:rsidRDefault="0009263A" w:rsidP="0009263A">
            <w:pPr>
              <w:spacing w:after="0" w:line="240" w:lineRule="auto"/>
              <w:jc w:val="center"/>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Yes</w:t>
            </w:r>
          </w:p>
        </w:tc>
      </w:tr>
      <w:tr w:rsidR="0009263A" w:rsidRPr="0009263A" w14:paraId="3CB3BBE9" w14:textId="77777777" w:rsidTr="0009263A">
        <w:trPr>
          <w:trHeight w:val="315"/>
        </w:trPr>
        <w:tc>
          <w:tcPr>
            <w:tcW w:w="320" w:type="dxa"/>
            <w:tcBorders>
              <w:top w:val="nil"/>
              <w:left w:val="single" w:sz="8" w:space="0" w:color="auto"/>
              <w:bottom w:val="nil"/>
              <w:right w:val="nil"/>
            </w:tcBorders>
            <w:shd w:val="clear" w:color="auto" w:fill="auto"/>
            <w:noWrap/>
            <w:vAlign w:val="bottom"/>
            <w:hideMark/>
          </w:tcPr>
          <w:p w14:paraId="6E4198FD" w14:textId="77777777" w:rsidR="0009263A" w:rsidRPr="0009263A" w:rsidRDefault="0009263A" w:rsidP="0009263A">
            <w:pPr>
              <w:spacing w:after="0" w:line="240" w:lineRule="auto"/>
              <w:jc w:val="right"/>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8</w:t>
            </w:r>
          </w:p>
        </w:tc>
        <w:tc>
          <w:tcPr>
            <w:tcW w:w="3380" w:type="dxa"/>
            <w:tcBorders>
              <w:top w:val="nil"/>
              <w:left w:val="nil"/>
              <w:bottom w:val="nil"/>
              <w:right w:val="nil"/>
            </w:tcBorders>
            <w:shd w:val="clear" w:color="auto" w:fill="auto"/>
            <w:noWrap/>
            <w:vAlign w:val="bottom"/>
            <w:hideMark/>
          </w:tcPr>
          <w:p w14:paraId="6597258F"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Voluntary private certification</w:t>
            </w:r>
          </w:p>
        </w:tc>
        <w:tc>
          <w:tcPr>
            <w:tcW w:w="1140" w:type="dxa"/>
            <w:tcBorders>
              <w:top w:val="nil"/>
              <w:left w:val="single" w:sz="4" w:space="0" w:color="auto"/>
              <w:bottom w:val="nil"/>
              <w:right w:val="single" w:sz="4" w:space="0" w:color="auto"/>
            </w:tcBorders>
            <w:shd w:val="clear" w:color="000000" w:fill="92D050"/>
            <w:noWrap/>
            <w:vAlign w:val="bottom"/>
            <w:hideMark/>
          </w:tcPr>
          <w:p w14:paraId="7288BE55"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360" w:type="dxa"/>
            <w:tcBorders>
              <w:top w:val="nil"/>
              <w:left w:val="nil"/>
              <w:bottom w:val="nil"/>
              <w:right w:val="single" w:sz="4" w:space="0" w:color="auto"/>
            </w:tcBorders>
            <w:shd w:val="clear" w:color="000000" w:fill="FF0000"/>
            <w:noWrap/>
            <w:vAlign w:val="bottom"/>
            <w:hideMark/>
          </w:tcPr>
          <w:p w14:paraId="02FAA57D"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40" w:type="dxa"/>
            <w:tcBorders>
              <w:top w:val="nil"/>
              <w:left w:val="nil"/>
              <w:bottom w:val="nil"/>
              <w:right w:val="single" w:sz="4" w:space="0" w:color="auto"/>
            </w:tcBorders>
            <w:shd w:val="clear" w:color="000000" w:fill="92D050"/>
            <w:noWrap/>
            <w:vAlign w:val="bottom"/>
            <w:hideMark/>
          </w:tcPr>
          <w:p w14:paraId="64AB6162"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nil"/>
              <w:left w:val="nil"/>
              <w:bottom w:val="nil"/>
              <w:right w:val="single" w:sz="4" w:space="0" w:color="auto"/>
            </w:tcBorders>
            <w:shd w:val="clear" w:color="000000" w:fill="FF0000"/>
            <w:noWrap/>
            <w:vAlign w:val="bottom"/>
            <w:hideMark/>
          </w:tcPr>
          <w:p w14:paraId="1DC3D68E"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nil"/>
              <w:left w:val="nil"/>
              <w:bottom w:val="nil"/>
              <w:right w:val="single" w:sz="4" w:space="0" w:color="auto"/>
            </w:tcBorders>
            <w:shd w:val="clear" w:color="000000" w:fill="FF0000"/>
            <w:noWrap/>
            <w:vAlign w:val="bottom"/>
            <w:hideMark/>
          </w:tcPr>
          <w:p w14:paraId="7D0AC9EB"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400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21F12F63" w14:textId="77777777" w:rsidR="0009263A" w:rsidRPr="0009263A" w:rsidRDefault="0009263A" w:rsidP="0009263A">
            <w:pPr>
              <w:spacing w:after="0" w:line="240" w:lineRule="auto"/>
              <w:jc w:val="center"/>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No</w:t>
            </w:r>
          </w:p>
        </w:tc>
      </w:tr>
      <w:tr w:rsidR="0009263A" w:rsidRPr="0009263A" w14:paraId="088C1EE6" w14:textId="77777777" w:rsidTr="0009263A">
        <w:trPr>
          <w:trHeight w:val="315"/>
        </w:trPr>
        <w:tc>
          <w:tcPr>
            <w:tcW w:w="320" w:type="dxa"/>
            <w:tcBorders>
              <w:top w:val="single" w:sz="8" w:space="0" w:color="auto"/>
              <w:left w:val="single" w:sz="8" w:space="0" w:color="auto"/>
              <w:bottom w:val="single" w:sz="8" w:space="0" w:color="auto"/>
              <w:right w:val="nil"/>
            </w:tcBorders>
            <w:shd w:val="clear" w:color="000000" w:fill="D9D9D9"/>
            <w:noWrap/>
            <w:vAlign w:val="bottom"/>
            <w:hideMark/>
          </w:tcPr>
          <w:p w14:paraId="563CB668" w14:textId="77777777" w:rsidR="0009263A" w:rsidRPr="0009263A" w:rsidRDefault="0009263A" w:rsidP="0009263A">
            <w:pPr>
              <w:spacing w:after="0" w:line="240" w:lineRule="auto"/>
              <w:jc w:val="right"/>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9</w:t>
            </w:r>
          </w:p>
        </w:tc>
        <w:tc>
          <w:tcPr>
            <w:tcW w:w="3380" w:type="dxa"/>
            <w:tcBorders>
              <w:top w:val="single" w:sz="8" w:space="0" w:color="auto"/>
              <w:left w:val="nil"/>
              <w:bottom w:val="single" w:sz="8" w:space="0" w:color="auto"/>
              <w:right w:val="nil"/>
            </w:tcBorders>
            <w:shd w:val="clear" w:color="000000" w:fill="D9D9D9"/>
            <w:noWrap/>
            <w:vAlign w:val="bottom"/>
            <w:hideMark/>
          </w:tcPr>
          <w:p w14:paraId="722E88AC"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Country benchmarking</w:t>
            </w:r>
          </w:p>
        </w:tc>
        <w:tc>
          <w:tcPr>
            <w:tcW w:w="1140" w:type="dxa"/>
            <w:tcBorders>
              <w:top w:val="single" w:sz="8" w:space="0" w:color="auto"/>
              <w:left w:val="single" w:sz="4" w:space="0" w:color="auto"/>
              <w:bottom w:val="single" w:sz="8" w:space="0" w:color="auto"/>
              <w:right w:val="single" w:sz="4" w:space="0" w:color="auto"/>
            </w:tcBorders>
            <w:shd w:val="clear" w:color="000000" w:fill="92D050"/>
            <w:noWrap/>
            <w:vAlign w:val="bottom"/>
            <w:hideMark/>
          </w:tcPr>
          <w:p w14:paraId="7E3E26F7"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360" w:type="dxa"/>
            <w:tcBorders>
              <w:top w:val="single" w:sz="8" w:space="0" w:color="auto"/>
              <w:left w:val="nil"/>
              <w:bottom w:val="single" w:sz="8" w:space="0" w:color="auto"/>
              <w:right w:val="single" w:sz="4" w:space="0" w:color="auto"/>
            </w:tcBorders>
            <w:shd w:val="clear" w:color="000000" w:fill="FFC000"/>
            <w:noWrap/>
            <w:vAlign w:val="bottom"/>
            <w:hideMark/>
          </w:tcPr>
          <w:p w14:paraId="3169D4EE"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40" w:type="dxa"/>
            <w:tcBorders>
              <w:top w:val="single" w:sz="8" w:space="0" w:color="auto"/>
              <w:left w:val="nil"/>
              <w:bottom w:val="single" w:sz="8" w:space="0" w:color="auto"/>
              <w:right w:val="single" w:sz="4" w:space="0" w:color="auto"/>
            </w:tcBorders>
            <w:shd w:val="clear" w:color="000000" w:fill="92D050"/>
            <w:noWrap/>
            <w:vAlign w:val="bottom"/>
            <w:hideMark/>
          </w:tcPr>
          <w:p w14:paraId="441A8A66"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single" w:sz="8" w:space="0" w:color="auto"/>
              <w:left w:val="nil"/>
              <w:bottom w:val="single" w:sz="8" w:space="0" w:color="auto"/>
              <w:right w:val="single" w:sz="4" w:space="0" w:color="auto"/>
            </w:tcBorders>
            <w:shd w:val="clear" w:color="000000" w:fill="FFC000"/>
            <w:noWrap/>
            <w:vAlign w:val="bottom"/>
            <w:hideMark/>
          </w:tcPr>
          <w:p w14:paraId="493C4006"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single" w:sz="8" w:space="0" w:color="auto"/>
              <w:left w:val="nil"/>
              <w:bottom w:val="single" w:sz="8" w:space="0" w:color="auto"/>
              <w:right w:val="single" w:sz="4" w:space="0" w:color="auto"/>
            </w:tcBorders>
            <w:shd w:val="clear" w:color="000000" w:fill="FFC000"/>
            <w:noWrap/>
            <w:vAlign w:val="bottom"/>
            <w:hideMark/>
          </w:tcPr>
          <w:p w14:paraId="2770FF45"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4000" w:type="dxa"/>
            <w:gridSpan w:val="2"/>
            <w:tcBorders>
              <w:top w:val="single" w:sz="8" w:space="0" w:color="auto"/>
              <w:left w:val="nil"/>
              <w:bottom w:val="single" w:sz="8" w:space="0" w:color="auto"/>
              <w:right w:val="single" w:sz="8" w:space="0" w:color="000000"/>
            </w:tcBorders>
            <w:shd w:val="clear" w:color="000000" w:fill="D9D9D9"/>
            <w:noWrap/>
            <w:vAlign w:val="bottom"/>
            <w:hideMark/>
          </w:tcPr>
          <w:p w14:paraId="34FDD2C8" w14:textId="77777777" w:rsidR="0009263A" w:rsidRPr="0009263A" w:rsidRDefault="0009263A" w:rsidP="0009263A">
            <w:pPr>
              <w:spacing w:after="0" w:line="240" w:lineRule="auto"/>
              <w:jc w:val="center"/>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Yes</w:t>
            </w:r>
          </w:p>
        </w:tc>
      </w:tr>
      <w:tr w:rsidR="0009263A" w:rsidRPr="0009263A" w14:paraId="6DBE38EB" w14:textId="77777777" w:rsidTr="0009263A">
        <w:trPr>
          <w:trHeight w:val="300"/>
        </w:trPr>
        <w:tc>
          <w:tcPr>
            <w:tcW w:w="320" w:type="dxa"/>
            <w:tcBorders>
              <w:top w:val="nil"/>
              <w:left w:val="single" w:sz="8" w:space="0" w:color="auto"/>
              <w:bottom w:val="nil"/>
              <w:right w:val="nil"/>
            </w:tcBorders>
            <w:shd w:val="clear" w:color="auto" w:fill="auto"/>
            <w:noWrap/>
            <w:vAlign w:val="bottom"/>
            <w:hideMark/>
          </w:tcPr>
          <w:p w14:paraId="028A01AD" w14:textId="77777777" w:rsidR="0009263A" w:rsidRPr="0009263A" w:rsidRDefault="0009263A" w:rsidP="0009263A">
            <w:pPr>
              <w:spacing w:after="0" w:line="240" w:lineRule="auto"/>
              <w:jc w:val="right"/>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10</w:t>
            </w:r>
          </w:p>
        </w:tc>
        <w:tc>
          <w:tcPr>
            <w:tcW w:w="3380" w:type="dxa"/>
            <w:tcBorders>
              <w:top w:val="nil"/>
              <w:left w:val="nil"/>
              <w:bottom w:val="nil"/>
              <w:right w:val="nil"/>
            </w:tcBorders>
            <w:shd w:val="clear" w:color="auto" w:fill="auto"/>
            <w:noWrap/>
            <w:vAlign w:val="bottom"/>
            <w:hideMark/>
          </w:tcPr>
          <w:p w14:paraId="036EEC18"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Broad trade agreements</w:t>
            </w:r>
          </w:p>
        </w:tc>
        <w:tc>
          <w:tcPr>
            <w:tcW w:w="1140" w:type="dxa"/>
            <w:tcBorders>
              <w:top w:val="nil"/>
              <w:left w:val="single" w:sz="4" w:space="0" w:color="auto"/>
              <w:bottom w:val="single" w:sz="4" w:space="0" w:color="auto"/>
              <w:right w:val="single" w:sz="4" w:space="0" w:color="auto"/>
            </w:tcBorders>
            <w:shd w:val="clear" w:color="000000" w:fill="FFC000"/>
            <w:noWrap/>
            <w:vAlign w:val="bottom"/>
            <w:hideMark/>
          </w:tcPr>
          <w:p w14:paraId="51640892"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360" w:type="dxa"/>
            <w:tcBorders>
              <w:top w:val="nil"/>
              <w:left w:val="nil"/>
              <w:bottom w:val="single" w:sz="4" w:space="0" w:color="auto"/>
              <w:right w:val="single" w:sz="4" w:space="0" w:color="auto"/>
            </w:tcBorders>
            <w:shd w:val="clear" w:color="000000" w:fill="FF0000"/>
            <w:noWrap/>
            <w:vAlign w:val="bottom"/>
            <w:hideMark/>
          </w:tcPr>
          <w:p w14:paraId="05A9AE30"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40" w:type="dxa"/>
            <w:tcBorders>
              <w:top w:val="nil"/>
              <w:left w:val="nil"/>
              <w:bottom w:val="single" w:sz="4" w:space="0" w:color="auto"/>
              <w:right w:val="single" w:sz="4" w:space="0" w:color="auto"/>
            </w:tcBorders>
            <w:shd w:val="clear" w:color="000000" w:fill="92D050"/>
            <w:noWrap/>
            <w:vAlign w:val="bottom"/>
            <w:hideMark/>
          </w:tcPr>
          <w:p w14:paraId="598C13DE"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nil"/>
              <w:left w:val="nil"/>
              <w:bottom w:val="single" w:sz="4" w:space="0" w:color="auto"/>
              <w:right w:val="single" w:sz="4" w:space="0" w:color="auto"/>
            </w:tcBorders>
            <w:shd w:val="clear" w:color="000000" w:fill="FFC000"/>
            <w:noWrap/>
            <w:vAlign w:val="bottom"/>
            <w:hideMark/>
          </w:tcPr>
          <w:p w14:paraId="6DE320D5"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nil"/>
              <w:left w:val="nil"/>
              <w:bottom w:val="single" w:sz="4" w:space="0" w:color="auto"/>
              <w:right w:val="single" w:sz="4" w:space="0" w:color="auto"/>
            </w:tcBorders>
            <w:shd w:val="clear" w:color="000000" w:fill="FFC000"/>
            <w:noWrap/>
            <w:vAlign w:val="bottom"/>
            <w:hideMark/>
          </w:tcPr>
          <w:p w14:paraId="3D6F8EE1"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4000" w:type="dxa"/>
            <w:gridSpan w:val="2"/>
            <w:tcBorders>
              <w:top w:val="single" w:sz="8" w:space="0" w:color="auto"/>
              <w:left w:val="nil"/>
              <w:bottom w:val="nil"/>
              <w:right w:val="single" w:sz="8" w:space="0" w:color="000000"/>
            </w:tcBorders>
            <w:shd w:val="clear" w:color="auto" w:fill="auto"/>
            <w:noWrap/>
            <w:vAlign w:val="bottom"/>
            <w:hideMark/>
          </w:tcPr>
          <w:p w14:paraId="7BC91F2F" w14:textId="77777777" w:rsidR="0009263A" w:rsidRPr="0009263A" w:rsidRDefault="0009263A" w:rsidP="0009263A">
            <w:pPr>
              <w:spacing w:after="0" w:line="240" w:lineRule="auto"/>
              <w:jc w:val="center"/>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No</w:t>
            </w:r>
          </w:p>
        </w:tc>
      </w:tr>
      <w:tr w:rsidR="0009263A" w:rsidRPr="0009263A" w14:paraId="33E88A5F" w14:textId="77777777" w:rsidTr="0009263A">
        <w:trPr>
          <w:trHeight w:val="300"/>
        </w:trPr>
        <w:tc>
          <w:tcPr>
            <w:tcW w:w="320" w:type="dxa"/>
            <w:tcBorders>
              <w:top w:val="nil"/>
              <w:left w:val="single" w:sz="8" w:space="0" w:color="auto"/>
              <w:bottom w:val="nil"/>
              <w:right w:val="nil"/>
            </w:tcBorders>
            <w:shd w:val="clear" w:color="auto" w:fill="auto"/>
            <w:noWrap/>
            <w:vAlign w:val="bottom"/>
            <w:hideMark/>
          </w:tcPr>
          <w:p w14:paraId="359A9079" w14:textId="77777777" w:rsidR="0009263A" w:rsidRPr="0009263A" w:rsidRDefault="0009263A" w:rsidP="0009263A">
            <w:pPr>
              <w:spacing w:after="0" w:line="240" w:lineRule="auto"/>
              <w:jc w:val="right"/>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11</w:t>
            </w:r>
          </w:p>
        </w:tc>
        <w:tc>
          <w:tcPr>
            <w:tcW w:w="3380" w:type="dxa"/>
            <w:tcBorders>
              <w:top w:val="nil"/>
              <w:left w:val="nil"/>
              <w:bottom w:val="nil"/>
              <w:right w:val="nil"/>
            </w:tcBorders>
            <w:shd w:val="clear" w:color="auto" w:fill="auto"/>
            <w:noWrap/>
            <w:vAlign w:val="bottom"/>
            <w:hideMark/>
          </w:tcPr>
          <w:p w14:paraId="05A54A9A"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Voluntary partnership agreements</w:t>
            </w:r>
          </w:p>
        </w:tc>
        <w:tc>
          <w:tcPr>
            <w:tcW w:w="1140" w:type="dxa"/>
            <w:tcBorders>
              <w:top w:val="nil"/>
              <w:left w:val="single" w:sz="4" w:space="0" w:color="auto"/>
              <w:bottom w:val="nil"/>
              <w:right w:val="single" w:sz="4" w:space="0" w:color="auto"/>
            </w:tcBorders>
            <w:shd w:val="clear" w:color="000000" w:fill="FFC000"/>
            <w:noWrap/>
            <w:vAlign w:val="bottom"/>
            <w:hideMark/>
          </w:tcPr>
          <w:p w14:paraId="312BA4DA"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360" w:type="dxa"/>
            <w:tcBorders>
              <w:top w:val="nil"/>
              <w:left w:val="nil"/>
              <w:bottom w:val="nil"/>
              <w:right w:val="single" w:sz="4" w:space="0" w:color="auto"/>
            </w:tcBorders>
            <w:shd w:val="clear" w:color="000000" w:fill="FF0000"/>
            <w:noWrap/>
            <w:vAlign w:val="bottom"/>
            <w:hideMark/>
          </w:tcPr>
          <w:p w14:paraId="72600DCB"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40" w:type="dxa"/>
            <w:tcBorders>
              <w:top w:val="nil"/>
              <w:left w:val="nil"/>
              <w:bottom w:val="nil"/>
              <w:right w:val="single" w:sz="4" w:space="0" w:color="auto"/>
            </w:tcBorders>
            <w:shd w:val="clear" w:color="000000" w:fill="FF0000"/>
            <w:noWrap/>
            <w:vAlign w:val="bottom"/>
            <w:hideMark/>
          </w:tcPr>
          <w:p w14:paraId="69FE1357"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nil"/>
              <w:left w:val="nil"/>
              <w:bottom w:val="nil"/>
              <w:right w:val="single" w:sz="4" w:space="0" w:color="auto"/>
            </w:tcBorders>
            <w:shd w:val="clear" w:color="000000" w:fill="FF0000"/>
            <w:noWrap/>
            <w:vAlign w:val="bottom"/>
            <w:hideMark/>
          </w:tcPr>
          <w:p w14:paraId="5338CE57"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nil"/>
              <w:left w:val="nil"/>
              <w:bottom w:val="nil"/>
              <w:right w:val="single" w:sz="4" w:space="0" w:color="auto"/>
            </w:tcBorders>
            <w:shd w:val="clear" w:color="000000" w:fill="92D050"/>
            <w:noWrap/>
            <w:vAlign w:val="bottom"/>
            <w:hideMark/>
          </w:tcPr>
          <w:p w14:paraId="4550C25C"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4000" w:type="dxa"/>
            <w:gridSpan w:val="2"/>
            <w:tcBorders>
              <w:top w:val="nil"/>
              <w:left w:val="nil"/>
              <w:bottom w:val="nil"/>
              <w:right w:val="single" w:sz="8" w:space="0" w:color="000000"/>
            </w:tcBorders>
            <w:shd w:val="clear" w:color="auto" w:fill="auto"/>
            <w:noWrap/>
            <w:vAlign w:val="bottom"/>
            <w:hideMark/>
          </w:tcPr>
          <w:p w14:paraId="463D2CB2" w14:textId="77777777" w:rsidR="0009263A" w:rsidRPr="0009263A" w:rsidRDefault="0009263A" w:rsidP="0009263A">
            <w:pPr>
              <w:spacing w:after="0" w:line="240" w:lineRule="auto"/>
              <w:jc w:val="center"/>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No</w:t>
            </w:r>
          </w:p>
        </w:tc>
      </w:tr>
      <w:tr w:rsidR="0009263A" w:rsidRPr="0009263A" w14:paraId="054C02E9" w14:textId="77777777" w:rsidTr="0009263A">
        <w:trPr>
          <w:trHeight w:val="300"/>
        </w:trPr>
        <w:tc>
          <w:tcPr>
            <w:tcW w:w="320" w:type="dxa"/>
            <w:tcBorders>
              <w:top w:val="nil"/>
              <w:left w:val="single" w:sz="8" w:space="0" w:color="auto"/>
              <w:bottom w:val="nil"/>
              <w:right w:val="nil"/>
            </w:tcBorders>
            <w:shd w:val="clear" w:color="auto" w:fill="auto"/>
            <w:noWrap/>
            <w:vAlign w:val="bottom"/>
            <w:hideMark/>
          </w:tcPr>
          <w:p w14:paraId="7B1132F4" w14:textId="77777777" w:rsidR="0009263A" w:rsidRPr="0009263A" w:rsidRDefault="0009263A" w:rsidP="0009263A">
            <w:pPr>
              <w:spacing w:after="0" w:line="240" w:lineRule="auto"/>
              <w:jc w:val="right"/>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12</w:t>
            </w:r>
          </w:p>
        </w:tc>
        <w:tc>
          <w:tcPr>
            <w:tcW w:w="3380" w:type="dxa"/>
            <w:tcBorders>
              <w:top w:val="nil"/>
              <w:left w:val="nil"/>
              <w:bottom w:val="nil"/>
              <w:right w:val="nil"/>
            </w:tcBorders>
            <w:shd w:val="clear" w:color="auto" w:fill="auto"/>
            <w:noWrap/>
            <w:vAlign w:val="bottom"/>
            <w:hideMark/>
          </w:tcPr>
          <w:p w14:paraId="5DDCAFAD"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Mandatory information disclosure</w:t>
            </w:r>
          </w:p>
        </w:tc>
        <w:tc>
          <w:tcPr>
            <w:tcW w:w="114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64C758F"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360" w:type="dxa"/>
            <w:tcBorders>
              <w:top w:val="single" w:sz="4" w:space="0" w:color="auto"/>
              <w:left w:val="nil"/>
              <w:bottom w:val="single" w:sz="4" w:space="0" w:color="auto"/>
              <w:right w:val="single" w:sz="4" w:space="0" w:color="auto"/>
            </w:tcBorders>
            <w:shd w:val="clear" w:color="000000" w:fill="FFC000"/>
            <w:noWrap/>
            <w:vAlign w:val="bottom"/>
            <w:hideMark/>
          </w:tcPr>
          <w:p w14:paraId="6E46D67F"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40" w:type="dxa"/>
            <w:tcBorders>
              <w:top w:val="single" w:sz="4" w:space="0" w:color="auto"/>
              <w:left w:val="nil"/>
              <w:bottom w:val="single" w:sz="4" w:space="0" w:color="auto"/>
              <w:right w:val="single" w:sz="4" w:space="0" w:color="auto"/>
            </w:tcBorders>
            <w:shd w:val="clear" w:color="000000" w:fill="92D050"/>
            <w:noWrap/>
            <w:vAlign w:val="bottom"/>
            <w:hideMark/>
          </w:tcPr>
          <w:p w14:paraId="2E9FC78A"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single" w:sz="4" w:space="0" w:color="auto"/>
              <w:left w:val="nil"/>
              <w:bottom w:val="single" w:sz="4" w:space="0" w:color="auto"/>
              <w:right w:val="single" w:sz="4" w:space="0" w:color="auto"/>
            </w:tcBorders>
            <w:shd w:val="clear" w:color="000000" w:fill="92D050"/>
            <w:noWrap/>
            <w:vAlign w:val="bottom"/>
            <w:hideMark/>
          </w:tcPr>
          <w:p w14:paraId="42B6C748"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single" w:sz="4" w:space="0" w:color="auto"/>
              <w:left w:val="nil"/>
              <w:bottom w:val="single" w:sz="4" w:space="0" w:color="auto"/>
              <w:right w:val="single" w:sz="4" w:space="0" w:color="auto"/>
            </w:tcBorders>
            <w:shd w:val="clear" w:color="000000" w:fill="92D050"/>
            <w:noWrap/>
            <w:vAlign w:val="bottom"/>
            <w:hideMark/>
          </w:tcPr>
          <w:p w14:paraId="7908004D"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4000" w:type="dxa"/>
            <w:gridSpan w:val="2"/>
            <w:tcBorders>
              <w:top w:val="nil"/>
              <w:left w:val="nil"/>
              <w:bottom w:val="nil"/>
              <w:right w:val="single" w:sz="8" w:space="0" w:color="000000"/>
            </w:tcBorders>
            <w:shd w:val="clear" w:color="auto" w:fill="auto"/>
            <w:noWrap/>
            <w:vAlign w:val="bottom"/>
            <w:hideMark/>
          </w:tcPr>
          <w:p w14:paraId="4300806F" w14:textId="77777777" w:rsidR="0009263A" w:rsidRPr="0009263A" w:rsidRDefault="0009263A" w:rsidP="0009263A">
            <w:pPr>
              <w:spacing w:after="0" w:line="240" w:lineRule="auto"/>
              <w:jc w:val="center"/>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No</w:t>
            </w:r>
          </w:p>
        </w:tc>
      </w:tr>
      <w:tr w:rsidR="0009263A" w:rsidRPr="0009263A" w14:paraId="4C85480C" w14:textId="77777777" w:rsidTr="0009263A">
        <w:trPr>
          <w:trHeight w:val="300"/>
        </w:trPr>
        <w:tc>
          <w:tcPr>
            <w:tcW w:w="320" w:type="dxa"/>
            <w:tcBorders>
              <w:top w:val="nil"/>
              <w:left w:val="single" w:sz="8" w:space="0" w:color="auto"/>
              <w:bottom w:val="nil"/>
              <w:right w:val="nil"/>
            </w:tcBorders>
            <w:shd w:val="clear" w:color="auto" w:fill="auto"/>
            <w:noWrap/>
            <w:vAlign w:val="bottom"/>
            <w:hideMark/>
          </w:tcPr>
          <w:p w14:paraId="50185D4A" w14:textId="77777777" w:rsidR="0009263A" w:rsidRPr="0009263A" w:rsidRDefault="0009263A" w:rsidP="0009263A">
            <w:pPr>
              <w:spacing w:after="0" w:line="240" w:lineRule="auto"/>
              <w:jc w:val="right"/>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13</w:t>
            </w:r>
          </w:p>
        </w:tc>
        <w:tc>
          <w:tcPr>
            <w:tcW w:w="3380" w:type="dxa"/>
            <w:tcBorders>
              <w:top w:val="nil"/>
              <w:left w:val="nil"/>
              <w:bottom w:val="nil"/>
              <w:right w:val="nil"/>
            </w:tcBorders>
            <w:shd w:val="clear" w:color="auto" w:fill="auto"/>
            <w:noWrap/>
            <w:vAlign w:val="bottom"/>
            <w:hideMark/>
          </w:tcPr>
          <w:p w14:paraId="51BFC602"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Information campaigns</w:t>
            </w:r>
          </w:p>
        </w:tc>
        <w:tc>
          <w:tcPr>
            <w:tcW w:w="1140" w:type="dxa"/>
            <w:tcBorders>
              <w:top w:val="nil"/>
              <w:left w:val="single" w:sz="4" w:space="0" w:color="auto"/>
              <w:bottom w:val="single" w:sz="4" w:space="0" w:color="auto"/>
              <w:right w:val="single" w:sz="4" w:space="0" w:color="auto"/>
            </w:tcBorders>
            <w:shd w:val="clear" w:color="000000" w:fill="92D050"/>
            <w:noWrap/>
            <w:vAlign w:val="bottom"/>
            <w:hideMark/>
          </w:tcPr>
          <w:p w14:paraId="451C2AAB"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360" w:type="dxa"/>
            <w:tcBorders>
              <w:top w:val="nil"/>
              <w:left w:val="nil"/>
              <w:bottom w:val="single" w:sz="4" w:space="0" w:color="auto"/>
              <w:right w:val="single" w:sz="4" w:space="0" w:color="auto"/>
            </w:tcBorders>
            <w:shd w:val="clear" w:color="000000" w:fill="FF0000"/>
            <w:noWrap/>
            <w:vAlign w:val="bottom"/>
            <w:hideMark/>
          </w:tcPr>
          <w:p w14:paraId="649DCA32"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40" w:type="dxa"/>
            <w:tcBorders>
              <w:top w:val="nil"/>
              <w:left w:val="nil"/>
              <w:bottom w:val="single" w:sz="4" w:space="0" w:color="auto"/>
              <w:right w:val="single" w:sz="4" w:space="0" w:color="auto"/>
            </w:tcBorders>
            <w:shd w:val="clear" w:color="000000" w:fill="92D050"/>
            <w:noWrap/>
            <w:vAlign w:val="bottom"/>
            <w:hideMark/>
          </w:tcPr>
          <w:p w14:paraId="1462C578"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nil"/>
              <w:left w:val="nil"/>
              <w:bottom w:val="single" w:sz="4" w:space="0" w:color="auto"/>
              <w:right w:val="single" w:sz="4" w:space="0" w:color="auto"/>
            </w:tcBorders>
            <w:shd w:val="clear" w:color="000000" w:fill="92D050"/>
            <w:noWrap/>
            <w:vAlign w:val="bottom"/>
            <w:hideMark/>
          </w:tcPr>
          <w:p w14:paraId="2C3E5640"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nil"/>
              <w:left w:val="nil"/>
              <w:bottom w:val="single" w:sz="4" w:space="0" w:color="auto"/>
              <w:right w:val="single" w:sz="4" w:space="0" w:color="auto"/>
            </w:tcBorders>
            <w:shd w:val="clear" w:color="000000" w:fill="92D050"/>
            <w:noWrap/>
            <w:vAlign w:val="bottom"/>
            <w:hideMark/>
          </w:tcPr>
          <w:p w14:paraId="6E7F9DEE"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4000" w:type="dxa"/>
            <w:gridSpan w:val="2"/>
            <w:tcBorders>
              <w:top w:val="nil"/>
              <w:left w:val="nil"/>
              <w:bottom w:val="nil"/>
              <w:right w:val="single" w:sz="8" w:space="0" w:color="000000"/>
            </w:tcBorders>
            <w:shd w:val="clear" w:color="auto" w:fill="auto"/>
            <w:noWrap/>
            <w:vAlign w:val="bottom"/>
            <w:hideMark/>
          </w:tcPr>
          <w:p w14:paraId="30DA94A5" w14:textId="77777777" w:rsidR="0009263A" w:rsidRPr="0009263A" w:rsidRDefault="0009263A" w:rsidP="0009263A">
            <w:pPr>
              <w:spacing w:after="0" w:line="240" w:lineRule="auto"/>
              <w:jc w:val="center"/>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No</w:t>
            </w:r>
          </w:p>
        </w:tc>
      </w:tr>
      <w:tr w:rsidR="0009263A" w:rsidRPr="0009263A" w14:paraId="70A34321" w14:textId="77777777" w:rsidTr="0009263A">
        <w:trPr>
          <w:trHeight w:val="300"/>
        </w:trPr>
        <w:tc>
          <w:tcPr>
            <w:tcW w:w="320" w:type="dxa"/>
            <w:tcBorders>
              <w:top w:val="nil"/>
              <w:left w:val="single" w:sz="8" w:space="0" w:color="auto"/>
              <w:bottom w:val="nil"/>
              <w:right w:val="nil"/>
            </w:tcBorders>
            <w:shd w:val="clear" w:color="auto" w:fill="auto"/>
            <w:noWrap/>
            <w:vAlign w:val="bottom"/>
            <w:hideMark/>
          </w:tcPr>
          <w:p w14:paraId="3029C07D" w14:textId="77777777" w:rsidR="0009263A" w:rsidRPr="0009263A" w:rsidRDefault="0009263A" w:rsidP="0009263A">
            <w:pPr>
              <w:spacing w:after="0" w:line="240" w:lineRule="auto"/>
              <w:jc w:val="right"/>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14</w:t>
            </w:r>
          </w:p>
        </w:tc>
        <w:tc>
          <w:tcPr>
            <w:tcW w:w="3380" w:type="dxa"/>
            <w:tcBorders>
              <w:top w:val="nil"/>
              <w:left w:val="nil"/>
              <w:bottom w:val="nil"/>
              <w:right w:val="nil"/>
            </w:tcBorders>
            <w:shd w:val="clear" w:color="auto" w:fill="auto"/>
            <w:noWrap/>
            <w:vAlign w:val="bottom"/>
            <w:hideMark/>
          </w:tcPr>
          <w:p w14:paraId="4CCA43DE"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Green diplomacy</w:t>
            </w:r>
          </w:p>
        </w:tc>
        <w:tc>
          <w:tcPr>
            <w:tcW w:w="1140" w:type="dxa"/>
            <w:tcBorders>
              <w:top w:val="nil"/>
              <w:left w:val="single" w:sz="4" w:space="0" w:color="auto"/>
              <w:bottom w:val="single" w:sz="4" w:space="0" w:color="auto"/>
              <w:right w:val="single" w:sz="4" w:space="0" w:color="auto"/>
            </w:tcBorders>
            <w:shd w:val="clear" w:color="000000" w:fill="92D050"/>
            <w:noWrap/>
            <w:vAlign w:val="bottom"/>
            <w:hideMark/>
          </w:tcPr>
          <w:p w14:paraId="069A67EE"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360" w:type="dxa"/>
            <w:tcBorders>
              <w:top w:val="nil"/>
              <w:left w:val="nil"/>
              <w:bottom w:val="single" w:sz="4" w:space="0" w:color="auto"/>
              <w:right w:val="single" w:sz="4" w:space="0" w:color="auto"/>
            </w:tcBorders>
            <w:shd w:val="clear" w:color="000000" w:fill="FF0000"/>
            <w:noWrap/>
            <w:vAlign w:val="bottom"/>
            <w:hideMark/>
          </w:tcPr>
          <w:p w14:paraId="6C91C57D"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40" w:type="dxa"/>
            <w:tcBorders>
              <w:top w:val="nil"/>
              <w:left w:val="nil"/>
              <w:bottom w:val="single" w:sz="4" w:space="0" w:color="auto"/>
              <w:right w:val="single" w:sz="4" w:space="0" w:color="auto"/>
            </w:tcBorders>
            <w:shd w:val="clear" w:color="000000" w:fill="92D050"/>
            <w:noWrap/>
            <w:vAlign w:val="bottom"/>
            <w:hideMark/>
          </w:tcPr>
          <w:p w14:paraId="2F5236CF"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nil"/>
              <w:left w:val="nil"/>
              <w:bottom w:val="single" w:sz="4" w:space="0" w:color="auto"/>
              <w:right w:val="single" w:sz="4" w:space="0" w:color="auto"/>
            </w:tcBorders>
            <w:shd w:val="clear" w:color="000000" w:fill="92D050"/>
            <w:noWrap/>
            <w:vAlign w:val="bottom"/>
            <w:hideMark/>
          </w:tcPr>
          <w:p w14:paraId="000D7A58"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nil"/>
              <w:left w:val="nil"/>
              <w:bottom w:val="single" w:sz="4" w:space="0" w:color="auto"/>
              <w:right w:val="single" w:sz="4" w:space="0" w:color="auto"/>
            </w:tcBorders>
            <w:shd w:val="clear" w:color="000000" w:fill="92D050"/>
            <w:noWrap/>
            <w:vAlign w:val="bottom"/>
            <w:hideMark/>
          </w:tcPr>
          <w:p w14:paraId="201B3EF6"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4000" w:type="dxa"/>
            <w:gridSpan w:val="2"/>
            <w:tcBorders>
              <w:top w:val="nil"/>
              <w:left w:val="nil"/>
              <w:bottom w:val="nil"/>
              <w:right w:val="single" w:sz="8" w:space="0" w:color="000000"/>
            </w:tcBorders>
            <w:shd w:val="clear" w:color="auto" w:fill="auto"/>
            <w:noWrap/>
            <w:vAlign w:val="bottom"/>
            <w:hideMark/>
          </w:tcPr>
          <w:p w14:paraId="504B37AA" w14:textId="77777777" w:rsidR="0009263A" w:rsidRPr="0009263A" w:rsidRDefault="0009263A" w:rsidP="0009263A">
            <w:pPr>
              <w:spacing w:after="0" w:line="240" w:lineRule="auto"/>
              <w:jc w:val="center"/>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No</w:t>
            </w:r>
          </w:p>
        </w:tc>
      </w:tr>
      <w:tr w:rsidR="0009263A" w:rsidRPr="0009263A" w14:paraId="658C0591" w14:textId="77777777" w:rsidTr="0009263A">
        <w:trPr>
          <w:trHeight w:val="300"/>
        </w:trPr>
        <w:tc>
          <w:tcPr>
            <w:tcW w:w="320" w:type="dxa"/>
            <w:tcBorders>
              <w:top w:val="nil"/>
              <w:left w:val="single" w:sz="8" w:space="0" w:color="auto"/>
              <w:bottom w:val="nil"/>
              <w:right w:val="nil"/>
            </w:tcBorders>
            <w:shd w:val="clear" w:color="auto" w:fill="auto"/>
            <w:noWrap/>
            <w:vAlign w:val="bottom"/>
            <w:hideMark/>
          </w:tcPr>
          <w:p w14:paraId="4253490A" w14:textId="77777777" w:rsidR="0009263A" w:rsidRPr="0009263A" w:rsidRDefault="0009263A" w:rsidP="0009263A">
            <w:pPr>
              <w:spacing w:after="0" w:line="240" w:lineRule="auto"/>
              <w:jc w:val="right"/>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15</w:t>
            </w:r>
          </w:p>
        </w:tc>
        <w:tc>
          <w:tcPr>
            <w:tcW w:w="3380" w:type="dxa"/>
            <w:tcBorders>
              <w:top w:val="nil"/>
              <w:left w:val="nil"/>
              <w:bottom w:val="nil"/>
              <w:right w:val="nil"/>
            </w:tcBorders>
            <w:shd w:val="clear" w:color="auto" w:fill="auto"/>
            <w:noWrap/>
            <w:vAlign w:val="bottom"/>
            <w:hideMark/>
          </w:tcPr>
          <w:p w14:paraId="1025EECF"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EUTR Plus (based on legality)</w:t>
            </w:r>
          </w:p>
        </w:tc>
        <w:tc>
          <w:tcPr>
            <w:tcW w:w="1140" w:type="dxa"/>
            <w:tcBorders>
              <w:top w:val="nil"/>
              <w:left w:val="single" w:sz="4" w:space="0" w:color="auto"/>
              <w:bottom w:val="single" w:sz="4" w:space="0" w:color="auto"/>
              <w:right w:val="single" w:sz="4" w:space="0" w:color="auto"/>
            </w:tcBorders>
            <w:shd w:val="clear" w:color="000000" w:fill="92D050"/>
            <w:noWrap/>
            <w:vAlign w:val="bottom"/>
            <w:hideMark/>
          </w:tcPr>
          <w:p w14:paraId="1A473D70"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360" w:type="dxa"/>
            <w:tcBorders>
              <w:top w:val="nil"/>
              <w:left w:val="nil"/>
              <w:bottom w:val="single" w:sz="4" w:space="0" w:color="auto"/>
              <w:right w:val="single" w:sz="4" w:space="0" w:color="auto"/>
            </w:tcBorders>
            <w:shd w:val="clear" w:color="000000" w:fill="FFC000"/>
            <w:noWrap/>
            <w:vAlign w:val="bottom"/>
            <w:hideMark/>
          </w:tcPr>
          <w:p w14:paraId="3A0CBB0B"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40" w:type="dxa"/>
            <w:tcBorders>
              <w:top w:val="nil"/>
              <w:left w:val="nil"/>
              <w:bottom w:val="single" w:sz="4" w:space="0" w:color="auto"/>
              <w:right w:val="single" w:sz="4" w:space="0" w:color="auto"/>
            </w:tcBorders>
            <w:shd w:val="clear" w:color="000000" w:fill="FFC000"/>
            <w:noWrap/>
            <w:vAlign w:val="bottom"/>
            <w:hideMark/>
          </w:tcPr>
          <w:p w14:paraId="1570682B"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nil"/>
              <w:left w:val="nil"/>
              <w:bottom w:val="single" w:sz="4" w:space="0" w:color="auto"/>
              <w:right w:val="single" w:sz="4" w:space="0" w:color="auto"/>
            </w:tcBorders>
            <w:shd w:val="clear" w:color="000000" w:fill="FFC000"/>
            <w:noWrap/>
            <w:vAlign w:val="bottom"/>
            <w:hideMark/>
          </w:tcPr>
          <w:p w14:paraId="145904ED"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nil"/>
              <w:left w:val="nil"/>
              <w:bottom w:val="single" w:sz="4" w:space="0" w:color="auto"/>
              <w:right w:val="single" w:sz="4" w:space="0" w:color="auto"/>
            </w:tcBorders>
            <w:shd w:val="clear" w:color="000000" w:fill="FF0000"/>
            <w:noWrap/>
            <w:vAlign w:val="bottom"/>
            <w:hideMark/>
          </w:tcPr>
          <w:p w14:paraId="361EC0A1"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4000" w:type="dxa"/>
            <w:gridSpan w:val="2"/>
            <w:tcBorders>
              <w:top w:val="nil"/>
              <w:left w:val="nil"/>
              <w:bottom w:val="nil"/>
              <w:right w:val="single" w:sz="8" w:space="0" w:color="000000"/>
            </w:tcBorders>
            <w:shd w:val="clear" w:color="auto" w:fill="auto"/>
            <w:noWrap/>
            <w:vAlign w:val="bottom"/>
            <w:hideMark/>
          </w:tcPr>
          <w:p w14:paraId="54D0B3BC" w14:textId="77777777" w:rsidR="0009263A" w:rsidRPr="0009263A" w:rsidRDefault="0009263A" w:rsidP="0009263A">
            <w:pPr>
              <w:spacing w:after="0" w:line="240" w:lineRule="auto"/>
              <w:jc w:val="center"/>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No</w:t>
            </w:r>
          </w:p>
        </w:tc>
      </w:tr>
      <w:tr w:rsidR="0009263A" w:rsidRPr="0009263A" w14:paraId="3206677E" w14:textId="77777777" w:rsidTr="0009263A">
        <w:trPr>
          <w:trHeight w:val="300"/>
        </w:trPr>
        <w:tc>
          <w:tcPr>
            <w:tcW w:w="320" w:type="dxa"/>
            <w:tcBorders>
              <w:top w:val="nil"/>
              <w:left w:val="single" w:sz="8" w:space="0" w:color="auto"/>
              <w:bottom w:val="nil"/>
              <w:right w:val="nil"/>
            </w:tcBorders>
            <w:shd w:val="clear" w:color="auto" w:fill="auto"/>
            <w:noWrap/>
            <w:vAlign w:val="bottom"/>
            <w:hideMark/>
          </w:tcPr>
          <w:p w14:paraId="47BE7673" w14:textId="77777777" w:rsidR="0009263A" w:rsidRPr="0009263A" w:rsidRDefault="0009263A" w:rsidP="0009263A">
            <w:pPr>
              <w:spacing w:after="0" w:line="240" w:lineRule="auto"/>
              <w:jc w:val="right"/>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16</w:t>
            </w:r>
          </w:p>
        </w:tc>
        <w:tc>
          <w:tcPr>
            <w:tcW w:w="3380" w:type="dxa"/>
            <w:tcBorders>
              <w:top w:val="nil"/>
              <w:left w:val="nil"/>
              <w:bottom w:val="nil"/>
              <w:right w:val="nil"/>
            </w:tcBorders>
            <w:shd w:val="clear" w:color="auto" w:fill="auto"/>
            <w:noWrap/>
            <w:vAlign w:val="bottom"/>
            <w:hideMark/>
          </w:tcPr>
          <w:p w14:paraId="70D2ED65"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FATF</w:t>
            </w:r>
          </w:p>
        </w:tc>
        <w:tc>
          <w:tcPr>
            <w:tcW w:w="1140" w:type="dxa"/>
            <w:tcBorders>
              <w:top w:val="nil"/>
              <w:left w:val="single" w:sz="4" w:space="0" w:color="auto"/>
              <w:bottom w:val="single" w:sz="4" w:space="0" w:color="auto"/>
              <w:right w:val="single" w:sz="4" w:space="0" w:color="auto"/>
            </w:tcBorders>
            <w:shd w:val="clear" w:color="000000" w:fill="FFC000"/>
            <w:noWrap/>
            <w:vAlign w:val="bottom"/>
            <w:hideMark/>
          </w:tcPr>
          <w:p w14:paraId="66EA30CD"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360" w:type="dxa"/>
            <w:tcBorders>
              <w:top w:val="nil"/>
              <w:left w:val="nil"/>
              <w:bottom w:val="single" w:sz="4" w:space="0" w:color="auto"/>
              <w:right w:val="single" w:sz="4" w:space="0" w:color="auto"/>
            </w:tcBorders>
            <w:shd w:val="clear" w:color="000000" w:fill="FFC000"/>
            <w:noWrap/>
            <w:vAlign w:val="bottom"/>
            <w:hideMark/>
          </w:tcPr>
          <w:p w14:paraId="415F2514"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40" w:type="dxa"/>
            <w:tcBorders>
              <w:top w:val="nil"/>
              <w:left w:val="nil"/>
              <w:bottom w:val="single" w:sz="4" w:space="0" w:color="auto"/>
              <w:right w:val="single" w:sz="4" w:space="0" w:color="auto"/>
            </w:tcBorders>
            <w:shd w:val="clear" w:color="000000" w:fill="FFC000"/>
            <w:noWrap/>
            <w:vAlign w:val="bottom"/>
            <w:hideMark/>
          </w:tcPr>
          <w:p w14:paraId="7A1E4CB9"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nil"/>
              <w:left w:val="nil"/>
              <w:bottom w:val="single" w:sz="4" w:space="0" w:color="auto"/>
              <w:right w:val="single" w:sz="4" w:space="0" w:color="auto"/>
            </w:tcBorders>
            <w:shd w:val="clear" w:color="000000" w:fill="FFC000"/>
            <w:noWrap/>
            <w:vAlign w:val="bottom"/>
            <w:hideMark/>
          </w:tcPr>
          <w:p w14:paraId="77725AF3"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nil"/>
              <w:left w:val="nil"/>
              <w:bottom w:val="single" w:sz="4" w:space="0" w:color="auto"/>
              <w:right w:val="single" w:sz="4" w:space="0" w:color="auto"/>
            </w:tcBorders>
            <w:shd w:val="clear" w:color="000000" w:fill="FFC000"/>
            <w:noWrap/>
            <w:vAlign w:val="bottom"/>
            <w:hideMark/>
          </w:tcPr>
          <w:p w14:paraId="79182551"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4000" w:type="dxa"/>
            <w:gridSpan w:val="2"/>
            <w:tcBorders>
              <w:top w:val="nil"/>
              <w:left w:val="nil"/>
              <w:bottom w:val="nil"/>
              <w:right w:val="single" w:sz="8" w:space="0" w:color="000000"/>
            </w:tcBorders>
            <w:shd w:val="clear" w:color="auto" w:fill="auto"/>
            <w:noWrap/>
            <w:vAlign w:val="bottom"/>
            <w:hideMark/>
          </w:tcPr>
          <w:p w14:paraId="2E5C9D2C" w14:textId="77777777" w:rsidR="0009263A" w:rsidRPr="0009263A" w:rsidRDefault="0009263A" w:rsidP="0009263A">
            <w:pPr>
              <w:spacing w:after="0" w:line="240" w:lineRule="auto"/>
              <w:jc w:val="center"/>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No</w:t>
            </w:r>
          </w:p>
        </w:tc>
      </w:tr>
      <w:tr w:rsidR="0009263A" w:rsidRPr="0009263A" w14:paraId="3102830D" w14:textId="77777777" w:rsidTr="0009263A">
        <w:trPr>
          <w:trHeight w:val="315"/>
        </w:trPr>
        <w:tc>
          <w:tcPr>
            <w:tcW w:w="320" w:type="dxa"/>
            <w:tcBorders>
              <w:top w:val="nil"/>
              <w:left w:val="single" w:sz="8" w:space="0" w:color="auto"/>
              <w:bottom w:val="single" w:sz="8" w:space="0" w:color="auto"/>
              <w:right w:val="nil"/>
            </w:tcBorders>
            <w:shd w:val="clear" w:color="auto" w:fill="auto"/>
            <w:noWrap/>
            <w:vAlign w:val="bottom"/>
            <w:hideMark/>
          </w:tcPr>
          <w:p w14:paraId="3ABD23B1" w14:textId="77777777" w:rsidR="0009263A" w:rsidRPr="0009263A" w:rsidRDefault="0009263A" w:rsidP="0009263A">
            <w:pPr>
              <w:spacing w:after="0" w:line="240" w:lineRule="auto"/>
              <w:jc w:val="right"/>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17</w:t>
            </w:r>
          </w:p>
        </w:tc>
        <w:tc>
          <w:tcPr>
            <w:tcW w:w="3380" w:type="dxa"/>
            <w:tcBorders>
              <w:top w:val="nil"/>
              <w:left w:val="nil"/>
              <w:bottom w:val="single" w:sz="8" w:space="0" w:color="auto"/>
              <w:right w:val="nil"/>
            </w:tcBorders>
            <w:shd w:val="clear" w:color="auto" w:fill="auto"/>
            <w:noWrap/>
            <w:vAlign w:val="bottom"/>
            <w:hideMark/>
          </w:tcPr>
          <w:p w14:paraId="050F0BC1"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Kimberley Process</w:t>
            </w:r>
          </w:p>
        </w:tc>
        <w:tc>
          <w:tcPr>
            <w:tcW w:w="1140" w:type="dxa"/>
            <w:tcBorders>
              <w:top w:val="nil"/>
              <w:left w:val="single" w:sz="4" w:space="0" w:color="auto"/>
              <w:bottom w:val="single" w:sz="8" w:space="0" w:color="auto"/>
              <w:right w:val="single" w:sz="4" w:space="0" w:color="auto"/>
            </w:tcBorders>
            <w:shd w:val="clear" w:color="000000" w:fill="FF0000"/>
            <w:noWrap/>
            <w:vAlign w:val="bottom"/>
            <w:hideMark/>
          </w:tcPr>
          <w:p w14:paraId="2D42A569"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360" w:type="dxa"/>
            <w:tcBorders>
              <w:top w:val="nil"/>
              <w:left w:val="nil"/>
              <w:bottom w:val="single" w:sz="8" w:space="0" w:color="auto"/>
              <w:right w:val="single" w:sz="4" w:space="0" w:color="auto"/>
            </w:tcBorders>
            <w:shd w:val="clear" w:color="000000" w:fill="FFC000"/>
            <w:noWrap/>
            <w:vAlign w:val="bottom"/>
            <w:hideMark/>
          </w:tcPr>
          <w:p w14:paraId="70D06CC2"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40" w:type="dxa"/>
            <w:tcBorders>
              <w:top w:val="nil"/>
              <w:left w:val="nil"/>
              <w:bottom w:val="single" w:sz="8" w:space="0" w:color="auto"/>
              <w:right w:val="single" w:sz="4" w:space="0" w:color="auto"/>
            </w:tcBorders>
            <w:shd w:val="clear" w:color="000000" w:fill="FF0000"/>
            <w:noWrap/>
            <w:vAlign w:val="bottom"/>
            <w:hideMark/>
          </w:tcPr>
          <w:p w14:paraId="06E9307D"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nil"/>
              <w:left w:val="nil"/>
              <w:bottom w:val="single" w:sz="8" w:space="0" w:color="auto"/>
              <w:right w:val="single" w:sz="4" w:space="0" w:color="auto"/>
            </w:tcBorders>
            <w:shd w:val="clear" w:color="000000" w:fill="FFC000"/>
            <w:noWrap/>
            <w:vAlign w:val="bottom"/>
            <w:hideMark/>
          </w:tcPr>
          <w:p w14:paraId="3AF5CF00"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1120" w:type="dxa"/>
            <w:tcBorders>
              <w:top w:val="nil"/>
              <w:left w:val="nil"/>
              <w:bottom w:val="single" w:sz="8" w:space="0" w:color="auto"/>
              <w:right w:val="single" w:sz="4" w:space="0" w:color="auto"/>
            </w:tcBorders>
            <w:shd w:val="clear" w:color="000000" w:fill="FFC000"/>
            <w:noWrap/>
            <w:vAlign w:val="bottom"/>
            <w:hideMark/>
          </w:tcPr>
          <w:p w14:paraId="0313178F" w14:textId="77777777" w:rsidR="0009263A" w:rsidRPr="0009263A" w:rsidRDefault="0009263A" w:rsidP="0009263A">
            <w:pPr>
              <w:spacing w:after="0" w:line="240" w:lineRule="auto"/>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 </w:t>
            </w:r>
          </w:p>
        </w:tc>
        <w:tc>
          <w:tcPr>
            <w:tcW w:w="4000" w:type="dxa"/>
            <w:gridSpan w:val="2"/>
            <w:tcBorders>
              <w:top w:val="nil"/>
              <w:left w:val="nil"/>
              <w:bottom w:val="single" w:sz="8" w:space="0" w:color="auto"/>
              <w:right w:val="single" w:sz="8" w:space="0" w:color="000000"/>
            </w:tcBorders>
            <w:shd w:val="clear" w:color="auto" w:fill="auto"/>
            <w:noWrap/>
            <w:vAlign w:val="bottom"/>
            <w:hideMark/>
          </w:tcPr>
          <w:p w14:paraId="0E7B7349" w14:textId="77777777" w:rsidR="0009263A" w:rsidRPr="0009263A" w:rsidRDefault="0009263A" w:rsidP="0009263A">
            <w:pPr>
              <w:spacing w:after="0" w:line="240" w:lineRule="auto"/>
              <w:jc w:val="center"/>
              <w:rPr>
                <w:rFonts w:ascii="Calibri" w:eastAsia="Times New Roman" w:hAnsi="Calibri" w:cs="Calibri"/>
                <w:noProof/>
                <w:color w:val="000000"/>
                <w:sz w:val="22"/>
                <w:lang w:eastAsia="zh-CN"/>
              </w:rPr>
            </w:pPr>
            <w:r w:rsidRPr="0009263A">
              <w:rPr>
                <w:rFonts w:ascii="Calibri" w:eastAsia="Times New Roman" w:hAnsi="Calibri" w:cs="Calibri"/>
                <w:noProof/>
                <w:color w:val="000000"/>
                <w:sz w:val="22"/>
                <w:lang w:eastAsia="zh-CN"/>
              </w:rPr>
              <w:t>No</w:t>
            </w:r>
          </w:p>
        </w:tc>
      </w:tr>
    </w:tbl>
    <w:p w14:paraId="22F5D48C" w14:textId="77777777" w:rsidR="00AB2E9D" w:rsidRPr="0009263A" w:rsidRDefault="00AB2E9D">
      <w:pPr>
        <w:pStyle w:val="WDBody"/>
        <w:rPr>
          <w:iCs/>
          <w:noProof/>
        </w:rPr>
      </w:pPr>
    </w:p>
    <w:p w14:paraId="72318FA4" w14:textId="3FB91526" w:rsidR="0027420E" w:rsidRDefault="004874DE">
      <w:pPr>
        <w:pStyle w:val="WDBody"/>
        <w:jc w:val="both"/>
        <w:rPr>
          <w:noProof/>
        </w:rPr>
        <w:sectPr w:rsidR="0027420E" w:rsidSect="0027420E">
          <w:headerReference w:type="even" r:id="rId37"/>
          <w:headerReference w:type="default" r:id="rId38"/>
          <w:footerReference w:type="even" r:id="rId39"/>
          <w:footerReference w:type="default" r:id="rId40"/>
          <w:headerReference w:type="first" r:id="rId41"/>
          <w:footerReference w:type="first" r:id="rId42"/>
          <w:pgSz w:w="16838" w:h="11906" w:orient="landscape"/>
          <w:pgMar w:top="1587" w:right="1020" w:bottom="1701" w:left="1020" w:header="601" w:footer="1077" w:gutter="0"/>
          <w:cols w:space="720"/>
          <w:titlePg/>
          <w:docGrid w:linePitch="326"/>
        </w:sectPr>
      </w:pPr>
      <w:r>
        <w:rPr>
          <w:noProof/>
        </w:rPr>
        <w:br w:type="page"/>
      </w:r>
    </w:p>
    <w:p w14:paraId="48460A2D" w14:textId="6887C20C" w:rsidR="00AB2E9D" w:rsidRDefault="00AB2E9D">
      <w:pPr>
        <w:pStyle w:val="WDBody"/>
        <w:jc w:val="both"/>
        <w:rPr>
          <w:noProof/>
        </w:rPr>
      </w:pPr>
    </w:p>
    <w:p w14:paraId="627FF814" w14:textId="244C1A39" w:rsidR="00EB51E2" w:rsidRDefault="00360DC2" w:rsidP="00EB51E2">
      <w:pPr>
        <w:jc w:val="both"/>
        <w:rPr>
          <w:noProof/>
        </w:rPr>
      </w:pPr>
      <w:r>
        <w:rPr>
          <w:noProof/>
        </w:rPr>
        <w:t>T</w:t>
      </w:r>
      <w:r w:rsidR="00A5083F">
        <w:rPr>
          <w:noProof/>
        </w:rPr>
        <w:t>he VPA approach</w:t>
      </w:r>
      <w:r w:rsidR="005E7ADB">
        <w:rPr>
          <w:noProof/>
        </w:rPr>
        <w:t>, which is based on legality and limits itself to assessing whether the laws and regulations of the country of production have been complied with, is not compatible with</w:t>
      </w:r>
      <w:r w:rsidR="00A5083F">
        <w:rPr>
          <w:noProof/>
        </w:rPr>
        <w:t xml:space="preserve"> the approach based on a definition of “deforestation-free“</w:t>
      </w:r>
      <w:r w:rsidR="005E7ADB">
        <w:rPr>
          <w:noProof/>
        </w:rPr>
        <w:t xml:space="preserve">. That definition </w:t>
      </w:r>
      <w:r w:rsidR="00A5083F">
        <w:rPr>
          <w:noProof/>
        </w:rPr>
        <w:t>is</w:t>
      </w:r>
      <w:r w:rsidR="00016974">
        <w:rPr>
          <w:noProof/>
        </w:rPr>
        <w:t xml:space="preserve"> </w:t>
      </w:r>
      <w:r w:rsidR="00A5083F">
        <w:rPr>
          <w:noProof/>
        </w:rPr>
        <w:t>n</w:t>
      </w:r>
      <w:r w:rsidR="00016974">
        <w:rPr>
          <w:noProof/>
        </w:rPr>
        <w:t>o</w:t>
      </w:r>
      <w:r w:rsidR="00A5083F">
        <w:rPr>
          <w:noProof/>
        </w:rPr>
        <w:t>t up for negotiation. In addition</w:t>
      </w:r>
      <w:r w:rsidR="00C70319">
        <w:rPr>
          <w:noProof/>
        </w:rPr>
        <w:t>,</w:t>
      </w:r>
      <w:r w:rsidR="00A5083F">
        <w:rPr>
          <w:noProof/>
        </w:rPr>
        <w:t xml:space="preserve"> </w:t>
      </w:r>
      <w:r w:rsidR="00EB51E2">
        <w:rPr>
          <w:noProof/>
        </w:rPr>
        <w:t xml:space="preserve">the shortcomings detected in the implementation of </w:t>
      </w:r>
      <w:r w:rsidR="008F0839">
        <w:rPr>
          <w:noProof/>
        </w:rPr>
        <w:t xml:space="preserve">FLEGT </w:t>
      </w:r>
      <w:r w:rsidR="00EB51E2">
        <w:rPr>
          <w:noProof/>
        </w:rPr>
        <w:t xml:space="preserve">VPAs </w:t>
      </w:r>
      <w:r>
        <w:rPr>
          <w:noProof/>
        </w:rPr>
        <w:t xml:space="preserve">would persist </w:t>
      </w:r>
      <w:r w:rsidR="00A5083F">
        <w:rPr>
          <w:noProof/>
        </w:rPr>
        <w:t xml:space="preserve">and become more pronounced </w:t>
      </w:r>
      <w:r>
        <w:rPr>
          <w:noProof/>
        </w:rPr>
        <w:t xml:space="preserve">under the new initiative. This </w:t>
      </w:r>
      <w:r w:rsidR="00A5083F">
        <w:rPr>
          <w:noProof/>
        </w:rPr>
        <w:t>include</w:t>
      </w:r>
      <w:r w:rsidR="005E7ADB">
        <w:rPr>
          <w:noProof/>
        </w:rPr>
        <w:t>s in particular</w:t>
      </w:r>
      <w:r w:rsidR="00A5083F">
        <w:rPr>
          <w:noProof/>
        </w:rPr>
        <w:t xml:space="preserve"> even larger resource challenges for producer </w:t>
      </w:r>
      <w:r w:rsidR="00416694">
        <w:rPr>
          <w:noProof/>
        </w:rPr>
        <w:t>countries</w:t>
      </w:r>
      <w:r w:rsidR="00A5083F">
        <w:rPr>
          <w:noProof/>
        </w:rPr>
        <w:t xml:space="preserve"> as well as the EU</w:t>
      </w:r>
      <w:r w:rsidR="000816C1">
        <w:rPr>
          <w:noProof/>
        </w:rPr>
        <w:t>, and</w:t>
      </w:r>
      <w:r w:rsidR="00A5083F">
        <w:rPr>
          <w:noProof/>
        </w:rPr>
        <w:t xml:space="preserve"> </w:t>
      </w:r>
      <w:r w:rsidR="00416694">
        <w:rPr>
          <w:noProof/>
        </w:rPr>
        <w:t>continued</w:t>
      </w:r>
      <w:r>
        <w:rPr>
          <w:noProof/>
        </w:rPr>
        <w:t xml:space="preserve"> </w:t>
      </w:r>
      <w:r w:rsidRPr="00360DC2">
        <w:rPr>
          <w:noProof/>
        </w:rPr>
        <w:t>lack of willingness of major producing countries</w:t>
      </w:r>
      <w:r w:rsidR="005E7ADB">
        <w:rPr>
          <w:noProof/>
        </w:rPr>
        <w:t xml:space="preserve"> to engage in a process where their negotiation space would be much more limited than under FLEGT VPAs. </w:t>
      </w:r>
      <w:r w:rsidR="00EB51E2">
        <w:rPr>
          <w:rStyle w:val="FootnoteReference"/>
          <w:noProof/>
        </w:rPr>
        <w:footnoteReference w:id="116"/>
      </w:r>
      <w:r w:rsidR="00EB51E2">
        <w:rPr>
          <w:noProof/>
        </w:rPr>
        <w:t>.</w:t>
      </w:r>
      <w:r w:rsidR="00EB51E2" w:rsidRPr="007C1494" w:rsidDel="008E3199">
        <w:rPr>
          <w:noProof/>
        </w:rPr>
        <w:t xml:space="preserve"> </w:t>
      </w:r>
    </w:p>
    <w:p w14:paraId="27BC4D1B" w14:textId="3130FD0D" w:rsidR="00317046" w:rsidRDefault="005E7ADB" w:rsidP="004F6D25">
      <w:pPr>
        <w:jc w:val="both"/>
        <w:rPr>
          <w:noProof/>
          <w:szCs w:val="24"/>
        </w:rPr>
      </w:pPr>
      <w:r>
        <w:rPr>
          <w:noProof/>
          <w:szCs w:val="24"/>
        </w:rPr>
        <w:t>P</w:t>
      </w:r>
      <w:r w:rsidR="00D1198F" w:rsidRPr="007C1494">
        <w:rPr>
          <w:noProof/>
          <w:szCs w:val="24"/>
        </w:rPr>
        <w:t>rivate certification</w:t>
      </w:r>
      <w:r w:rsidR="00D10331">
        <w:rPr>
          <w:noProof/>
          <w:szCs w:val="24"/>
        </w:rPr>
        <w:t xml:space="preserve"> may</w:t>
      </w:r>
      <w:r w:rsidR="00D10331" w:rsidRPr="00D10331">
        <w:rPr>
          <w:noProof/>
          <w:szCs w:val="24"/>
        </w:rPr>
        <w:t xml:space="preserve">, in some cases, </w:t>
      </w:r>
      <w:r>
        <w:rPr>
          <w:noProof/>
          <w:szCs w:val="24"/>
        </w:rPr>
        <w:t>facilitate</w:t>
      </w:r>
      <w:r w:rsidR="00D10331" w:rsidRPr="00D10331">
        <w:rPr>
          <w:noProof/>
          <w:szCs w:val="24"/>
        </w:rPr>
        <w:t xml:space="preserve"> compliance with the du</w:t>
      </w:r>
      <w:r w:rsidR="00D10331">
        <w:rPr>
          <w:noProof/>
          <w:szCs w:val="24"/>
        </w:rPr>
        <w:t>e diligence requirement</w:t>
      </w:r>
      <w:r>
        <w:rPr>
          <w:noProof/>
          <w:szCs w:val="24"/>
        </w:rPr>
        <w:t>. T</w:t>
      </w:r>
      <w:r w:rsidR="00D10331">
        <w:rPr>
          <w:noProof/>
          <w:szCs w:val="24"/>
        </w:rPr>
        <w:t xml:space="preserve">here are </w:t>
      </w:r>
      <w:r>
        <w:rPr>
          <w:noProof/>
          <w:szCs w:val="24"/>
        </w:rPr>
        <w:t xml:space="preserve">however </w:t>
      </w:r>
      <w:r w:rsidR="00D10331">
        <w:rPr>
          <w:noProof/>
          <w:szCs w:val="24"/>
        </w:rPr>
        <w:t>a number of concerns.</w:t>
      </w:r>
      <w:r w:rsidR="00D10331" w:rsidRPr="00D10331">
        <w:rPr>
          <w:noProof/>
          <w:szCs w:val="24"/>
        </w:rPr>
        <w:t xml:space="preserve"> </w:t>
      </w:r>
      <w:r w:rsidR="00D10331">
        <w:rPr>
          <w:noProof/>
          <w:szCs w:val="24"/>
        </w:rPr>
        <w:t>T</w:t>
      </w:r>
      <w:r w:rsidR="00ED37D8" w:rsidRPr="007C1494">
        <w:rPr>
          <w:noProof/>
          <w:szCs w:val="24"/>
        </w:rPr>
        <w:t xml:space="preserve">he </w:t>
      </w:r>
      <w:r w:rsidR="00D1198F" w:rsidRPr="007C1494">
        <w:rPr>
          <w:noProof/>
          <w:szCs w:val="24"/>
        </w:rPr>
        <w:t xml:space="preserve">main concern is that </w:t>
      </w:r>
      <w:r w:rsidR="008F0839">
        <w:rPr>
          <w:noProof/>
          <w:szCs w:val="24"/>
        </w:rPr>
        <w:t xml:space="preserve">they </w:t>
      </w:r>
      <w:r w:rsidR="007852C5">
        <w:rPr>
          <w:noProof/>
          <w:szCs w:val="24"/>
        </w:rPr>
        <w:t xml:space="preserve">have </w:t>
      </w:r>
      <w:r w:rsidR="008F0839">
        <w:rPr>
          <w:noProof/>
          <w:szCs w:val="24"/>
        </w:rPr>
        <w:t xml:space="preserve">often </w:t>
      </w:r>
      <w:r w:rsidR="007852C5" w:rsidRPr="007852C5">
        <w:rPr>
          <w:noProof/>
          <w:szCs w:val="24"/>
        </w:rPr>
        <w:t xml:space="preserve">varying levels of transparency, different rules and procedures as well as different quality assurance systems. Over the past years, concerns have </w:t>
      </w:r>
      <w:r>
        <w:rPr>
          <w:noProof/>
          <w:szCs w:val="24"/>
        </w:rPr>
        <w:t xml:space="preserve">also </w:t>
      </w:r>
      <w:r w:rsidR="007852C5" w:rsidRPr="007852C5">
        <w:rPr>
          <w:noProof/>
          <w:szCs w:val="24"/>
        </w:rPr>
        <w:t xml:space="preserve">been raised over the efficiency and integrity of chain of custody (CoC) systems. Some see these systems as open to fraud given that certified companies may easily mislead their auditors although the audit is conducted with the greatest care and according to all procedures. A company may be selling products containing a volume of “certified” timber material that exceeds the volume of certified raw material that they are buying. The current CoC systems seem to only work for companies not committing deliberate fraud. Concerns about the integrity of CoC systems are mounting, and therefore discussions over this gap in the CoC systems have grown in strength in recent years. </w:t>
      </w:r>
    </w:p>
    <w:p w14:paraId="72765904" w14:textId="247F59D3" w:rsidR="00317046" w:rsidRDefault="007852C5" w:rsidP="004F6D25">
      <w:pPr>
        <w:jc w:val="both"/>
        <w:rPr>
          <w:noProof/>
          <w:szCs w:val="24"/>
        </w:rPr>
      </w:pPr>
      <w:r w:rsidRPr="007852C5">
        <w:rPr>
          <w:noProof/>
          <w:szCs w:val="24"/>
        </w:rPr>
        <w:t>In addition, the lack of independent audits, considered to be key in ensuring the robustness of the certification, was highlighted as a key weakness of the private certification schemes</w:t>
      </w:r>
      <w:r w:rsidR="00DE1506">
        <w:rPr>
          <w:rStyle w:val="FootnoteReference"/>
          <w:noProof/>
          <w:szCs w:val="24"/>
        </w:rPr>
        <w:footnoteReference w:id="117"/>
      </w:r>
      <w:r w:rsidR="000E0DB4" w:rsidRPr="000E0DB4">
        <w:rPr>
          <w:noProof/>
          <w:szCs w:val="24"/>
          <w:vertAlign w:val="superscript"/>
        </w:rPr>
        <w:t>,</w:t>
      </w:r>
      <w:r w:rsidR="00DE1506">
        <w:rPr>
          <w:rStyle w:val="FootnoteReference"/>
          <w:noProof/>
          <w:szCs w:val="24"/>
        </w:rPr>
        <w:footnoteReference w:id="118"/>
      </w:r>
      <w:r w:rsidR="00760D6B">
        <w:rPr>
          <w:noProof/>
          <w:szCs w:val="24"/>
          <w:vertAlign w:val="superscript"/>
        </w:rPr>
        <w:t>.</w:t>
      </w:r>
      <w:r w:rsidRPr="007852C5">
        <w:rPr>
          <w:noProof/>
          <w:szCs w:val="24"/>
        </w:rPr>
        <w:t xml:space="preserve"> A specific study </w:t>
      </w:r>
      <w:r w:rsidR="00001BDB">
        <w:rPr>
          <w:noProof/>
          <w:szCs w:val="24"/>
        </w:rPr>
        <w:t>commanded</w:t>
      </w:r>
      <w:r w:rsidRPr="007852C5">
        <w:rPr>
          <w:noProof/>
          <w:szCs w:val="24"/>
        </w:rPr>
        <w:t xml:space="preserve"> by the Commission</w:t>
      </w:r>
      <w:r w:rsidR="002D27E6">
        <w:rPr>
          <w:rStyle w:val="FootnoteReference"/>
          <w:noProof/>
          <w:szCs w:val="24"/>
        </w:rPr>
        <w:footnoteReference w:id="119"/>
      </w:r>
      <w:r w:rsidRPr="007852C5" w:rsidDel="00457F98">
        <w:rPr>
          <w:noProof/>
          <w:szCs w:val="24"/>
        </w:rPr>
        <w:t xml:space="preserve"> </w:t>
      </w:r>
      <w:r w:rsidRPr="007852C5">
        <w:rPr>
          <w:noProof/>
          <w:szCs w:val="24"/>
        </w:rPr>
        <w:t>confirms these findings</w:t>
      </w:r>
      <w:r w:rsidR="00C508B9">
        <w:rPr>
          <w:noProof/>
          <w:szCs w:val="24"/>
        </w:rPr>
        <w:t xml:space="preserve">, </w:t>
      </w:r>
      <w:r w:rsidR="00BF5002">
        <w:rPr>
          <w:noProof/>
          <w:szCs w:val="24"/>
        </w:rPr>
        <w:t>including a</w:t>
      </w:r>
      <w:r w:rsidR="008F0839">
        <w:rPr>
          <w:noProof/>
          <w:szCs w:val="24"/>
        </w:rPr>
        <w:t xml:space="preserve"> lack of transparency </w:t>
      </w:r>
      <w:r w:rsidR="00C508B9">
        <w:rPr>
          <w:noProof/>
          <w:szCs w:val="24"/>
        </w:rPr>
        <w:t xml:space="preserve">issues </w:t>
      </w:r>
      <w:r w:rsidR="008F0839">
        <w:rPr>
          <w:noProof/>
          <w:szCs w:val="24"/>
        </w:rPr>
        <w:t>and a propensity to contain partial or even misleading information</w:t>
      </w:r>
      <w:r w:rsidR="008F0839" w:rsidDel="00973CA6">
        <w:rPr>
          <w:noProof/>
          <w:szCs w:val="24"/>
        </w:rPr>
        <w:t>.</w:t>
      </w:r>
      <w:r w:rsidR="008F0839">
        <w:rPr>
          <w:noProof/>
          <w:szCs w:val="24"/>
        </w:rPr>
        <w:t xml:space="preserve"> </w:t>
      </w:r>
    </w:p>
    <w:p w14:paraId="3E9C98F4" w14:textId="1EB3B500" w:rsidR="00317046" w:rsidRDefault="007852C5" w:rsidP="004F6D25">
      <w:pPr>
        <w:jc w:val="both"/>
        <w:rPr>
          <w:noProof/>
          <w:szCs w:val="24"/>
        </w:rPr>
      </w:pPr>
      <w:r w:rsidRPr="007852C5">
        <w:rPr>
          <w:noProof/>
          <w:szCs w:val="24"/>
        </w:rPr>
        <w:t>Interactions with public certification scheme can also be challenging</w:t>
      </w:r>
      <w:r w:rsidR="00FE1C6C">
        <w:rPr>
          <w:noProof/>
          <w:szCs w:val="24"/>
        </w:rPr>
        <w:t>.</w:t>
      </w:r>
      <w:r w:rsidRPr="007852C5">
        <w:rPr>
          <w:noProof/>
          <w:szCs w:val="24"/>
        </w:rPr>
        <w:t xml:space="preserve"> </w:t>
      </w:r>
      <w:r w:rsidR="00FE1C6C">
        <w:rPr>
          <w:noProof/>
          <w:szCs w:val="24"/>
        </w:rPr>
        <w:t>I</w:t>
      </w:r>
      <w:r w:rsidRPr="007852C5">
        <w:rPr>
          <w:noProof/>
          <w:szCs w:val="24"/>
        </w:rPr>
        <w:t xml:space="preserve">n particular when covering the same scope and criteria, </w:t>
      </w:r>
      <w:r w:rsidR="00FE1C6C">
        <w:rPr>
          <w:noProof/>
          <w:szCs w:val="24"/>
        </w:rPr>
        <w:t>private certification schemes</w:t>
      </w:r>
      <w:r w:rsidRPr="007852C5">
        <w:rPr>
          <w:noProof/>
          <w:szCs w:val="24"/>
        </w:rPr>
        <w:t xml:space="preserve"> can lead to undermining the efficiency of public systems, as they can see the public systems as competition. </w:t>
      </w:r>
      <w:r w:rsidR="00457F98">
        <w:rPr>
          <w:noProof/>
          <w:szCs w:val="24"/>
        </w:rPr>
        <w:t>Also, t</w:t>
      </w:r>
      <w:r w:rsidRPr="007852C5">
        <w:rPr>
          <w:noProof/>
          <w:szCs w:val="24"/>
        </w:rPr>
        <w:t>he European Parliament report</w:t>
      </w:r>
      <w:r w:rsidR="00903AFF">
        <w:rPr>
          <w:rStyle w:val="FootnoteReference"/>
          <w:noProof/>
          <w:szCs w:val="24"/>
        </w:rPr>
        <w:footnoteReference w:id="120"/>
      </w:r>
      <w:r w:rsidRPr="007852C5">
        <w:rPr>
          <w:noProof/>
          <w:szCs w:val="24"/>
        </w:rPr>
        <w:t xml:space="preserve"> calls to not consider voluntary (private) certification measure as these are seen as being insufficient</w:t>
      </w:r>
      <w:r w:rsidRPr="007852C5" w:rsidDel="00457F98">
        <w:rPr>
          <w:noProof/>
          <w:szCs w:val="24"/>
        </w:rPr>
        <w:t>.</w:t>
      </w:r>
      <w:r>
        <w:rPr>
          <w:noProof/>
          <w:szCs w:val="24"/>
        </w:rPr>
        <w:t xml:space="preserve"> </w:t>
      </w:r>
      <w:r w:rsidR="008F0839">
        <w:rPr>
          <w:noProof/>
          <w:szCs w:val="24"/>
        </w:rPr>
        <w:t xml:space="preserve">Thus </w:t>
      </w:r>
      <w:r>
        <w:rPr>
          <w:noProof/>
          <w:szCs w:val="24"/>
        </w:rPr>
        <w:t xml:space="preserve">private certification schemes </w:t>
      </w:r>
      <w:r w:rsidR="008F0839">
        <w:rPr>
          <w:noProof/>
          <w:szCs w:val="24"/>
        </w:rPr>
        <w:t xml:space="preserve">often </w:t>
      </w:r>
      <w:r w:rsidR="00D1198F" w:rsidRPr="007C1494">
        <w:rPr>
          <w:noProof/>
          <w:szCs w:val="24"/>
        </w:rPr>
        <w:t xml:space="preserve">fail to </w:t>
      </w:r>
      <w:r w:rsidR="00981CB3">
        <w:rPr>
          <w:noProof/>
          <w:szCs w:val="24"/>
        </w:rPr>
        <w:t xml:space="preserve">provide </w:t>
      </w:r>
      <w:r w:rsidR="00D1198F" w:rsidRPr="007C1494">
        <w:rPr>
          <w:noProof/>
          <w:szCs w:val="24"/>
        </w:rPr>
        <w:t xml:space="preserve">the full </w:t>
      </w:r>
      <w:r w:rsidR="00E12D9C">
        <w:rPr>
          <w:noProof/>
          <w:szCs w:val="24"/>
        </w:rPr>
        <w:t>picture</w:t>
      </w:r>
      <w:r w:rsidR="00981CB3">
        <w:rPr>
          <w:noProof/>
          <w:szCs w:val="24"/>
        </w:rPr>
        <w:t>.</w:t>
      </w:r>
      <w:r w:rsidR="00D1198F" w:rsidRPr="007C1494">
        <w:rPr>
          <w:noProof/>
          <w:szCs w:val="24"/>
        </w:rPr>
        <w:t xml:space="preserve"> </w:t>
      </w:r>
    </w:p>
    <w:p w14:paraId="0E7AB211" w14:textId="443FBBED" w:rsidR="000A148A" w:rsidRDefault="007852C5" w:rsidP="004F6D25">
      <w:pPr>
        <w:jc w:val="both"/>
        <w:rPr>
          <w:noProof/>
          <w:szCs w:val="24"/>
        </w:rPr>
      </w:pPr>
      <w:r>
        <w:rPr>
          <w:noProof/>
          <w:szCs w:val="24"/>
        </w:rPr>
        <w:t>As an example one can say th</w:t>
      </w:r>
      <w:r w:rsidR="00457F98">
        <w:rPr>
          <w:noProof/>
          <w:szCs w:val="24"/>
        </w:rPr>
        <w:t>a</w:t>
      </w:r>
      <w:r>
        <w:rPr>
          <w:noProof/>
          <w:szCs w:val="24"/>
        </w:rPr>
        <w:t>t e</w:t>
      </w:r>
      <w:r w:rsidR="00D1198F" w:rsidRPr="007C1494">
        <w:rPr>
          <w:noProof/>
          <w:szCs w:val="24"/>
        </w:rPr>
        <w:t xml:space="preserve">ven if most farms in an area are certified, land tenure can still be weak, poverty increasing, and legal and illegal deforestation </w:t>
      </w:r>
      <w:r w:rsidR="00981CB3">
        <w:rPr>
          <w:noProof/>
          <w:szCs w:val="24"/>
        </w:rPr>
        <w:t xml:space="preserve">still </w:t>
      </w:r>
      <w:r w:rsidR="00D1198F" w:rsidRPr="007C1494">
        <w:rPr>
          <w:noProof/>
          <w:szCs w:val="24"/>
        </w:rPr>
        <w:t>tak</w:t>
      </w:r>
      <w:r w:rsidR="00981CB3">
        <w:rPr>
          <w:noProof/>
          <w:szCs w:val="24"/>
        </w:rPr>
        <w:t>e</w:t>
      </w:r>
      <w:r w:rsidR="00D1198F" w:rsidRPr="007C1494">
        <w:rPr>
          <w:noProof/>
          <w:szCs w:val="24"/>
        </w:rPr>
        <w:t xml:space="preserve"> place. </w:t>
      </w:r>
      <w:r w:rsidRPr="007852C5">
        <w:rPr>
          <w:noProof/>
          <w:szCs w:val="24"/>
        </w:rPr>
        <w:t>The need to monitor and audit</w:t>
      </w:r>
      <w:r w:rsidR="00D1198F" w:rsidRPr="007C1494">
        <w:rPr>
          <w:noProof/>
          <w:szCs w:val="24"/>
        </w:rPr>
        <w:t xml:space="preserve"> the </w:t>
      </w:r>
      <w:r w:rsidRPr="007852C5">
        <w:rPr>
          <w:noProof/>
          <w:szCs w:val="24"/>
        </w:rPr>
        <w:t xml:space="preserve">use of private certification and the wide-ranging products/commodities that the private certification would have to cover could make cost-benefit balance problematic – the costs may outweigh the benefits. Private certification can </w:t>
      </w:r>
      <w:r w:rsidR="00A5083F">
        <w:rPr>
          <w:noProof/>
          <w:szCs w:val="24"/>
        </w:rPr>
        <w:t xml:space="preserve">also </w:t>
      </w:r>
      <w:r w:rsidRPr="007852C5">
        <w:rPr>
          <w:noProof/>
          <w:szCs w:val="24"/>
        </w:rPr>
        <w:t>be a complicated and costly process and resources spent to certify operations and to support the various schemes’ managerial structures could be used for other ends</w:t>
      </w:r>
      <w:r w:rsidR="00A5083F">
        <w:rPr>
          <w:noProof/>
          <w:szCs w:val="24"/>
        </w:rPr>
        <w:t>. T</w:t>
      </w:r>
      <w:r w:rsidR="00D1198F" w:rsidRPr="007C1494">
        <w:rPr>
          <w:noProof/>
          <w:szCs w:val="24"/>
        </w:rPr>
        <w:t xml:space="preserve">he available evidence </w:t>
      </w:r>
      <w:r w:rsidR="00A5083F">
        <w:rPr>
          <w:noProof/>
          <w:szCs w:val="24"/>
        </w:rPr>
        <w:t xml:space="preserve">also </w:t>
      </w:r>
      <w:r w:rsidR="00D1198F" w:rsidRPr="007C1494">
        <w:rPr>
          <w:noProof/>
          <w:szCs w:val="24"/>
        </w:rPr>
        <w:t>indicates that the costs borne by producer S</w:t>
      </w:r>
      <w:r w:rsidR="008478C6" w:rsidRPr="007C1494">
        <w:rPr>
          <w:noProof/>
          <w:szCs w:val="24"/>
        </w:rPr>
        <w:t xml:space="preserve">mall and Medium Enterprises (SMEs) </w:t>
      </w:r>
      <w:r w:rsidR="00D1198F" w:rsidRPr="007C1494">
        <w:rPr>
          <w:noProof/>
          <w:szCs w:val="24"/>
        </w:rPr>
        <w:t xml:space="preserve">for certification can be perceived as </w:t>
      </w:r>
      <w:r>
        <w:rPr>
          <w:noProof/>
          <w:szCs w:val="24"/>
        </w:rPr>
        <w:t xml:space="preserve">significant that it becomes difficult </w:t>
      </w:r>
      <w:r w:rsidR="00D1198F" w:rsidRPr="007C1494">
        <w:rPr>
          <w:noProof/>
          <w:szCs w:val="24"/>
        </w:rPr>
        <w:t xml:space="preserve">for SMEs to </w:t>
      </w:r>
      <w:r>
        <w:rPr>
          <w:noProof/>
          <w:szCs w:val="24"/>
        </w:rPr>
        <w:t xml:space="preserve">make good use of such </w:t>
      </w:r>
      <w:r w:rsidR="00D1198F" w:rsidRPr="007C1494">
        <w:rPr>
          <w:noProof/>
          <w:szCs w:val="24"/>
        </w:rPr>
        <w:t>scheme</w:t>
      </w:r>
      <w:r>
        <w:rPr>
          <w:noProof/>
          <w:szCs w:val="24"/>
        </w:rPr>
        <w:t>s</w:t>
      </w:r>
      <w:r w:rsidR="00D1198F" w:rsidRPr="007C1494">
        <w:rPr>
          <w:noProof/>
          <w:szCs w:val="24"/>
        </w:rPr>
        <w:t>. Economies of scale have SMEs at a disadvantage in achieving certification in comparison to larger operators and traders.</w:t>
      </w:r>
    </w:p>
    <w:p w14:paraId="5C193B41" w14:textId="77777777" w:rsidR="00A94918" w:rsidRPr="007C1494" w:rsidRDefault="00A94918" w:rsidP="004F6D25">
      <w:pPr>
        <w:jc w:val="both"/>
        <w:rPr>
          <w:noProof/>
          <w:szCs w:val="24"/>
        </w:rPr>
      </w:pPr>
    </w:p>
    <w:p w14:paraId="588E8755" w14:textId="0728621E" w:rsidR="00244E6A" w:rsidRPr="007C1494" w:rsidRDefault="00335526" w:rsidP="00335526">
      <w:pPr>
        <w:pStyle w:val="Heading1"/>
        <w:rPr>
          <w:noProof/>
        </w:rPr>
      </w:pPr>
      <w:bookmarkStart w:id="138" w:name="_Toc75542193"/>
      <w:bookmarkStart w:id="139" w:name="_Toc75543226"/>
      <w:bookmarkStart w:id="140" w:name="_Toc84591914"/>
      <w:r w:rsidRPr="00335526">
        <w:t>6</w:t>
      </w:r>
      <w:r w:rsidRPr="00335526">
        <w:tab/>
      </w:r>
      <w:r w:rsidR="00244E6A" w:rsidRPr="007C1494">
        <w:rPr>
          <w:noProof/>
        </w:rPr>
        <w:t>What are the impacts of the policy options?</w:t>
      </w:r>
      <w:bookmarkEnd w:id="136"/>
      <w:bookmarkEnd w:id="137"/>
      <w:bookmarkEnd w:id="138"/>
      <w:bookmarkEnd w:id="139"/>
      <w:bookmarkEnd w:id="140"/>
    </w:p>
    <w:p w14:paraId="7F6A3451" w14:textId="0F64B762" w:rsidR="00D60152" w:rsidRPr="007C1494" w:rsidRDefault="00F51105" w:rsidP="004470ED">
      <w:pPr>
        <w:jc w:val="both"/>
        <w:rPr>
          <w:rFonts w:cs="Times New Roman"/>
          <w:noProof/>
          <w:szCs w:val="24"/>
        </w:rPr>
      </w:pPr>
      <w:r w:rsidRPr="007C1494">
        <w:rPr>
          <w:rFonts w:cs="Times New Roman"/>
          <w:noProof/>
          <w:szCs w:val="24"/>
        </w:rPr>
        <w:t xml:space="preserve">This section presents a summary of the assessment of the impacts of the policy options, focusing on environmental, social and economic impacts. It provides an analysis of impacts expected to be common to all policy options 1-5 to a varying degree, followed by specific impact assessment of Options 1, 2, 3, 4 and 5 compared to Option 0, the baseline scenario. </w:t>
      </w:r>
    </w:p>
    <w:p w14:paraId="074A65D5" w14:textId="3AA5D6A6" w:rsidR="00244E6A" w:rsidRPr="007C1494" w:rsidRDefault="00335526" w:rsidP="00335526">
      <w:pPr>
        <w:pStyle w:val="Heading2"/>
        <w:rPr>
          <w:noProof/>
        </w:rPr>
      </w:pPr>
      <w:bookmarkStart w:id="141" w:name="_Toc67074895"/>
      <w:bookmarkStart w:id="142" w:name="_Toc67075052"/>
      <w:bookmarkStart w:id="143" w:name="_Toc67075402"/>
      <w:bookmarkStart w:id="144" w:name="_Toc67075466"/>
      <w:bookmarkStart w:id="145" w:name="_Toc67075619"/>
      <w:bookmarkStart w:id="146" w:name="_Toc66658664"/>
      <w:bookmarkStart w:id="147" w:name="_Toc481484476"/>
      <w:bookmarkStart w:id="148" w:name="_Toc67074998"/>
      <w:bookmarkStart w:id="149" w:name="_Toc75542194"/>
      <w:bookmarkStart w:id="150" w:name="_Toc75543227"/>
      <w:bookmarkStart w:id="151" w:name="_Toc84591915"/>
      <w:bookmarkEnd w:id="141"/>
      <w:bookmarkEnd w:id="142"/>
      <w:bookmarkEnd w:id="143"/>
      <w:bookmarkEnd w:id="144"/>
      <w:bookmarkEnd w:id="145"/>
      <w:r w:rsidRPr="00335526">
        <w:t>6.1</w:t>
      </w:r>
      <w:r w:rsidRPr="00335526">
        <w:tab/>
      </w:r>
      <w:r w:rsidR="00B3329C" w:rsidRPr="007C1494">
        <w:rPr>
          <w:noProof/>
        </w:rPr>
        <w:t xml:space="preserve">Impacts </w:t>
      </w:r>
      <w:r w:rsidR="00824C02" w:rsidRPr="007C1494">
        <w:rPr>
          <w:noProof/>
        </w:rPr>
        <w:t>relevant for</w:t>
      </w:r>
      <w:r w:rsidR="00B3329C" w:rsidRPr="007C1494">
        <w:rPr>
          <w:noProof/>
        </w:rPr>
        <w:t xml:space="preserve"> </w:t>
      </w:r>
      <w:r w:rsidR="00824C02" w:rsidRPr="007C1494">
        <w:rPr>
          <w:noProof/>
        </w:rPr>
        <w:t>Policy O</w:t>
      </w:r>
      <w:r w:rsidR="0075180D" w:rsidRPr="007C1494">
        <w:rPr>
          <w:noProof/>
        </w:rPr>
        <w:t>ptions</w:t>
      </w:r>
      <w:bookmarkEnd w:id="146"/>
      <w:r w:rsidR="00B3329C" w:rsidRPr="007C1494">
        <w:rPr>
          <w:noProof/>
        </w:rPr>
        <w:t xml:space="preserve"> 1-5</w:t>
      </w:r>
      <w:bookmarkEnd w:id="147"/>
      <w:bookmarkEnd w:id="148"/>
      <w:bookmarkEnd w:id="149"/>
      <w:bookmarkEnd w:id="150"/>
      <w:bookmarkEnd w:id="151"/>
      <w:r w:rsidR="00B3329C" w:rsidRPr="007C1494">
        <w:rPr>
          <w:noProof/>
        </w:rPr>
        <w:t xml:space="preserve"> </w:t>
      </w:r>
    </w:p>
    <w:p w14:paraId="336E292A" w14:textId="14AE187B" w:rsidR="005F04E5" w:rsidRPr="007C1494" w:rsidRDefault="0025012F" w:rsidP="0025012F">
      <w:pPr>
        <w:jc w:val="both"/>
        <w:rPr>
          <w:rFonts w:eastAsia="Times New Roman" w:cs="Times New Roman"/>
          <w:noProof/>
          <w:szCs w:val="24"/>
        </w:rPr>
      </w:pPr>
      <w:bookmarkStart w:id="152" w:name="_Toc66658665"/>
      <w:bookmarkStart w:id="153" w:name="_Toc67074999"/>
      <w:r>
        <w:rPr>
          <w:rFonts w:eastAsia="Times New Roman" w:cs="Times New Roman"/>
          <w:noProof/>
          <w:szCs w:val="24"/>
        </w:rPr>
        <w:t xml:space="preserve">The policy options have </w:t>
      </w:r>
      <w:r w:rsidRPr="00DA188D">
        <w:rPr>
          <w:rFonts w:eastAsia="Times New Roman" w:cs="Times New Roman"/>
          <w:noProof/>
          <w:szCs w:val="24"/>
        </w:rPr>
        <w:t>been selected and designed to achieve the objective of the EU intervention, that is, to curb and halt EU-driven deforestation and forest degradation</w:t>
      </w:r>
      <w:r w:rsidR="00CA6B69" w:rsidRPr="00DA188D">
        <w:rPr>
          <w:rFonts w:eastAsia="Times New Roman" w:cs="Times New Roman"/>
          <w:noProof/>
          <w:szCs w:val="24"/>
        </w:rPr>
        <w:t xml:space="preserve"> and to contribute to reducing GHG emissions and biodiversity loss</w:t>
      </w:r>
      <w:r w:rsidRPr="00DA188D">
        <w:rPr>
          <w:rFonts w:eastAsia="Times New Roman" w:cs="Times New Roman"/>
          <w:noProof/>
          <w:szCs w:val="24"/>
        </w:rPr>
        <w:t xml:space="preserve">. As regards its wider impact on global deforestation and forest degradation trends, the EU intervention will also depend on </w:t>
      </w:r>
      <w:r w:rsidR="005F04E5" w:rsidRPr="00DA188D">
        <w:rPr>
          <w:rFonts w:eastAsia="Times New Roman" w:cs="Times New Roman"/>
          <w:noProof/>
          <w:szCs w:val="24"/>
        </w:rPr>
        <w:t xml:space="preserve">other measures identified in the </w:t>
      </w:r>
      <w:r w:rsidR="00D761F9" w:rsidRPr="00DA188D">
        <w:rPr>
          <w:rFonts w:eastAsia="Times New Roman" w:cs="Times New Roman"/>
          <w:noProof/>
          <w:szCs w:val="24"/>
        </w:rPr>
        <w:t xml:space="preserve">2019 </w:t>
      </w:r>
      <w:r w:rsidR="005F04E5" w:rsidRPr="00DA188D">
        <w:rPr>
          <w:rFonts w:eastAsia="Times New Roman" w:cs="Times New Roman"/>
          <w:noProof/>
          <w:szCs w:val="24"/>
        </w:rPr>
        <w:t xml:space="preserve">Communication, in particular: 1) working in partnership with producer countries, </w:t>
      </w:r>
      <w:r w:rsidR="005476F2" w:rsidRPr="00DA188D">
        <w:rPr>
          <w:rFonts w:eastAsia="Times New Roman" w:cs="Times New Roman"/>
          <w:noProof/>
          <w:szCs w:val="24"/>
        </w:rPr>
        <w:t xml:space="preserve">accompanied by adequate support, which is </w:t>
      </w:r>
      <w:r w:rsidR="005F04E5" w:rsidRPr="00DA188D">
        <w:rPr>
          <w:rFonts w:eastAsia="Times New Roman" w:cs="Times New Roman"/>
          <w:noProof/>
          <w:szCs w:val="24"/>
        </w:rPr>
        <w:t xml:space="preserve">crucial to </w:t>
      </w:r>
      <w:r w:rsidR="005476F2" w:rsidRPr="00DA188D">
        <w:rPr>
          <w:rFonts w:eastAsia="Times New Roman" w:cs="Times New Roman"/>
          <w:noProof/>
          <w:szCs w:val="24"/>
        </w:rPr>
        <w:t>address the</w:t>
      </w:r>
      <w:r w:rsidR="005F04E5" w:rsidRPr="00DA188D">
        <w:rPr>
          <w:rFonts w:eastAsia="Times New Roman" w:cs="Times New Roman"/>
          <w:noProof/>
          <w:szCs w:val="24"/>
        </w:rPr>
        <w:t xml:space="preserve"> root causes of deforestation, such as </w:t>
      </w:r>
      <w:r w:rsidR="00AF4BE3" w:rsidRPr="00DA188D">
        <w:rPr>
          <w:rFonts w:eastAsia="Times New Roman" w:cs="Times New Roman"/>
          <w:noProof/>
          <w:szCs w:val="24"/>
        </w:rPr>
        <w:t xml:space="preserve">market failures, </w:t>
      </w:r>
      <w:r w:rsidR="005476F2" w:rsidRPr="00DA188D">
        <w:rPr>
          <w:rFonts w:eastAsia="Times New Roman" w:cs="Times New Roman"/>
          <w:noProof/>
          <w:szCs w:val="24"/>
        </w:rPr>
        <w:t xml:space="preserve">weak </w:t>
      </w:r>
      <w:r w:rsidR="005F04E5" w:rsidRPr="00DA188D">
        <w:rPr>
          <w:rFonts w:eastAsia="Times New Roman" w:cs="Times New Roman"/>
          <w:noProof/>
          <w:szCs w:val="24"/>
        </w:rPr>
        <w:t xml:space="preserve">governance, corruption and </w:t>
      </w:r>
      <w:r w:rsidR="005476F2" w:rsidRPr="00DA188D">
        <w:rPr>
          <w:rFonts w:eastAsia="Times New Roman" w:cs="Times New Roman"/>
          <w:noProof/>
          <w:szCs w:val="24"/>
        </w:rPr>
        <w:t xml:space="preserve">problems with </w:t>
      </w:r>
      <w:r w:rsidR="005F04E5" w:rsidRPr="00DA188D">
        <w:rPr>
          <w:rFonts w:eastAsia="Times New Roman" w:cs="Times New Roman"/>
          <w:noProof/>
          <w:szCs w:val="24"/>
        </w:rPr>
        <w:t xml:space="preserve">law enforcement; and 2) strengthening international cooperation, especially with major consumer countries, to ensure adoption of similar measures to avoid products coming from supply chains associated with deforestation and forest degradation being placed on the market, </w:t>
      </w:r>
      <w:r w:rsidR="005476F2" w:rsidRPr="00DA188D">
        <w:rPr>
          <w:rFonts w:eastAsia="Times New Roman" w:cs="Times New Roman"/>
          <w:noProof/>
          <w:szCs w:val="24"/>
        </w:rPr>
        <w:t xml:space="preserve">in order </w:t>
      </w:r>
      <w:r w:rsidR="005F04E5" w:rsidRPr="00DA188D">
        <w:rPr>
          <w:rFonts w:eastAsia="Times New Roman" w:cs="Times New Roman"/>
          <w:noProof/>
          <w:szCs w:val="24"/>
        </w:rPr>
        <w:t>to minimise leakage.</w:t>
      </w:r>
      <w:r w:rsidRPr="00DA188D">
        <w:rPr>
          <w:rFonts w:eastAsia="Times New Roman" w:cs="Times New Roman"/>
          <w:noProof/>
          <w:szCs w:val="24"/>
        </w:rPr>
        <w:t xml:space="preserve"> An overview of different potential leakage problems and mitigation measures is </w:t>
      </w:r>
      <w:r w:rsidR="00F670F8" w:rsidRPr="00DA188D">
        <w:rPr>
          <w:rFonts w:eastAsia="Times New Roman" w:cs="Times New Roman"/>
          <w:noProof/>
          <w:szCs w:val="24"/>
        </w:rPr>
        <w:t>presented in</w:t>
      </w:r>
      <w:r w:rsidRPr="00DA188D">
        <w:rPr>
          <w:rFonts w:eastAsia="Times New Roman" w:cs="Times New Roman"/>
          <w:noProof/>
          <w:szCs w:val="24"/>
        </w:rPr>
        <w:t xml:space="preserve"> section 6.1.4.</w:t>
      </w:r>
    </w:p>
    <w:p w14:paraId="50E69BDD" w14:textId="35488868" w:rsidR="00337977" w:rsidRPr="007C1494" w:rsidRDefault="00335526" w:rsidP="00335526">
      <w:pPr>
        <w:pStyle w:val="Heading3"/>
        <w:rPr>
          <w:noProof/>
        </w:rPr>
      </w:pPr>
      <w:bookmarkStart w:id="154" w:name="_Toc75542195"/>
      <w:bookmarkStart w:id="155" w:name="_Toc75543228"/>
      <w:bookmarkStart w:id="156" w:name="_Toc84591916"/>
      <w:r w:rsidRPr="00335526">
        <w:t>6.1.1</w:t>
      </w:r>
      <w:r w:rsidRPr="00335526">
        <w:tab/>
      </w:r>
      <w:r w:rsidR="00337977" w:rsidRPr="007C1494">
        <w:rPr>
          <w:noProof/>
        </w:rPr>
        <w:t>Environmental impacts</w:t>
      </w:r>
      <w:bookmarkEnd w:id="152"/>
      <w:bookmarkEnd w:id="153"/>
      <w:bookmarkEnd w:id="154"/>
      <w:bookmarkEnd w:id="155"/>
      <w:bookmarkEnd w:id="156"/>
    </w:p>
    <w:p w14:paraId="1B3B7162" w14:textId="7BE747BB" w:rsidR="00F51105" w:rsidRPr="007C1494" w:rsidRDefault="00F51105" w:rsidP="30CC34C4">
      <w:pPr>
        <w:jc w:val="both"/>
        <w:rPr>
          <w:noProof/>
          <w:szCs w:val="24"/>
        </w:rPr>
      </w:pPr>
      <w:r w:rsidRPr="007C1494">
        <w:rPr>
          <w:rFonts w:cs="Times New Roman"/>
          <w:noProof/>
          <w:szCs w:val="24"/>
        </w:rPr>
        <w:t xml:space="preserve">The analysis focused on the areas where deforestation and forest degradation is expected to have </w:t>
      </w:r>
      <w:r w:rsidR="00716EFE">
        <w:rPr>
          <w:rFonts w:cs="Times New Roman"/>
          <w:noProof/>
          <w:szCs w:val="24"/>
        </w:rPr>
        <w:t xml:space="preserve">the most </w:t>
      </w:r>
      <w:r w:rsidRPr="007C1494">
        <w:rPr>
          <w:rFonts w:cs="Times New Roman"/>
          <w:noProof/>
          <w:szCs w:val="24"/>
        </w:rPr>
        <w:t>significant negative impact</w:t>
      </w:r>
      <w:r w:rsidR="00405661" w:rsidRPr="007C1494">
        <w:rPr>
          <w:rFonts w:cs="Times New Roman"/>
          <w:noProof/>
          <w:szCs w:val="24"/>
        </w:rPr>
        <w:t xml:space="preserve">: </w:t>
      </w:r>
      <w:r w:rsidR="00716EFE">
        <w:rPr>
          <w:rFonts w:cs="Times New Roman"/>
          <w:noProof/>
          <w:szCs w:val="24"/>
        </w:rPr>
        <w:t xml:space="preserve">greenhouse gas </w:t>
      </w:r>
      <w:r w:rsidR="00801A4D">
        <w:rPr>
          <w:rFonts w:cs="Times New Roman"/>
          <w:noProof/>
          <w:szCs w:val="24"/>
        </w:rPr>
        <w:t>emissions</w:t>
      </w:r>
      <w:r w:rsidR="00716EFE">
        <w:rPr>
          <w:rFonts w:cs="Times New Roman"/>
          <w:noProof/>
          <w:szCs w:val="24"/>
        </w:rPr>
        <w:t xml:space="preserve"> and </w:t>
      </w:r>
      <w:r w:rsidR="00405661" w:rsidRPr="007C1494">
        <w:rPr>
          <w:rFonts w:cs="Times New Roman"/>
          <w:noProof/>
          <w:szCs w:val="24"/>
        </w:rPr>
        <w:t>biodiversity</w:t>
      </w:r>
      <w:r w:rsidR="004527DB" w:rsidRPr="007C1494">
        <w:rPr>
          <w:rFonts w:cs="Times New Roman"/>
          <w:noProof/>
          <w:szCs w:val="24"/>
        </w:rPr>
        <w:t xml:space="preserve"> loss</w:t>
      </w:r>
      <w:r w:rsidRPr="007C1494">
        <w:rPr>
          <w:rFonts w:cs="Times New Roman"/>
          <w:noProof/>
          <w:szCs w:val="24"/>
        </w:rPr>
        <w:t xml:space="preserve">. Without further intervention, it is likely that deforestation and forest degradation will accelerate and worsen negative trends in these areas over time. </w:t>
      </w:r>
      <w:r w:rsidR="00595690" w:rsidRPr="007C1494">
        <w:rPr>
          <w:rFonts w:cs="Times New Roman"/>
          <w:noProof/>
          <w:szCs w:val="24"/>
        </w:rPr>
        <w:t>EU measures explained under p</w:t>
      </w:r>
      <w:r w:rsidRPr="007C1494">
        <w:rPr>
          <w:rFonts w:cs="Times New Roman"/>
          <w:noProof/>
          <w:szCs w:val="24"/>
        </w:rPr>
        <w:t>olicy options 1-5</w:t>
      </w:r>
      <w:r w:rsidR="00E55FD8" w:rsidRPr="007C1494">
        <w:rPr>
          <w:rFonts w:cs="Times New Roman"/>
          <w:noProof/>
          <w:szCs w:val="24"/>
        </w:rPr>
        <w:t>,</w:t>
      </w:r>
      <w:r w:rsidRPr="007C1494">
        <w:rPr>
          <w:rFonts w:cs="Times New Roman"/>
          <w:noProof/>
          <w:szCs w:val="24"/>
        </w:rPr>
        <w:t xml:space="preserve"> </w:t>
      </w:r>
      <w:r w:rsidR="00ED37D8" w:rsidRPr="007C1494">
        <w:rPr>
          <w:rFonts w:cs="Times New Roman"/>
          <w:noProof/>
          <w:szCs w:val="24"/>
        </w:rPr>
        <w:t>if fully implemented</w:t>
      </w:r>
      <w:r w:rsidR="00E55FD8" w:rsidRPr="007C1494">
        <w:rPr>
          <w:rFonts w:cs="Times New Roman"/>
          <w:noProof/>
          <w:szCs w:val="24"/>
        </w:rPr>
        <w:t>,</w:t>
      </w:r>
      <w:r w:rsidR="00ED37D8" w:rsidRPr="007C1494">
        <w:rPr>
          <w:rFonts w:cs="Times New Roman"/>
          <w:noProof/>
          <w:szCs w:val="24"/>
        </w:rPr>
        <w:t xml:space="preserve"> </w:t>
      </w:r>
      <w:r w:rsidRPr="007C1494">
        <w:rPr>
          <w:rFonts w:cs="Times New Roman"/>
          <w:noProof/>
          <w:szCs w:val="24"/>
        </w:rPr>
        <w:t xml:space="preserve">are expected to reduce </w:t>
      </w:r>
      <w:r w:rsidR="00595690" w:rsidRPr="007C1494">
        <w:rPr>
          <w:rFonts w:cs="Times New Roman"/>
          <w:noProof/>
          <w:szCs w:val="24"/>
        </w:rPr>
        <w:t xml:space="preserve">the EU contribution to </w:t>
      </w:r>
      <w:r w:rsidRPr="007C1494">
        <w:rPr>
          <w:rFonts w:cs="Times New Roman"/>
          <w:noProof/>
          <w:szCs w:val="24"/>
        </w:rPr>
        <w:t>defor</w:t>
      </w:r>
      <w:r w:rsidR="009C0E10">
        <w:rPr>
          <w:rFonts w:cs="Times New Roman"/>
          <w:noProof/>
          <w:szCs w:val="24"/>
        </w:rPr>
        <w:t>estation and forest degradation</w:t>
      </w:r>
      <w:r w:rsidR="00716EFE">
        <w:rPr>
          <w:rFonts w:cs="Times New Roman"/>
          <w:noProof/>
          <w:szCs w:val="24"/>
        </w:rPr>
        <w:t xml:space="preserve"> and, in turn, reduce GHG emissions and biodiversity loss</w:t>
      </w:r>
      <w:r w:rsidRPr="007C1494">
        <w:rPr>
          <w:rFonts w:cs="Times New Roman"/>
          <w:noProof/>
          <w:szCs w:val="24"/>
        </w:rPr>
        <w:t>.</w:t>
      </w:r>
      <w:r w:rsidR="00716EFE" w:rsidRPr="007C1494" w:rsidDel="00716EFE">
        <w:rPr>
          <w:rFonts w:cs="Times New Roman"/>
          <w:noProof/>
          <w:szCs w:val="24"/>
        </w:rPr>
        <w:t xml:space="preserve"> </w:t>
      </w:r>
    </w:p>
    <w:p w14:paraId="44FB418E" w14:textId="52CDBDAC" w:rsidR="00E81839" w:rsidRDefault="00F51105" w:rsidP="00843E59">
      <w:pPr>
        <w:jc w:val="both"/>
        <w:rPr>
          <w:noProof/>
          <w:szCs w:val="24"/>
        </w:rPr>
      </w:pPr>
      <w:r w:rsidRPr="007C1494">
        <w:rPr>
          <w:rFonts w:cs="Times New Roman"/>
          <w:noProof/>
          <w:szCs w:val="24"/>
        </w:rPr>
        <w:t>The impact magnitude of the various policy options will depend on multiple factors</w:t>
      </w:r>
      <w:r w:rsidR="00801A4D">
        <w:rPr>
          <w:rFonts w:cs="Times New Roman"/>
          <w:noProof/>
          <w:szCs w:val="24"/>
        </w:rPr>
        <w:t xml:space="preserve"> such as </w:t>
      </w:r>
      <w:r w:rsidRPr="007C1494">
        <w:rPr>
          <w:rFonts w:cs="Times New Roman"/>
          <w:noProof/>
          <w:szCs w:val="24"/>
        </w:rPr>
        <w:t>the regions in which deforestation and/or forest degradation is reduced</w:t>
      </w:r>
      <w:r w:rsidR="00E55FD8" w:rsidRPr="007C1494">
        <w:rPr>
          <w:rFonts w:cs="Times New Roman"/>
          <w:noProof/>
          <w:szCs w:val="24"/>
        </w:rPr>
        <w:t>,</w:t>
      </w:r>
      <w:r w:rsidRPr="007C1494">
        <w:rPr>
          <w:rFonts w:cs="Times New Roman"/>
          <w:noProof/>
          <w:szCs w:val="24"/>
        </w:rPr>
        <w:t xml:space="preserve"> </w:t>
      </w:r>
      <w:r w:rsidR="00801A4D">
        <w:rPr>
          <w:rFonts w:cs="Times New Roman"/>
          <w:noProof/>
          <w:szCs w:val="24"/>
        </w:rPr>
        <w:t xml:space="preserve">the amount of the reduction, and </w:t>
      </w:r>
      <w:r w:rsidRPr="007C1494">
        <w:rPr>
          <w:rFonts w:cs="Times New Roman"/>
          <w:noProof/>
          <w:szCs w:val="24"/>
        </w:rPr>
        <w:t xml:space="preserve">the affected forest type. </w:t>
      </w:r>
      <w:r w:rsidR="00843E59" w:rsidRPr="007C1494">
        <w:rPr>
          <w:noProof/>
          <w:szCs w:val="24"/>
        </w:rPr>
        <w:t xml:space="preserve">The determination of the environmental benefits of the policy options is directly linked to the effectiveness of the measures included in the policy options. </w:t>
      </w:r>
      <w:r w:rsidR="00E81839">
        <w:rPr>
          <w:noProof/>
          <w:szCs w:val="24"/>
        </w:rPr>
        <w:t>A trade analysis conducted for the Fitness Check</w:t>
      </w:r>
      <w:r w:rsidR="00E81839">
        <w:rPr>
          <w:rStyle w:val="FootnoteReference"/>
          <w:noProof/>
          <w:szCs w:val="24"/>
        </w:rPr>
        <w:footnoteReference w:id="121"/>
      </w:r>
      <w:r w:rsidR="00E81839">
        <w:rPr>
          <w:noProof/>
          <w:szCs w:val="24"/>
        </w:rPr>
        <w:t xml:space="preserve"> estimated</w:t>
      </w:r>
      <w:r w:rsidR="00E81839" w:rsidRPr="00E81839">
        <w:rPr>
          <w:noProof/>
          <w:szCs w:val="24"/>
        </w:rPr>
        <w:t xml:space="preserve"> </w:t>
      </w:r>
      <w:r w:rsidR="00E81839">
        <w:rPr>
          <w:noProof/>
          <w:szCs w:val="24"/>
        </w:rPr>
        <w:t xml:space="preserve">the effectiveness of the EU Timber Regulation — measured in the share of illegally harvested timber prevented from entering the EU market — in between </w:t>
      </w:r>
      <w:r w:rsidR="00E81839" w:rsidRPr="00E81839">
        <w:rPr>
          <w:noProof/>
          <w:szCs w:val="24"/>
        </w:rPr>
        <w:t>12</w:t>
      </w:r>
      <w:r w:rsidR="00E81839">
        <w:rPr>
          <w:noProof/>
          <w:szCs w:val="24"/>
        </w:rPr>
        <w:t>%</w:t>
      </w:r>
      <w:r w:rsidR="00E81839" w:rsidRPr="00E81839">
        <w:rPr>
          <w:noProof/>
          <w:szCs w:val="24"/>
        </w:rPr>
        <w:t xml:space="preserve"> and</w:t>
      </w:r>
      <w:r w:rsidR="00E81839">
        <w:rPr>
          <w:noProof/>
          <w:szCs w:val="24"/>
        </w:rPr>
        <w:t xml:space="preserve"> </w:t>
      </w:r>
      <w:r w:rsidR="00561609">
        <w:rPr>
          <w:noProof/>
          <w:szCs w:val="24"/>
        </w:rPr>
        <w:t>29</w:t>
      </w:r>
      <w:r w:rsidR="00E81839" w:rsidRPr="00E81839">
        <w:rPr>
          <w:noProof/>
          <w:szCs w:val="24"/>
        </w:rPr>
        <w:t>%</w:t>
      </w:r>
      <w:r w:rsidR="0087368B">
        <w:rPr>
          <w:rStyle w:val="FootnoteReference"/>
          <w:noProof/>
          <w:szCs w:val="24"/>
        </w:rPr>
        <w:footnoteReference w:id="122"/>
      </w:r>
      <w:r w:rsidR="00C63DA4">
        <w:rPr>
          <w:noProof/>
          <w:szCs w:val="24"/>
        </w:rPr>
        <w:t>.</w:t>
      </w:r>
    </w:p>
    <w:p w14:paraId="3BB56965" w14:textId="4A3800C1" w:rsidR="00526502" w:rsidRDefault="00E81839" w:rsidP="00843E59">
      <w:pPr>
        <w:jc w:val="both"/>
        <w:rPr>
          <w:noProof/>
          <w:szCs w:val="24"/>
        </w:rPr>
      </w:pPr>
      <w:r w:rsidRPr="00E81839">
        <w:rPr>
          <w:noProof/>
          <w:szCs w:val="24"/>
        </w:rPr>
        <w:t>For policy options 1-4</w:t>
      </w:r>
      <w:r>
        <w:rPr>
          <w:noProof/>
          <w:szCs w:val="24"/>
        </w:rPr>
        <w:t>, which</w:t>
      </w:r>
      <w:r w:rsidR="00526502">
        <w:rPr>
          <w:noProof/>
          <w:szCs w:val="24"/>
        </w:rPr>
        <w:t xml:space="preserve"> —</w:t>
      </w:r>
      <w:r>
        <w:rPr>
          <w:noProof/>
          <w:szCs w:val="24"/>
        </w:rPr>
        <w:t xml:space="preserve"> like the EUTR</w:t>
      </w:r>
      <w:r w:rsidR="00526502">
        <w:rPr>
          <w:noProof/>
          <w:szCs w:val="24"/>
        </w:rPr>
        <w:t xml:space="preserve"> —</w:t>
      </w:r>
      <w:r>
        <w:rPr>
          <w:noProof/>
          <w:szCs w:val="24"/>
        </w:rPr>
        <w:t xml:space="preserve"> are based on due diligence obligations,</w:t>
      </w:r>
      <w:r w:rsidRPr="00E81839">
        <w:rPr>
          <w:noProof/>
          <w:szCs w:val="24"/>
        </w:rPr>
        <w:t xml:space="preserve"> we assume </w:t>
      </w:r>
      <w:r w:rsidR="00AF4BE3">
        <w:rPr>
          <w:noProof/>
          <w:szCs w:val="24"/>
        </w:rPr>
        <w:t xml:space="preserve">a significantly </w:t>
      </w:r>
      <w:r w:rsidR="00A65270">
        <w:rPr>
          <w:noProof/>
          <w:szCs w:val="24"/>
        </w:rPr>
        <w:t xml:space="preserve">higher </w:t>
      </w:r>
      <w:r w:rsidR="009C496D">
        <w:rPr>
          <w:noProof/>
          <w:szCs w:val="24"/>
        </w:rPr>
        <w:t xml:space="preserve">effectiveness </w:t>
      </w:r>
      <w:r w:rsidR="00AF4BE3">
        <w:rPr>
          <w:noProof/>
          <w:szCs w:val="24"/>
        </w:rPr>
        <w:t xml:space="preserve">than for </w:t>
      </w:r>
      <w:r w:rsidR="009C496D">
        <w:rPr>
          <w:noProof/>
          <w:szCs w:val="24"/>
        </w:rPr>
        <w:t>the EUTR</w:t>
      </w:r>
      <w:r w:rsidR="00F81F7C">
        <w:rPr>
          <w:noProof/>
          <w:szCs w:val="24"/>
        </w:rPr>
        <w:t>, and take the upper end of the mentioned research (29%) as a minimum</w:t>
      </w:r>
      <w:r w:rsidR="00526502">
        <w:rPr>
          <w:noProof/>
          <w:szCs w:val="24"/>
        </w:rPr>
        <w:t xml:space="preserve">. This </w:t>
      </w:r>
      <w:r w:rsidR="009C496D">
        <w:rPr>
          <w:noProof/>
          <w:szCs w:val="24"/>
        </w:rPr>
        <w:t xml:space="preserve">assumption </w:t>
      </w:r>
      <w:r w:rsidR="00526502">
        <w:rPr>
          <w:noProof/>
          <w:szCs w:val="24"/>
        </w:rPr>
        <w:t xml:space="preserve">is </w:t>
      </w:r>
      <w:r w:rsidR="00AF4BE3">
        <w:rPr>
          <w:noProof/>
          <w:szCs w:val="24"/>
        </w:rPr>
        <w:t>justified by</w:t>
      </w:r>
      <w:r w:rsidR="009C496D">
        <w:rPr>
          <w:noProof/>
          <w:szCs w:val="24"/>
        </w:rPr>
        <w:t xml:space="preserve"> the numerous improvements introduced in policy options 1 to 4 </w:t>
      </w:r>
      <w:r w:rsidR="00AF4BE3">
        <w:rPr>
          <w:noProof/>
          <w:szCs w:val="24"/>
        </w:rPr>
        <w:t>as compared</w:t>
      </w:r>
      <w:r w:rsidR="009C496D">
        <w:rPr>
          <w:noProof/>
          <w:szCs w:val="24"/>
        </w:rPr>
        <w:t xml:space="preserve"> to the EUTR (a detailed list of those improvements is contained in section</w:t>
      </w:r>
      <w:r w:rsidR="004F7032">
        <w:rPr>
          <w:noProof/>
          <w:szCs w:val="24"/>
        </w:rPr>
        <w:t>s</w:t>
      </w:r>
      <w:r w:rsidR="009C496D">
        <w:rPr>
          <w:noProof/>
          <w:szCs w:val="24"/>
        </w:rPr>
        <w:t xml:space="preserve"> 5.3.1</w:t>
      </w:r>
      <w:r w:rsidR="004F7032">
        <w:rPr>
          <w:noProof/>
          <w:szCs w:val="24"/>
        </w:rPr>
        <w:t xml:space="preserve"> and 5.3.2.</w:t>
      </w:r>
      <w:r w:rsidR="009C496D">
        <w:rPr>
          <w:noProof/>
          <w:szCs w:val="24"/>
        </w:rPr>
        <w:t>)</w:t>
      </w:r>
      <w:r w:rsidR="00A65270">
        <w:rPr>
          <w:noProof/>
          <w:szCs w:val="24"/>
        </w:rPr>
        <w:t xml:space="preserve"> These new features of the “improved due diligence,” as </w:t>
      </w:r>
      <w:r w:rsidR="00AF4BE3">
        <w:rPr>
          <w:noProof/>
          <w:szCs w:val="24"/>
        </w:rPr>
        <w:t xml:space="preserve">foreseen </w:t>
      </w:r>
      <w:r w:rsidR="00A65270">
        <w:rPr>
          <w:noProof/>
          <w:szCs w:val="24"/>
        </w:rPr>
        <w:t xml:space="preserve">in policy options 1 to 4, </w:t>
      </w:r>
      <w:r w:rsidR="009C496D">
        <w:rPr>
          <w:noProof/>
          <w:szCs w:val="24"/>
        </w:rPr>
        <w:t xml:space="preserve">aim at correcting the </w:t>
      </w:r>
      <w:r w:rsidR="00A65270">
        <w:rPr>
          <w:noProof/>
          <w:szCs w:val="24"/>
        </w:rPr>
        <w:t xml:space="preserve">design and implementation </w:t>
      </w:r>
      <w:r w:rsidR="009C496D">
        <w:rPr>
          <w:noProof/>
          <w:szCs w:val="24"/>
        </w:rPr>
        <w:t>problems that have marred the effectiveness of EUTR.</w:t>
      </w:r>
      <w:r w:rsidR="00A65270">
        <w:rPr>
          <w:noProof/>
          <w:szCs w:val="24"/>
        </w:rPr>
        <w:t xml:space="preserve"> Beyond that minimum</w:t>
      </w:r>
      <w:r w:rsidR="009B4387">
        <w:rPr>
          <w:noProof/>
          <w:szCs w:val="24"/>
        </w:rPr>
        <w:t>, the</w:t>
      </w:r>
      <w:r w:rsidR="00A65270">
        <w:rPr>
          <w:noProof/>
          <w:szCs w:val="24"/>
        </w:rPr>
        <w:t xml:space="preserve"> analysis </w:t>
      </w:r>
      <w:r w:rsidR="009B4387">
        <w:rPr>
          <w:noProof/>
          <w:szCs w:val="24"/>
        </w:rPr>
        <w:t xml:space="preserve">of effectiveness </w:t>
      </w:r>
      <w:r w:rsidR="00A65270">
        <w:rPr>
          <w:noProof/>
          <w:szCs w:val="24"/>
        </w:rPr>
        <w:t xml:space="preserve">is </w:t>
      </w:r>
      <w:r w:rsidR="00F670F8">
        <w:rPr>
          <w:noProof/>
          <w:szCs w:val="24"/>
        </w:rPr>
        <w:t>done</w:t>
      </w:r>
      <w:r w:rsidR="00A65270">
        <w:rPr>
          <w:noProof/>
          <w:szCs w:val="24"/>
        </w:rPr>
        <w:t xml:space="preserve"> qualitatively</w:t>
      </w:r>
      <w:r w:rsidR="00DD6FAB">
        <w:rPr>
          <w:noProof/>
          <w:szCs w:val="24"/>
        </w:rPr>
        <w:t>.</w:t>
      </w:r>
    </w:p>
    <w:p w14:paraId="47A5B540" w14:textId="48F05ACA" w:rsidR="00324ECA" w:rsidRDefault="00324ECA" w:rsidP="00324ECA">
      <w:pPr>
        <w:jc w:val="both"/>
        <w:rPr>
          <w:noProof/>
          <w:szCs w:val="24"/>
        </w:rPr>
      </w:pPr>
      <w:r>
        <w:rPr>
          <w:noProof/>
          <w:szCs w:val="24"/>
        </w:rPr>
        <w:t xml:space="preserve">It is </w:t>
      </w:r>
      <w:r w:rsidRPr="007C1494">
        <w:rPr>
          <w:noProof/>
          <w:szCs w:val="24"/>
        </w:rPr>
        <w:t>assume</w:t>
      </w:r>
      <w:r>
        <w:rPr>
          <w:noProof/>
          <w:szCs w:val="24"/>
        </w:rPr>
        <w:t>d</w:t>
      </w:r>
      <w:r w:rsidRPr="007C1494">
        <w:rPr>
          <w:noProof/>
          <w:szCs w:val="24"/>
        </w:rPr>
        <w:t xml:space="preserve"> that </w:t>
      </w:r>
      <w:r>
        <w:rPr>
          <w:noProof/>
          <w:szCs w:val="24"/>
        </w:rPr>
        <w:t xml:space="preserve">it will take time for operators and enforcement authorities to get accustomed to </w:t>
      </w:r>
      <w:r w:rsidRPr="007C1494">
        <w:rPr>
          <w:noProof/>
          <w:szCs w:val="24"/>
        </w:rPr>
        <w:t>the regulation</w:t>
      </w:r>
      <w:r>
        <w:rPr>
          <w:noProof/>
          <w:szCs w:val="24"/>
        </w:rPr>
        <w:t xml:space="preserve"> and to achieve full implementation both by operators and competent authorities of EU Member States. </w:t>
      </w:r>
      <w:r w:rsidRPr="007C1494">
        <w:rPr>
          <w:noProof/>
          <w:szCs w:val="24"/>
        </w:rPr>
        <w:t>2030</w:t>
      </w:r>
      <w:r>
        <w:rPr>
          <w:noProof/>
          <w:szCs w:val="24"/>
        </w:rPr>
        <w:t xml:space="preserve"> has been chosen as the year for the comparison with the baseline. </w:t>
      </w:r>
      <w:r w:rsidRPr="00F258EC">
        <w:rPr>
          <w:noProof/>
          <w:szCs w:val="24"/>
        </w:rPr>
        <w:t xml:space="preserve">The </w:t>
      </w:r>
      <w:r>
        <w:rPr>
          <w:noProof/>
          <w:szCs w:val="24"/>
        </w:rPr>
        <w:t>baseline (section 5.2) is that</w:t>
      </w:r>
      <w:r w:rsidRPr="00F258EC">
        <w:rPr>
          <w:noProof/>
          <w:szCs w:val="24"/>
        </w:rPr>
        <w:t xml:space="preserve"> </w:t>
      </w:r>
      <w:r>
        <w:rPr>
          <w:noProof/>
          <w:szCs w:val="24"/>
        </w:rPr>
        <w:t xml:space="preserve">— without a new policy intervention — the EU will provoke </w:t>
      </w:r>
      <w:r w:rsidRPr="00F258EC">
        <w:rPr>
          <w:noProof/>
          <w:szCs w:val="24"/>
        </w:rPr>
        <w:t>248</w:t>
      </w:r>
      <w:r>
        <w:rPr>
          <w:noProof/>
          <w:szCs w:val="24"/>
        </w:rPr>
        <w:t>,000</w:t>
      </w:r>
      <w:r w:rsidRPr="00F258EC">
        <w:rPr>
          <w:noProof/>
          <w:szCs w:val="24"/>
        </w:rPr>
        <w:t xml:space="preserve"> </w:t>
      </w:r>
      <w:r>
        <w:rPr>
          <w:noProof/>
          <w:szCs w:val="24"/>
        </w:rPr>
        <w:t xml:space="preserve">hectares of </w:t>
      </w:r>
      <w:r w:rsidRPr="00F258EC">
        <w:rPr>
          <w:noProof/>
          <w:szCs w:val="24"/>
        </w:rPr>
        <w:t xml:space="preserve">deforestation and 110 </w:t>
      </w:r>
      <w:r>
        <w:rPr>
          <w:noProof/>
          <w:szCs w:val="24"/>
        </w:rPr>
        <w:t xml:space="preserve">million metric tons </w:t>
      </w:r>
      <w:r w:rsidRPr="00F258EC">
        <w:rPr>
          <w:noProof/>
          <w:szCs w:val="24"/>
        </w:rPr>
        <w:t xml:space="preserve">of carbon dioxide </w:t>
      </w:r>
      <w:r>
        <w:rPr>
          <w:noProof/>
          <w:szCs w:val="24"/>
        </w:rPr>
        <w:t xml:space="preserve">(MtCO2) </w:t>
      </w:r>
      <w:r w:rsidRPr="00F258EC">
        <w:rPr>
          <w:noProof/>
          <w:szCs w:val="24"/>
        </w:rPr>
        <w:t xml:space="preserve">emissions </w:t>
      </w:r>
      <w:r>
        <w:rPr>
          <w:noProof/>
          <w:szCs w:val="24"/>
        </w:rPr>
        <w:t xml:space="preserve">per year by </w:t>
      </w:r>
      <w:r w:rsidRPr="00F258EC">
        <w:rPr>
          <w:noProof/>
          <w:szCs w:val="24"/>
        </w:rPr>
        <w:t>2030</w:t>
      </w:r>
      <w:r>
        <w:rPr>
          <w:noProof/>
          <w:szCs w:val="24"/>
        </w:rPr>
        <w:t xml:space="preserve"> via the consumption and production of the six commodities included in the product scope</w:t>
      </w:r>
      <w:r w:rsidRPr="00F258EC">
        <w:rPr>
          <w:noProof/>
          <w:szCs w:val="24"/>
        </w:rPr>
        <w:t>.</w:t>
      </w:r>
      <w:r>
        <w:rPr>
          <w:noProof/>
          <w:szCs w:val="24"/>
        </w:rPr>
        <w:t xml:space="preserve"> </w:t>
      </w:r>
    </w:p>
    <w:p w14:paraId="5D21C0A7" w14:textId="77777777" w:rsidR="00324ECA" w:rsidRDefault="00324ECA" w:rsidP="00324ECA">
      <w:pPr>
        <w:jc w:val="both"/>
        <w:rPr>
          <w:noProof/>
          <w:szCs w:val="24"/>
        </w:rPr>
      </w:pPr>
      <w:r w:rsidRPr="00760984">
        <w:rPr>
          <w:noProof/>
          <w:szCs w:val="24"/>
        </w:rPr>
        <w:t xml:space="preserve">In order to </w:t>
      </w:r>
      <w:r>
        <w:rPr>
          <w:noProof/>
          <w:szCs w:val="24"/>
        </w:rPr>
        <w:t>quantify</w:t>
      </w:r>
      <w:r w:rsidRPr="00760984">
        <w:rPr>
          <w:noProof/>
          <w:szCs w:val="24"/>
        </w:rPr>
        <w:t xml:space="preserve"> the benefits in terms of avoided emissions of GHG, </w:t>
      </w:r>
      <w:r w:rsidRPr="00D71A8D">
        <w:rPr>
          <w:noProof/>
          <w:szCs w:val="24"/>
        </w:rPr>
        <w:t xml:space="preserve">a carbon cost of 100 EUR per tonne of CO2 is used. </w:t>
      </w:r>
      <w:r>
        <w:rPr>
          <w:noProof/>
          <w:szCs w:val="24"/>
        </w:rPr>
        <w:t xml:space="preserve">This carbon price is measured in euros from 2016 and taken from the </w:t>
      </w:r>
      <w:r w:rsidRPr="00760984">
        <w:rPr>
          <w:noProof/>
          <w:szCs w:val="24"/>
        </w:rPr>
        <w:t xml:space="preserve">Handbook on the </w:t>
      </w:r>
      <w:r>
        <w:rPr>
          <w:noProof/>
          <w:szCs w:val="24"/>
        </w:rPr>
        <w:t>E</w:t>
      </w:r>
      <w:r w:rsidRPr="00760984">
        <w:rPr>
          <w:noProof/>
          <w:szCs w:val="24"/>
        </w:rPr>
        <w:t xml:space="preserve">xternal </w:t>
      </w:r>
      <w:r>
        <w:rPr>
          <w:noProof/>
          <w:szCs w:val="24"/>
        </w:rPr>
        <w:t>C</w:t>
      </w:r>
      <w:r w:rsidRPr="00760984">
        <w:rPr>
          <w:noProof/>
          <w:szCs w:val="24"/>
        </w:rPr>
        <w:t xml:space="preserve">osts of </w:t>
      </w:r>
      <w:r>
        <w:rPr>
          <w:noProof/>
          <w:szCs w:val="24"/>
        </w:rPr>
        <w:t>T</w:t>
      </w:r>
      <w:r w:rsidRPr="00760984">
        <w:rPr>
          <w:noProof/>
          <w:szCs w:val="24"/>
        </w:rPr>
        <w:t>ransport</w:t>
      </w:r>
      <w:r w:rsidRPr="00760984">
        <w:rPr>
          <w:rStyle w:val="FootnoteReference"/>
          <w:noProof/>
          <w:szCs w:val="24"/>
        </w:rPr>
        <w:footnoteReference w:id="123"/>
      </w:r>
      <w:r>
        <w:rPr>
          <w:noProof/>
          <w:szCs w:val="24"/>
        </w:rPr>
        <w:t>, which analysed diverse carbon price scenarios in the medium and long term</w:t>
      </w:r>
      <w:r w:rsidRPr="00D71A8D">
        <w:rPr>
          <w:noProof/>
          <w:szCs w:val="24"/>
        </w:rPr>
        <w:t>.</w:t>
      </w:r>
      <w:r>
        <w:rPr>
          <w:noProof/>
          <w:szCs w:val="24"/>
        </w:rPr>
        <w:t xml:space="preserve"> 100 EUR is the central scenario up to 2030. It is also in line with rising carbon prices as reflected in the EU Emissions Trading System</w:t>
      </w:r>
      <w:r>
        <w:rPr>
          <w:rStyle w:val="FootnoteReference"/>
          <w:noProof/>
          <w:szCs w:val="24"/>
        </w:rPr>
        <w:footnoteReference w:id="124"/>
      </w:r>
      <w:r>
        <w:rPr>
          <w:noProof/>
          <w:szCs w:val="24"/>
        </w:rPr>
        <w:t>, where the price per tonne of CO2 equivalent surpassed 50 EUR in May 2021.</w:t>
      </w:r>
    </w:p>
    <w:p w14:paraId="5F1BB7CF" w14:textId="038C05BF" w:rsidR="00324ECA" w:rsidRDefault="00324ECA" w:rsidP="00843E59">
      <w:pPr>
        <w:jc w:val="both"/>
        <w:rPr>
          <w:rFonts w:cs="Times New Roman"/>
          <w:noProof/>
          <w:szCs w:val="24"/>
        </w:rPr>
      </w:pPr>
      <w:r>
        <w:rPr>
          <w:rFonts w:cs="Times New Roman"/>
          <w:noProof/>
          <w:szCs w:val="24"/>
        </w:rPr>
        <w:t>Taking into account these factors, it is expected that options 1 to 4</w:t>
      </w:r>
      <w:r w:rsidRPr="007C1494">
        <w:rPr>
          <w:rFonts w:cs="Times New Roman"/>
          <w:noProof/>
          <w:szCs w:val="24"/>
        </w:rPr>
        <w:t xml:space="preserve"> should be able to prevent </w:t>
      </w:r>
      <w:r>
        <w:rPr>
          <w:rFonts w:cs="Times New Roman"/>
          <w:noProof/>
          <w:szCs w:val="24"/>
        </w:rPr>
        <w:t xml:space="preserve">a minimum of 29% of deforestation driven by consumption and production of the six commodities included in the scope by 2030, </w:t>
      </w:r>
      <w:r w:rsidR="005020F6">
        <w:rPr>
          <w:rFonts w:cs="Times New Roman"/>
          <w:noProof/>
          <w:szCs w:val="24"/>
        </w:rPr>
        <w:t xml:space="preserve">and therefore a minimum of 71,920 hectares of forest less affected by EU-driven deforestation and forest degradation </w:t>
      </w:r>
      <w:r w:rsidR="005020F6" w:rsidRPr="007C1494">
        <w:rPr>
          <w:rFonts w:cs="Times New Roman"/>
          <w:noProof/>
          <w:szCs w:val="24"/>
        </w:rPr>
        <w:t>starting in 2030</w:t>
      </w:r>
      <w:r w:rsidR="005020F6" w:rsidRPr="007C1494">
        <w:rPr>
          <w:rStyle w:val="FootnoteReference"/>
          <w:noProof/>
        </w:rPr>
        <w:footnoteReference w:id="125"/>
      </w:r>
      <w:r w:rsidR="005020F6" w:rsidRPr="007C1494">
        <w:rPr>
          <w:rFonts w:cs="Times New Roman"/>
          <w:noProof/>
          <w:szCs w:val="24"/>
        </w:rPr>
        <w:t>.</w:t>
      </w:r>
      <w:r w:rsidRPr="007C1494">
        <w:rPr>
          <w:rFonts w:cs="Times New Roman"/>
          <w:noProof/>
          <w:szCs w:val="24"/>
        </w:rPr>
        <w:t xml:space="preserve"> </w:t>
      </w:r>
      <w:r>
        <w:rPr>
          <w:rFonts w:cs="Times New Roman"/>
          <w:noProof/>
          <w:szCs w:val="24"/>
        </w:rPr>
        <w:t xml:space="preserve">This would </w:t>
      </w:r>
      <w:r w:rsidR="00CD703B">
        <w:rPr>
          <w:rFonts w:cs="Times New Roman"/>
          <w:noProof/>
          <w:szCs w:val="24"/>
        </w:rPr>
        <w:t xml:space="preserve">also </w:t>
      </w:r>
      <w:r>
        <w:rPr>
          <w:rFonts w:cs="Times New Roman"/>
          <w:noProof/>
          <w:szCs w:val="24"/>
        </w:rPr>
        <w:t xml:space="preserve">mean a </w:t>
      </w:r>
      <w:r w:rsidR="00CD703B">
        <w:rPr>
          <w:rFonts w:cs="Times New Roman"/>
          <w:noProof/>
          <w:szCs w:val="24"/>
        </w:rPr>
        <w:t xml:space="preserve">minimum of </w:t>
      </w:r>
      <w:r w:rsidRPr="00C03274">
        <w:rPr>
          <w:rFonts w:cs="Times New Roman"/>
          <w:noProof/>
          <w:szCs w:val="24"/>
        </w:rPr>
        <w:t>31.9</w:t>
      </w:r>
      <w:r>
        <w:rPr>
          <w:rFonts w:cs="Times New Roman"/>
          <w:noProof/>
          <w:szCs w:val="24"/>
        </w:rPr>
        <w:t xml:space="preserve"> million metric tons of carbon fewer emitted to the atmosphere every year due to EU consumption and production of the relevant commodities, which could be translated into economic savings of </w:t>
      </w:r>
      <w:r w:rsidR="00CD703B">
        <w:rPr>
          <w:rFonts w:cs="Times New Roman"/>
          <w:noProof/>
          <w:szCs w:val="24"/>
        </w:rPr>
        <w:t>at least</w:t>
      </w:r>
      <w:r>
        <w:rPr>
          <w:rFonts w:cs="Times New Roman"/>
          <w:noProof/>
          <w:szCs w:val="24"/>
        </w:rPr>
        <w:t xml:space="preserve"> 3.2 billion EUR annually.</w:t>
      </w:r>
    </w:p>
    <w:p w14:paraId="2DC513C1" w14:textId="4E70A931" w:rsidR="00D648BF" w:rsidRDefault="00D648BF" w:rsidP="00843E59">
      <w:pPr>
        <w:jc w:val="both"/>
        <w:rPr>
          <w:noProof/>
          <w:szCs w:val="24"/>
        </w:rPr>
      </w:pPr>
      <w:r>
        <w:rPr>
          <w:noProof/>
          <w:szCs w:val="24"/>
        </w:rPr>
        <w:t xml:space="preserve">Beyond that minimum level, a qualitative analysis is made </w:t>
      </w:r>
      <w:r w:rsidR="008847B7">
        <w:rPr>
          <w:noProof/>
          <w:szCs w:val="24"/>
        </w:rPr>
        <w:t xml:space="preserve">below </w:t>
      </w:r>
      <w:r>
        <w:rPr>
          <w:noProof/>
          <w:szCs w:val="24"/>
        </w:rPr>
        <w:t xml:space="preserve">concluding that option 2 could provide the highest effectiveness due to the enhanced features of the benchmarking system. The effectiveness of option 3 is expected to be significantly below option 2, but above options 1 and 4. It is estimated that the latter </w:t>
      </w:r>
      <w:r w:rsidR="00317046">
        <w:rPr>
          <w:noProof/>
          <w:szCs w:val="24"/>
        </w:rPr>
        <w:t xml:space="preserve">two </w:t>
      </w:r>
      <w:r>
        <w:rPr>
          <w:noProof/>
          <w:szCs w:val="24"/>
        </w:rPr>
        <w:t>will deliver similar effectiveness — still significantly above the minimum — resulting from the fact that the mandatory labelling of option 4 is merely for information purposes.</w:t>
      </w:r>
    </w:p>
    <w:p w14:paraId="43DE1515" w14:textId="4A116536" w:rsidR="00843E59" w:rsidRDefault="009B4387" w:rsidP="00843E59">
      <w:pPr>
        <w:jc w:val="both"/>
        <w:rPr>
          <w:noProof/>
          <w:szCs w:val="24"/>
        </w:rPr>
      </w:pPr>
      <w:r>
        <w:rPr>
          <w:noProof/>
          <w:szCs w:val="24"/>
        </w:rPr>
        <w:t xml:space="preserve">For policy option 5, the </w:t>
      </w:r>
      <w:r w:rsidR="00AC791B">
        <w:rPr>
          <w:noProof/>
          <w:szCs w:val="24"/>
        </w:rPr>
        <w:t xml:space="preserve">conducted </w:t>
      </w:r>
      <w:r>
        <w:rPr>
          <w:noProof/>
          <w:szCs w:val="24"/>
        </w:rPr>
        <w:t xml:space="preserve">analysis is </w:t>
      </w:r>
      <w:r w:rsidR="00AC791B">
        <w:rPr>
          <w:noProof/>
          <w:szCs w:val="24"/>
        </w:rPr>
        <w:t>only</w:t>
      </w:r>
      <w:r>
        <w:rPr>
          <w:noProof/>
          <w:szCs w:val="24"/>
        </w:rPr>
        <w:t xml:space="preserve"> qualitative due to the lack of precise information on </w:t>
      </w:r>
      <w:r w:rsidR="005D7AEB">
        <w:rPr>
          <w:noProof/>
          <w:szCs w:val="24"/>
        </w:rPr>
        <w:t xml:space="preserve">the </w:t>
      </w:r>
      <w:r>
        <w:rPr>
          <w:noProof/>
          <w:szCs w:val="24"/>
        </w:rPr>
        <w:t>effectiveness o</w:t>
      </w:r>
      <w:r w:rsidR="00B549D5">
        <w:rPr>
          <w:noProof/>
          <w:szCs w:val="24"/>
        </w:rPr>
        <w:t>f</w:t>
      </w:r>
      <w:r>
        <w:rPr>
          <w:noProof/>
          <w:szCs w:val="24"/>
        </w:rPr>
        <w:t xml:space="preserve"> the EU rules to combat i</w:t>
      </w:r>
      <w:r w:rsidRPr="009B4387">
        <w:rPr>
          <w:noProof/>
          <w:szCs w:val="24"/>
        </w:rPr>
        <w:t>llegal, unreported and unregulated fishing (IUU</w:t>
      </w:r>
      <w:r>
        <w:rPr>
          <w:noProof/>
          <w:szCs w:val="24"/>
        </w:rPr>
        <w:t>), on which the system is based.</w:t>
      </w:r>
    </w:p>
    <w:p w14:paraId="4A78D623" w14:textId="3C2D307F" w:rsidR="006613A8" w:rsidRPr="007C1494" w:rsidRDefault="00320B59" w:rsidP="00C830BB">
      <w:pPr>
        <w:jc w:val="both"/>
        <w:rPr>
          <w:noProof/>
          <w:szCs w:val="24"/>
        </w:rPr>
      </w:pPr>
      <w:r>
        <w:rPr>
          <w:noProof/>
          <w:szCs w:val="24"/>
        </w:rPr>
        <w:t>T</w:t>
      </w:r>
      <w:r w:rsidR="005D42D0">
        <w:rPr>
          <w:noProof/>
          <w:szCs w:val="24"/>
        </w:rPr>
        <w:t>he impact on biodiversity</w:t>
      </w:r>
      <w:r>
        <w:rPr>
          <w:noProof/>
          <w:szCs w:val="24"/>
        </w:rPr>
        <w:t xml:space="preserve"> is more difficult to quantify. </w:t>
      </w:r>
      <w:r w:rsidRPr="0033101E">
        <w:rPr>
          <w:rFonts w:eastAsia="Times New Roman" w:cs="Times New Roman"/>
          <w:noProof/>
          <w:szCs w:val="24"/>
        </w:rPr>
        <w:t xml:space="preserve">Over </w:t>
      </w:r>
      <w:r>
        <w:rPr>
          <w:rFonts w:eastAsia="Times New Roman" w:cs="Times New Roman"/>
          <w:noProof/>
          <w:szCs w:val="24"/>
        </w:rPr>
        <w:t>one</w:t>
      </w:r>
      <w:r w:rsidRPr="0033101E">
        <w:rPr>
          <w:rFonts w:eastAsia="Times New Roman" w:cs="Times New Roman"/>
          <w:noProof/>
          <w:szCs w:val="24"/>
        </w:rPr>
        <w:t xml:space="preserve"> million species are threatened with extinction </w:t>
      </w:r>
      <w:r>
        <w:rPr>
          <w:rFonts w:eastAsia="Times New Roman" w:cs="Times New Roman"/>
          <w:noProof/>
          <w:szCs w:val="24"/>
        </w:rPr>
        <w:t xml:space="preserve">globally. </w:t>
      </w:r>
      <w:r w:rsidR="00394693">
        <w:rPr>
          <w:rFonts w:eastAsia="Times New Roman" w:cs="Times New Roman"/>
          <w:noProof/>
          <w:szCs w:val="24"/>
        </w:rPr>
        <w:t xml:space="preserve">Land use change, including </w:t>
      </w:r>
      <w:r w:rsidR="00394693" w:rsidRPr="00DA188D">
        <w:rPr>
          <w:rFonts w:eastAsia="Times New Roman" w:cs="Times New Roman"/>
          <w:noProof/>
          <w:szCs w:val="24"/>
        </w:rPr>
        <w:t>deforestation, is t</w:t>
      </w:r>
      <w:r w:rsidRPr="00DA188D">
        <w:rPr>
          <w:rFonts w:eastAsia="Times New Roman" w:cs="Times New Roman"/>
          <w:noProof/>
          <w:szCs w:val="24"/>
        </w:rPr>
        <w:t>he main driver of biodiversity loss on land</w:t>
      </w:r>
      <w:r w:rsidRPr="00DA188D">
        <w:rPr>
          <w:rFonts w:eastAsia="Times New Roman" w:cs="Times New Roman"/>
          <w:noProof/>
          <w:szCs w:val="24"/>
          <w:vertAlign w:val="superscript"/>
        </w:rPr>
        <w:footnoteReference w:id="126"/>
      </w:r>
      <w:r w:rsidRPr="00DA188D">
        <w:rPr>
          <w:rFonts w:eastAsia="Times New Roman" w:cs="Times New Roman"/>
          <w:noProof/>
          <w:szCs w:val="24"/>
        </w:rPr>
        <w:t xml:space="preserve">. </w:t>
      </w:r>
      <w:r w:rsidRPr="00DA188D">
        <w:rPr>
          <w:noProof/>
          <w:szCs w:val="24"/>
        </w:rPr>
        <w:t xml:space="preserve">A </w:t>
      </w:r>
      <w:r w:rsidR="005D42D0" w:rsidRPr="00DA188D">
        <w:rPr>
          <w:noProof/>
          <w:szCs w:val="24"/>
        </w:rPr>
        <w:t>2016 analysis</w:t>
      </w:r>
      <w:r w:rsidR="005D42D0" w:rsidRPr="00DA188D">
        <w:rPr>
          <w:rStyle w:val="FootnoteReference"/>
          <w:noProof/>
          <w:szCs w:val="24"/>
        </w:rPr>
        <w:footnoteReference w:id="127"/>
      </w:r>
      <w:r w:rsidR="005D42D0" w:rsidRPr="00DA188D">
        <w:rPr>
          <w:noProof/>
          <w:szCs w:val="24"/>
        </w:rPr>
        <w:t>, based on the Nature Red List of Threatened Species by the International Union for Conservation</w:t>
      </w:r>
      <w:r w:rsidR="00F670F8" w:rsidRPr="00DA188D">
        <w:rPr>
          <w:noProof/>
          <w:szCs w:val="24"/>
        </w:rPr>
        <w:t xml:space="preserve"> of Nature (IUCN)</w:t>
      </w:r>
      <w:r w:rsidR="005D42D0" w:rsidRPr="00DA188D">
        <w:rPr>
          <w:noProof/>
          <w:szCs w:val="24"/>
        </w:rPr>
        <w:t xml:space="preserve">, estimated that around 11,738 species were threatened by logging, crop farming, livestock farming and timber plantations. It is to be expected that the </w:t>
      </w:r>
      <w:r w:rsidRPr="00DA188D">
        <w:rPr>
          <w:noProof/>
          <w:szCs w:val="24"/>
        </w:rPr>
        <w:t>EU intervention will</w:t>
      </w:r>
      <w:r>
        <w:rPr>
          <w:noProof/>
          <w:szCs w:val="24"/>
        </w:rPr>
        <w:t xml:space="preserve"> reduce</w:t>
      </w:r>
      <w:r w:rsidR="005D42D0">
        <w:rPr>
          <w:noProof/>
          <w:szCs w:val="24"/>
        </w:rPr>
        <w:t xml:space="preserve"> this kind of forest </w:t>
      </w:r>
      <w:r>
        <w:rPr>
          <w:noProof/>
          <w:szCs w:val="24"/>
        </w:rPr>
        <w:t>damage</w:t>
      </w:r>
      <w:r w:rsidR="005D42D0">
        <w:rPr>
          <w:noProof/>
          <w:szCs w:val="24"/>
        </w:rPr>
        <w:t xml:space="preserve"> </w:t>
      </w:r>
      <w:r>
        <w:rPr>
          <w:noProof/>
          <w:szCs w:val="24"/>
        </w:rPr>
        <w:t xml:space="preserve">and </w:t>
      </w:r>
      <w:r w:rsidR="005D42D0">
        <w:rPr>
          <w:noProof/>
          <w:szCs w:val="24"/>
        </w:rPr>
        <w:t xml:space="preserve">will therefore have a positive impact on biodiversity. This analysis is </w:t>
      </w:r>
      <w:r w:rsidR="00F670F8">
        <w:rPr>
          <w:noProof/>
          <w:szCs w:val="24"/>
        </w:rPr>
        <w:t>done</w:t>
      </w:r>
      <w:r w:rsidR="002B038B">
        <w:rPr>
          <w:noProof/>
          <w:szCs w:val="24"/>
        </w:rPr>
        <w:t xml:space="preserve"> qualitatively due to the challenges of precise quantification.</w:t>
      </w:r>
    </w:p>
    <w:p w14:paraId="562C75D1" w14:textId="40FC9763" w:rsidR="00244E6A" w:rsidRPr="007C1494" w:rsidRDefault="00335526" w:rsidP="00335526">
      <w:pPr>
        <w:pStyle w:val="Heading3"/>
        <w:rPr>
          <w:noProof/>
        </w:rPr>
      </w:pPr>
      <w:bookmarkStart w:id="157" w:name="_Toc67075000"/>
      <w:bookmarkStart w:id="158" w:name="_Toc75542196"/>
      <w:bookmarkStart w:id="159" w:name="_Toc75543229"/>
      <w:bookmarkStart w:id="160" w:name="_Toc84591917"/>
      <w:r w:rsidRPr="00335526">
        <w:t>6.1.2</w:t>
      </w:r>
      <w:r w:rsidRPr="00335526">
        <w:tab/>
      </w:r>
      <w:r w:rsidR="0075180D" w:rsidRPr="007C1494">
        <w:rPr>
          <w:noProof/>
        </w:rPr>
        <w:t>Economic impacts</w:t>
      </w:r>
      <w:bookmarkEnd w:id="157"/>
      <w:bookmarkEnd w:id="158"/>
      <w:bookmarkEnd w:id="159"/>
      <w:bookmarkEnd w:id="160"/>
    </w:p>
    <w:p w14:paraId="028D9F55" w14:textId="408CFD19" w:rsidR="002D1909" w:rsidRPr="007C1494" w:rsidRDefault="00BA5974" w:rsidP="00F51105">
      <w:pPr>
        <w:jc w:val="both"/>
        <w:rPr>
          <w:rFonts w:cs="Times New Roman"/>
          <w:noProof/>
          <w:szCs w:val="24"/>
        </w:rPr>
      </w:pPr>
      <w:r w:rsidRPr="007C1494">
        <w:rPr>
          <w:rFonts w:cs="Times New Roman"/>
          <w:noProof/>
          <w:szCs w:val="24"/>
        </w:rPr>
        <w:t xml:space="preserve">While the amount and type of </w:t>
      </w:r>
      <w:r w:rsidR="00343FFA" w:rsidRPr="007C1494">
        <w:rPr>
          <w:rFonts w:cs="Times New Roman"/>
          <w:noProof/>
          <w:szCs w:val="24"/>
        </w:rPr>
        <w:t>impacts</w:t>
      </w:r>
      <w:r w:rsidR="00AF0D6B" w:rsidRPr="007C1494">
        <w:rPr>
          <w:rFonts w:cs="Times New Roman"/>
          <w:noProof/>
          <w:szCs w:val="24"/>
        </w:rPr>
        <w:t xml:space="preserve"> will </w:t>
      </w:r>
      <w:r w:rsidRPr="007C1494">
        <w:rPr>
          <w:rFonts w:cs="Times New Roman"/>
          <w:noProof/>
          <w:szCs w:val="24"/>
        </w:rPr>
        <w:t xml:space="preserve">vary </w:t>
      </w:r>
      <w:r w:rsidR="00AF0D6B" w:rsidRPr="007C1494">
        <w:rPr>
          <w:rFonts w:cs="Times New Roman"/>
          <w:noProof/>
          <w:szCs w:val="24"/>
        </w:rPr>
        <w:t>depend</w:t>
      </w:r>
      <w:r w:rsidRPr="007C1494">
        <w:rPr>
          <w:rFonts w:cs="Times New Roman"/>
          <w:noProof/>
          <w:szCs w:val="24"/>
        </w:rPr>
        <w:t>ing</w:t>
      </w:r>
      <w:r w:rsidR="00AF0D6B" w:rsidRPr="007C1494">
        <w:rPr>
          <w:rFonts w:cs="Times New Roman"/>
          <w:noProof/>
          <w:szCs w:val="24"/>
        </w:rPr>
        <w:t xml:space="preserve"> on </w:t>
      </w:r>
      <w:r w:rsidRPr="007C1494">
        <w:rPr>
          <w:rFonts w:cs="Times New Roman"/>
          <w:noProof/>
          <w:szCs w:val="24"/>
        </w:rPr>
        <w:t>the specific policy option, the following main impacts are expe</w:t>
      </w:r>
      <w:r w:rsidR="00343FFA" w:rsidRPr="007C1494">
        <w:rPr>
          <w:rFonts w:cs="Times New Roman"/>
          <w:noProof/>
          <w:szCs w:val="24"/>
        </w:rPr>
        <w:t xml:space="preserve">cted to apply </w:t>
      </w:r>
      <w:r w:rsidRPr="007C1494">
        <w:rPr>
          <w:rFonts w:cs="Times New Roman"/>
          <w:noProof/>
          <w:szCs w:val="24"/>
        </w:rPr>
        <w:t>to all options.</w:t>
      </w:r>
    </w:p>
    <w:p w14:paraId="002CEC78" w14:textId="0E74FC33" w:rsidR="00BA5974" w:rsidRPr="007C1494" w:rsidRDefault="00343FFA" w:rsidP="00F51105">
      <w:pPr>
        <w:jc w:val="both"/>
        <w:rPr>
          <w:rFonts w:cs="Times New Roman"/>
          <w:b/>
          <w:noProof/>
          <w:szCs w:val="24"/>
        </w:rPr>
      </w:pPr>
      <w:r w:rsidRPr="007C1494">
        <w:rPr>
          <w:rFonts w:cs="Times New Roman"/>
          <w:b/>
          <w:noProof/>
          <w:szCs w:val="24"/>
        </w:rPr>
        <w:t xml:space="preserve">Impact on </w:t>
      </w:r>
      <w:r w:rsidR="00763994" w:rsidRPr="007C1494">
        <w:rPr>
          <w:rFonts w:cs="Times New Roman"/>
          <w:b/>
          <w:noProof/>
          <w:szCs w:val="24"/>
        </w:rPr>
        <w:t xml:space="preserve">EU </w:t>
      </w:r>
      <w:r w:rsidR="00BA5974" w:rsidRPr="007C1494">
        <w:rPr>
          <w:rFonts w:cs="Times New Roman"/>
          <w:b/>
          <w:noProof/>
          <w:szCs w:val="24"/>
        </w:rPr>
        <w:t>operators</w:t>
      </w:r>
    </w:p>
    <w:p w14:paraId="56A9CAA1" w14:textId="2E8E152B" w:rsidR="00336B98" w:rsidRDefault="009F7A03" w:rsidP="00F51105">
      <w:pPr>
        <w:jc w:val="both"/>
        <w:rPr>
          <w:rFonts w:cs="Times New Roman"/>
          <w:noProof/>
          <w:szCs w:val="24"/>
        </w:rPr>
      </w:pPr>
      <w:r w:rsidRPr="007C1494">
        <w:rPr>
          <w:rFonts w:cs="Times New Roman"/>
          <w:noProof/>
          <w:szCs w:val="24"/>
        </w:rPr>
        <w:t xml:space="preserve">For operators placing products </w:t>
      </w:r>
      <w:r w:rsidR="00336B98">
        <w:rPr>
          <w:rFonts w:cs="Times New Roman"/>
          <w:noProof/>
          <w:szCs w:val="24"/>
        </w:rPr>
        <w:t xml:space="preserve">and commodities </w:t>
      </w:r>
      <w:r w:rsidRPr="007C1494">
        <w:rPr>
          <w:rFonts w:cs="Times New Roman"/>
          <w:noProof/>
          <w:szCs w:val="24"/>
        </w:rPr>
        <w:t>on the EU market</w:t>
      </w:r>
      <w:r w:rsidR="00FA4DCD" w:rsidRPr="007C1494">
        <w:rPr>
          <w:rFonts w:cs="Times New Roman"/>
          <w:noProof/>
          <w:szCs w:val="24"/>
        </w:rPr>
        <w:t xml:space="preserve"> for the first time</w:t>
      </w:r>
      <w:r w:rsidRPr="007C1494">
        <w:rPr>
          <w:rFonts w:cs="Times New Roman"/>
          <w:noProof/>
          <w:szCs w:val="24"/>
        </w:rPr>
        <w:t xml:space="preserve">, </w:t>
      </w:r>
      <w:r w:rsidR="00E922CA">
        <w:rPr>
          <w:rFonts w:cs="Times New Roman"/>
          <w:noProof/>
          <w:szCs w:val="24"/>
        </w:rPr>
        <w:t>O</w:t>
      </w:r>
      <w:r w:rsidRPr="007C1494">
        <w:rPr>
          <w:rFonts w:cs="Times New Roman"/>
          <w:noProof/>
          <w:szCs w:val="24"/>
        </w:rPr>
        <w:t xml:space="preserve">ptions </w:t>
      </w:r>
      <w:r w:rsidR="00336B98">
        <w:rPr>
          <w:rFonts w:cs="Times New Roman"/>
          <w:noProof/>
          <w:szCs w:val="24"/>
        </w:rPr>
        <w:t xml:space="preserve">1 to 4 </w:t>
      </w:r>
      <w:r w:rsidRPr="007C1494">
        <w:rPr>
          <w:rFonts w:cs="Times New Roman"/>
          <w:noProof/>
          <w:szCs w:val="24"/>
        </w:rPr>
        <w:t xml:space="preserve">are likely to cause compliance costs </w:t>
      </w:r>
      <w:r w:rsidR="00336B98">
        <w:rPr>
          <w:rFonts w:cs="Times New Roman"/>
          <w:noProof/>
          <w:szCs w:val="24"/>
        </w:rPr>
        <w:t xml:space="preserve">linked to the establishment and operation of the due </w:t>
      </w:r>
      <w:r w:rsidR="00336B98" w:rsidDel="005044FC">
        <w:rPr>
          <w:rFonts w:cs="Times New Roman"/>
          <w:noProof/>
          <w:szCs w:val="24"/>
        </w:rPr>
        <w:t>diligence system</w:t>
      </w:r>
      <w:r w:rsidRPr="007C1494">
        <w:rPr>
          <w:rFonts w:cs="Times New Roman"/>
          <w:noProof/>
          <w:szCs w:val="24"/>
        </w:rPr>
        <w:t>.</w:t>
      </w:r>
      <w:r w:rsidR="00336B98">
        <w:rPr>
          <w:rFonts w:cs="Times New Roman"/>
          <w:noProof/>
          <w:szCs w:val="24"/>
        </w:rPr>
        <w:t xml:space="preserve"> </w:t>
      </w:r>
      <w:r w:rsidR="00E922CA">
        <w:rPr>
          <w:rFonts w:cs="Times New Roman"/>
          <w:noProof/>
          <w:szCs w:val="24"/>
        </w:rPr>
        <w:t>They may incur costs where they</w:t>
      </w:r>
      <w:r w:rsidR="00E922CA" w:rsidRPr="001C45EF">
        <w:rPr>
          <w:rFonts w:cs="Times New Roman"/>
          <w:noProof/>
          <w:szCs w:val="24"/>
        </w:rPr>
        <w:t xml:space="preserve"> </w:t>
      </w:r>
      <w:r w:rsidR="00E922CA">
        <w:rPr>
          <w:rFonts w:cs="Times New Roman"/>
          <w:noProof/>
          <w:szCs w:val="24"/>
        </w:rPr>
        <w:t xml:space="preserve">may need </w:t>
      </w:r>
      <w:r w:rsidR="00E922CA" w:rsidRPr="001C45EF">
        <w:rPr>
          <w:rFonts w:cs="Times New Roman"/>
          <w:noProof/>
          <w:szCs w:val="24"/>
        </w:rPr>
        <w:t xml:space="preserve">to support their current supplier base in </w:t>
      </w:r>
      <w:r w:rsidR="00E922CA">
        <w:rPr>
          <w:rFonts w:cs="Times New Roman"/>
          <w:noProof/>
          <w:szCs w:val="24"/>
        </w:rPr>
        <w:t xml:space="preserve">demonstrating or </w:t>
      </w:r>
      <w:r w:rsidR="00E922CA" w:rsidRPr="001C45EF">
        <w:rPr>
          <w:rFonts w:cs="Times New Roman"/>
          <w:noProof/>
          <w:szCs w:val="24"/>
        </w:rPr>
        <w:t>transitioning to deforestation-free sourcing</w:t>
      </w:r>
      <w:r w:rsidR="00E922CA">
        <w:rPr>
          <w:rFonts w:cs="Times New Roman"/>
          <w:noProof/>
          <w:szCs w:val="24"/>
        </w:rPr>
        <w:t xml:space="preserve">. </w:t>
      </w:r>
      <w:r w:rsidR="00E922CA">
        <w:rPr>
          <w:rFonts w:cs="Times New Roman"/>
          <w:noProof/>
        </w:rPr>
        <w:t>Costs related to risk mitigation in the event of identified deforestation risk will also likely be incurred.</w:t>
      </w:r>
      <w:r w:rsidR="00E922CA" w:rsidRPr="00E922CA">
        <w:rPr>
          <w:rFonts w:cs="Times New Roman"/>
          <w:noProof/>
        </w:rPr>
        <w:t xml:space="preserve"> </w:t>
      </w:r>
      <w:r w:rsidR="0071128D">
        <w:rPr>
          <w:rFonts w:cs="Times New Roman"/>
          <w:noProof/>
        </w:rPr>
        <w:t>W</w:t>
      </w:r>
      <w:r w:rsidR="00E922CA">
        <w:rPr>
          <w:rFonts w:cs="Times New Roman"/>
          <w:noProof/>
        </w:rPr>
        <w:t>here these</w:t>
      </w:r>
      <w:r w:rsidR="00E922CA">
        <w:rPr>
          <w:rFonts w:cs="Times New Roman"/>
          <w:noProof/>
          <w:szCs w:val="24"/>
        </w:rPr>
        <w:t xml:space="preserve"> </w:t>
      </w:r>
      <w:r w:rsidR="0071128D">
        <w:rPr>
          <w:rFonts w:cs="Times New Roman"/>
          <w:noProof/>
          <w:szCs w:val="24"/>
        </w:rPr>
        <w:t xml:space="preserve">risks </w:t>
      </w:r>
      <w:r w:rsidR="00E922CA">
        <w:rPr>
          <w:rFonts w:cs="Times New Roman"/>
          <w:noProof/>
          <w:szCs w:val="24"/>
        </w:rPr>
        <w:t>cannot be adequately mitigated or deforestation-free sourcing cannot be achieved through the above processes, operators may incur costs through the need to switch</w:t>
      </w:r>
      <w:r w:rsidR="00E922CA" w:rsidRPr="00E922CA">
        <w:rPr>
          <w:rFonts w:cs="Times New Roman"/>
          <w:noProof/>
          <w:szCs w:val="24"/>
        </w:rPr>
        <w:t xml:space="preserve"> </w:t>
      </w:r>
      <w:r w:rsidR="00E922CA">
        <w:rPr>
          <w:rFonts w:cs="Times New Roman"/>
          <w:noProof/>
          <w:szCs w:val="24"/>
        </w:rPr>
        <w:t>to deforestation-free supply chains.</w:t>
      </w:r>
      <w:r w:rsidR="00336B98">
        <w:rPr>
          <w:rFonts w:cs="Times New Roman"/>
          <w:noProof/>
          <w:szCs w:val="24"/>
        </w:rPr>
        <w:t xml:space="preserve"> </w:t>
      </w:r>
      <w:r w:rsidR="006F203E" w:rsidRPr="32217D54">
        <w:rPr>
          <w:rFonts w:cs="Times New Roman"/>
          <w:noProof/>
        </w:rPr>
        <w:t>Option 5</w:t>
      </w:r>
      <w:r w:rsidR="006F203E">
        <w:rPr>
          <w:rFonts w:cs="Times New Roman"/>
          <w:noProof/>
        </w:rPr>
        <w:t xml:space="preserve"> </w:t>
      </w:r>
      <w:r w:rsidR="006F203E" w:rsidRPr="32217D54">
        <w:rPr>
          <w:rFonts w:cs="Times New Roman"/>
          <w:noProof/>
        </w:rPr>
        <w:t>will not involve direct costs to EU operators.</w:t>
      </w:r>
    </w:p>
    <w:p w14:paraId="04ECFC3B" w14:textId="3CAD378A" w:rsidR="00F51105" w:rsidRPr="007C1494" w:rsidRDefault="00EA2838" w:rsidP="00F51105">
      <w:pPr>
        <w:jc w:val="both"/>
        <w:rPr>
          <w:rFonts w:cs="Times New Roman"/>
          <w:noProof/>
          <w:szCs w:val="24"/>
        </w:rPr>
      </w:pPr>
      <w:r w:rsidRPr="007C1494">
        <w:rPr>
          <w:rFonts w:cs="Times New Roman"/>
          <w:noProof/>
          <w:szCs w:val="24"/>
        </w:rPr>
        <w:t xml:space="preserve">Any </w:t>
      </w:r>
      <w:r w:rsidR="00F51105" w:rsidRPr="007C1494">
        <w:rPr>
          <w:rFonts w:cs="Times New Roman"/>
          <w:noProof/>
          <w:szCs w:val="24"/>
        </w:rPr>
        <w:t xml:space="preserve">costs </w:t>
      </w:r>
      <w:r w:rsidR="00F7111A">
        <w:rPr>
          <w:rFonts w:cs="Times New Roman"/>
          <w:noProof/>
          <w:szCs w:val="24"/>
        </w:rPr>
        <w:t xml:space="preserve">incurred by the EU operators </w:t>
      </w:r>
      <w:r w:rsidRPr="007C1494">
        <w:rPr>
          <w:rFonts w:cs="Times New Roman"/>
          <w:noProof/>
          <w:szCs w:val="24"/>
        </w:rPr>
        <w:t>would either have to</w:t>
      </w:r>
      <w:r w:rsidR="00447577" w:rsidRPr="007C1494">
        <w:rPr>
          <w:rFonts w:cs="Times New Roman"/>
          <w:noProof/>
          <w:szCs w:val="24"/>
        </w:rPr>
        <w:t xml:space="preserve"> be</w:t>
      </w:r>
      <w:r w:rsidRPr="007C1494">
        <w:rPr>
          <w:rFonts w:cs="Times New Roman"/>
          <w:noProof/>
          <w:szCs w:val="24"/>
        </w:rPr>
        <w:t xml:space="preserve"> absorbed by a reduced profit by operators along the value chain </w:t>
      </w:r>
      <w:r w:rsidR="006F203E">
        <w:rPr>
          <w:rFonts w:cs="Times New Roman"/>
          <w:noProof/>
          <w:szCs w:val="24"/>
        </w:rPr>
        <w:t>and/</w:t>
      </w:r>
      <w:r w:rsidRPr="007C1494">
        <w:rPr>
          <w:rFonts w:cs="Times New Roman"/>
          <w:noProof/>
          <w:szCs w:val="24"/>
        </w:rPr>
        <w:t xml:space="preserve">or </w:t>
      </w:r>
      <w:r w:rsidR="00F51105" w:rsidRPr="007C1494">
        <w:rPr>
          <w:rFonts w:cs="Times New Roman"/>
          <w:noProof/>
          <w:szCs w:val="24"/>
        </w:rPr>
        <w:t>eventually pass</w:t>
      </w:r>
      <w:r w:rsidRPr="007C1494">
        <w:rPr>
          <w:rFonts w:cs="Times New Roman"/>
          <w:noProof/>
          <w:szCs w:val="24"/>
        </w:rPr>
        <w:t>ed</w:t>
      </w:r>
      <w:r w:rsidR="00F51105" w:rsidRPr="007C1494">
        <w:rPr>
          <w:rFonts w:cs="Times New Roman"/>
          <w:noProof/>
          <w:szCs w:val="24"/>
        </w:rPr>
        <w:t xml:space="preserve"> through to the </w:t>
      </w:r>
      <w:r w:rsidRPr="007C1494">
        <w:rPr>
          <w:rFonts w:cs="Times New Roman"/>
          <w:noProof/>
          <w:szCs w:val="24"/>
        </w:rPr>
        <w:t xml:space="preserve">final consumer. At that stage it </w:t>
      </w:r>
      <w:r w:rsidR="00F51105" w:rsidRPr="007C1494">
        <w:rPr>
          <w:rFonts w:cs="Times New Roman"/>
          <w:noProof/>
          <w:szCs w:val="24"/>
        </w:rPr>
        <w:t>may have an impact on the price of</w:t>
      </w:r>
      <w:r w:rsidR="006F203E">
        <w:rPr>
          <w:rFonts w:cs="Times New Roman"/>
          <w:noProof/>
          <w:szCs w:val="24"/>
        </w:rPr>
        <w:t xml:space="preserve"> some commodities</w:t>
      </w:r>
      <w:r w:rsidR="00F51105" w:rsidRPr="007C1494">
        <w:rPr>
          <w:rFonts w:cs="Times New Roman"/>
          <w:noProof/>
          <w:szCs w:val="24"/>
        </w:rPr>
        <w:t xml:space="preserve">. </w:t>
      </w:r>
      <w:r w:rsidR="00FA4DCD" w:rsidRPr="007C1494">
        <w:rPr>
          <w:rFonts w:cs="Times New Roman"/>
          <w:noProof/>
          <w:szCs w:val="24"/>
        </w:rPr>
        <w:t>O</w:t>
      </w:r>
      <w:r w:rsidR="003B19BE" w:rsidRPr="007C1494">
        <w:rPr>
          <w:rFonts w:cs="Times New Roman"/>
          <w:noProof/>
          <w:szCs w:val="24"/>
        </w:rPr>
        <w:t xml:space="preserve">perators </w:t>
      </w:r>
      <w:r w:rsidR="00F51105" w:rsidRPr="007C1494">
        <w:rPr>
          <w:rFonts w:cs="Times New Roman"/>
          <w:noProof/>
          <w:szCs w:val="24"/>
        </w:rPr>
        <w:t xml:space="preserve">are, however, expected to benefit </w:t>
      </w:r>
      <w:r w:rsidR="003B19BE" w:rsidRPr="007C1494">
        <w:rPr>
          <w:rFonts w:cs="Times New Roman"/>
          <w:noProof/>
          <w:szCs w:val="24"/>
        </w:rPr>
        <w:t xml:space="preserve">from the level playing field created, namely </w:t>
      </w:r>
      <w:r w:rsidR="00D949EA" w:rsidRPr="007C1494">
        <w:rPr>
          <w:rFonts w:cs="Times New Roman"/>
          <w:noProof/>
          <w:szCs w:val="24"/>
        </w:rPr>
        <w:t xml:space="preserve">the </w:t>
      </w:r>
      <w:r w:rsidR="003B19BE" w:rsidRPr="007C1494">
        <w:rPr>
          <w:rFonts w:cs="Times New Roman"/>
          <w:noProof/>
          <w:szCs w:val="24"/>
        </w:rPr>
        <w:t xml:space="preserve">absence of competition </w:t>
      </w:r>
      <w:r w:rsidR="002E550E" w:rsidRPr="007C1494">
        <w:rPr>
          <w:rFonts w:cs="Times New Roman"/>
          <w:noProof/>
          <w:szCs w:val="24"/>
        </w:rPr>
        <w:t xml:space="preserve">from products from </w:t>
      </w:r>
      <w:r w:rsidR="003B19BE" w:rsidRPr="007C1494">
        <w:rPr>
          <w:rFonts w:cs="Times New Roman"/>
          <w:noProof/>
          <w:szCs w:val="24"/>
        </w:rPr>
        <w:t>supply chains associated with deforestation or forest degradation</w:t>
      </w:r>
      <w:r w:rsidR="00F51105" w:rsidRPr="007C1494">
        <w:rPr>
          <w:rFonts w:cs="Times New Roman"/>
          <w:noProof/>
          <w:szCs w:val="24"/>
        </w:rPr>
        <w:t>.</w:t>
      </w:r>
    </w:p>
    <w:p w14:paraId="12FB4676" w14:textId="10028678" w:rsidR="006F203E" w:rsidRPr="006F203E" w:rsidRDefault="006F203E" w:rsidP="006F203E">
      <w:pPr>
        <w:jc w:val="both"/>
        <w:rPr>
          <w:rFonts w:cs="Times New Roman"/>
          <w:noProof/>
          <w:szCs w:val="24"/>
        </w:rPr>
      </w:pPr>
      <w:r w:rsidRPr="006F203E">
        <w:rPr>
          <w:rFonts w:cs="Times New Roman"/>
          <w:noProof/>
          <w:szCs w:val="24"/>
        </w:rPr>
        <w:t xml:space="preserve">Costs to operators in carrying out </w:t>
      </w:r>
      <w:r w:rsidRPr="006F203E" w:rsidDel="003844A5">
        <w:rPr>
          <w:rFonts w:cs="Times New Roman"/>
          <w:noProof/>
          <w:szCs w:val="24"/>
        </w:rPr>
        <w:t>due diligence</w:t>
      </w:r>
      <w:r w:rsidRPr="006F203E">
        <w:rPr>
          <w:rFonts w:cs="Times New Roman"/>
          <w:noProof/>
          <w:szCs w:val="24"/>
        </w:rPr>
        <w:t xml:space="preserve"> will likely vary by commodity, as will the possibility of switching to lower-risk supply chains. Where production is concentrated in a small number of countries which are associated with commodity-driven deforestation (e.g. palm oil: Indonesia and Malaysia, cocoa: Côte d’Ivoire and Ghana</w:t>
      </w:r>
      <w:r w:rsidRPr="006F203E">
        <w:rPr>
          <w:rFonts w:cs="Times New Roman"/>
          <w:noProof/>
          <w:szCs w:val="24"/>
          <w:vertAlign w:val="superscript"/>
        </w:rPr>
        <w:footnoteReference w:id="128"/>
      </w:r>
      <w:r w:rsidRPr="006F203E">
        <w:rPr>
          <w:rFonts w:cs="Times New Roman"/>
          <w:noProof/>
          <w:szCs w:val="24"/>
        </w:rPr>
        <w:t xml:space="preserve">), there may be limited options to meet EU demand by switching to lower-risk countries (beef, soy and the majority of timber have more widespread production). </w:t>
      </w:r>
    </w:p>
    <w:p w14:paraId="4CCADF54" w14:textId="086FA485" w:rsidR="006F203E" w:rsidRPr="006F203E" w:rsidRDefault="006F203E" w:rsidP="006F203E">
      <w:pPr>
        <w:jc w:val="both"/>
        <w:rPr>
          <w:rFonts w:cs="Times New Roman"/>
          <w:noProof/>
          <w:szCs w:val="24"/>
        </w:rPr>
      </w:pPr>
      <w:r w:rsidRPr="006F203E">
        <w:rPr>
          <w:rFonts w:cs="Times New Roman"/>
          <w:noProof/>
          <w:szCs w:val="24"/>
        </w:rPr>
        <w:t xml:space="preserve">In some sectors and for some producer countries, EU operators may already have a good knowledge of their supply chains and have at least some information relevant to </w:t>
      </w:r>
      <w:r w:rsidRPr="006F203E" w:rsidDel="003844A5">
        <w:rPr>
          <w:rFonts w:cs="Times New Roman"/>
          <w:noProof/>
          <w:szCs w:val="24"/>
        </w:rPr>
        <w:t>due diligence</w:t>
      </w:r>
      <w:r w:rsidRPr="006F203E">
        <w:rPr>
          <w:rFonts w:cs="Times New Roman"/>
          <w:noProof/>
          <w:szCs w:val="24"/>
        </w:rPr>
        <w:t xml:space="preserve">, for example, where: </w:t>
      </w:r>
    </w:p>
    <w:p w14:paraId="1DE677C7" w14:textId="77777777" w:rsidR="006F203E" w:rsidRPr="006F203E" w:rsidRDefault="006F203E" w:rsidP="00362EF8">
      <w:pPr>
        <w:numPr>
          <w:ilvl w:val="0"/>
          <w:numId w:val="95"/>
        </w:numPr>
        <w:ind w:left="782" w:hanging="357"/>
        <w:contextualSpacing/>
        <w:jc w:val="both"/>
        <w:rPr>
          <w:rFonts w:cs="Times New Roman"/>
          <w:noProof/>
          <w:szCs w:val="24"/>
        </w:rPr>
      </w:pPr>
      <w:r w:rsidRPr="006F203E">
        <w:rPr>
          <w:rFonts w:cs="Times New Roman"/>
          <w:noProof/>
          <w:szCs w:val="24"/>
        </w:rPr>
        <w:t xml:space="preserve">there are existing national traceability systems; </w:t>
      </w:r>
    </w:p>
    <w:p w14:paraId="2D8DD41A" w14:textId="77777777" w:rsidR="006F203E" w:rsidRPr="006F203E" w:rsidRDefault="006F203E" w:rsidP="00386C2D">
      <w:pPr>
        <w:numPr>
          <w:ilvl w:val="0"/>
          <w:numId w:val="95"/>
        </w:numPr>
        <w:ind w:left="782" w:hanging="357"/>
        <w:contextualSpacing/>
        <w:jc w:val="both"/>
        <w:rPr>
          <w:rFonts w:cs="Times New Roman"/>
          <w:noProof/>
          <w:szCs w:val="24"/>
        </w:rPr>
      </w:pPr>
      <w:r w:rsidRPr="006F203E">
        <w:rPr>
          <w:rFonts w:cs="Times New Roman"/>
          <w:noProof/>
          <w:szCs w:val="24"/>
        </w:rPr>
        <w:t>a high proportion of trade is covered by certification schemes (e,g. in 2019, 86% of European palm imports are certified sustainable</w:t>
      </w:r>
      <w:r w:rsidRPr="006F203E">
        <w:rPr>
          <w:rFonts w:cs="Times New Roman"/>
          <w:noProof/>
          <w:szCs w:val="24"/>
          <w:vertAlign w:val="superscript"/>
        </w:rPr>
        <w:footnoteReference w:id="129"/>
      </w:r>
      <w:r w:rsidRPr="006F203E">
        <w:rPr>
          <w:rFonts w:cs="Times New Roman"/>
          <w:noProof/>
          <w:szCs w:val="24"/>
        </w:rPr>
        <w:t xml:space="preserve">, although this does not always guarantee traceability to farm or forest of origin); </w:t>
      </w:r>
    </w:p>
    <w:p w14:paraId="350EB5E0" w14:textId="77777777" w:rsidR="006F203E" w:rsidRPr="006F203E" w:rsidRDefault="006F203E" w:rsidP="00386C2D">
      <w:pPr>
        <w:numPr>
          <w:ilvl w:val="0"/>
          <w:numId w:val="95"/>
        </w:numPr>
        <w:ind w:left="782" w:hanging="357"/>
        <w:contextualSpacing/>
        <w:jc w:val="both"/>
        <w:rPr>
          <w:rFonts w:cs="Times New Roman"/>
          <w:noProof/>
          <w:szCs w:val="24"/>
        </w:rPr>
      </w:pPr>
      <w:r w:rsidRPr="006F203E">
        <w:rPr>
          <w:rFonts w:cs="Times New Roman"/>
          <w:noProof/>
          <w:szCs w:val="24"/>
        </w:rPr>
        <w:t>operators have adopted voluntary sustainability standards (most common in the palm oil and timber sectors, less common for soy and beef</w:t>
      </w:r>
      <w:r w:rsidRPr="006F203E">
        <w:rPr>
          <w:rFonts w:cs="Times New Roman"/>
          <w:noProof/>
          <w:szCs w:val="24"/>
          <w:vertAlign w:val="superscript"/>
        </w:rPr>
        <w:footnoteReference w:id="130"/>
      </w:r>
      <w:r w:rsidRPr="006F203E">
        <w:rPr>
          <w:rFonts w:cs="Times New Roman"/>
          <w:noProof/>
          <w:szCs w:val="24"/>
        </w:rPr>
        <w:t>).</w:t>
      </w:r>
    </w:p>
    <w:p w14:paraId="10641058" w14:textId="77777777" w:rsidR="006F203E" w:rsidRPr="006F203E" w:rsidRDefault="006F203E" w:rsidP="00386C2D">
      <w:pPr>
        <w:numPr>
          <w:ilvl w:val="0"/>
          <w:numId w:val="95"/>
        </w:numPr>
        <w:ind w:left="782" w:hanging="357"/>
        <w:contextualSpacing/>
        <w:jc w:val="both"/>
        <w:rPr>
          <w:rFonts w:cs="Times New Roman"/>
          <w:noProof/>
          <w:szCs w:val="24"/>
        </w:rPr>
      </w:pPr>
      <w:r w:rsidRPr="006F203E">
        <w:rPr>
          <w:rFonts w:cs="Times New Roman"/>
          <w:noProof/>
          <w:szCs w:val="24"/>
        </w:rPr>
        <w:t>multinationals have smallholder engagement programs (e.g. for cocoa in Côte d’Ivoire and Ghana, and palm oil in Indonesia and Malaysia</w:t>
      </w:r>
      <w:r w:rsidRPr="006F203E">
        <w:rPr>
          <w:rFonts w:cs="Times New Roman"/>
          <w:noProof/>
          <w:szCs w:val="24"/>
          <w:vertAlign w:val="superscript"/>
        </w:rPr>
        <w:footnoteReference w:id="131"/>
      </w:r>
      <w:r w:rsidRPr="006F203E">
        <w:rPr>
          <w:rFonts w:cs="Times New Roman"/>
          <w:noProof/>
          <w:szCs w:val="24"/>
        </w:rPr>
        <w:t>) or have invested in supply chain mapping</w:t>
      </w:r>
      <w:r w:rsidRPr="006F203E">
        <w:rPr>
          <w:rFonts w:cs="Times New Roman"/>
          <w:noProof/>
          <w:szCs w:val="24"/>
          <w:vertAlign w:val="superscript"/>
        </w:rPr>
        <w:footnoteReference w:id="132"/>
      </w:r>
    </w:p>
    <w:p w14:paraId="69D3BBC2" w14:textId="77777777" w:rsidR="006F203E" w:rsidRPr="006F203E" w:rsidRDefault="006F203E" w:rsidP="00386C2D">
      <w:pPr>
        <w:numPr>
          <w:ilvl w:val="0"/>
          <w:numId w:val="95"/>
        </w:numPr>
        <w:ind w:left="782" w:hanging="357"/>
        <w:contextualSpacing/>
        <w:jc w:val="both"/>
        <w:rPr>
          <w:rFonts w:cs="Times New Roman"/>
          <w:noProof/>
          <w:szCs w:val="24"/>
        </w:rPr>
      </w:pPr>
      <w:r w:rsidRPr="006F203E">
        <w:rPr>
          <w:rFonts w:cs="Times New Roman"/>
          <w:noProof/>
          <w:szCs w:val="24"/>
        </w:rPr>
        <w:t>operators source directly from producers, with well-established links (e.g. in the speciality/artisanal cocoa sector</w:t>
      </w:r>
      <w:r w:rsidRPr="006F203E">
        <w:rPr>
          <w:rFonts w:cs="Times New Roman"/>
          <w:noProof/>
          <w:szCs w:val="24"/>
          <w:vertAlign w:val="superscript"/>
        </w:rPr>
        <w:footnoteReference w:id="133"/>
      </w:r>
      <w:r w:rsidRPr="006F203E">
        <w:rPr>
          <w:rFonts w:cs="Times New Roman"/>
          <w:noProof/>
          <w:szCs w:val="24"/>
        </w:rPr>
        <w:t xml:space="preserve">) </w:t>
      </w:r>
    </w:p>
    <w:p w14:paraId="7AD6FFBA" w14:textId="77777777" w:rsidR="006F203E" w:rsidRPr="006F203E" w:rsidRDefault="006F203E" w:rsidP="00386C2D">
      <w:pPr>
        <w:numPr>
          <w:ilvl w:val="0"/>
          <w:numId w:val="95"/>
        </w:numPr>
        <w:ind w:left="782" w:hanging="357"/>
        <w:contextualSpacing/>
        <w:jc w:val="both"/>
        <w:rPr>
          <w:rFonts w:cs="Times New Roman"/>
          <w:noProof/>
          <w:szCs w:val="24"/>
        </w:rPr>
      </w:pPr>
      <w:r w:rsidRPr="006F203E">
        <w:rPr>
          <w:rFonts w:cs="Times New Roman"/>
          <w:noProof/>
          <w:szCs w:val="24"/>
        </w:rPr>
        <w:t>other EU regulations require information on product origin and/or traceability (e.g. timber covered under EUTR or FLEGT, and meat/meat products require veterinary certification, which includes some level of traceability through the supply chain</w:t>
      </w:r>
      <w:r w:rsidRPr="006F203E">
        <w:rPr>
          <w:rFonts w:cs="Times New Roman"/>
          <w:noProof/>
          <w:szCs w:val="24"/>
          <w:vertAlign w:val="superscript"/>
        </w:rPr>
        <w:footnoteReference w:id="134"/>
      </w:r>
      <w:r w:rsidRPr="006F203E">
        <w:rPr>
          <w:rFonts w:cs="Times New Roman"/>
          <w:noProof/>
          <w:szCs w:val="24"/>
        </w:rPr>
        <w:t>)</w:t>
      </w:r>
    </w:p>
    <w:p w14:paraId="251D853F" w14:textId="77777777" w:rsidR="006F203E" w:rsidRPr="006F203E" w:rsidRDefault="006F203E" w:rsidP="00386C2D">
      <w:pPr>
        <w:numPr>
          <w:ilvl w:val="0"/>
          <w:numId w:val="95"/>
        </w:numPr>
        <w:ind w:left="782" w:hanging="357"/>
        <w:contextualSpacing/>
        <w:jc w:val="both"/>
        <w:rPr>
          <w:rFonts w:cs="Times New Roman"/>
          <w:noProof/>
          <w:szCs w:val="24"/>
        </w:rPr>
      </w:pPr>
      <w:r w:rsidRPr="006F203E">
        <w:rPr>
          <w:rFonts w:cs="Times New Roman"/>
          <w:noProof/>
          <w:szCs w:val="24"/>
        </w:rPr>
        <w:t>there are sector-relevant resources to assist operators (e.g. WRI’s Universal Mill List</w:t>
      </w:r>
      <w:r w:rsidRPr="006F203E">
        <w:rPr>
          <w:rFonts w:cs="Times New Roman"/>
          <w:noProof/>
          <w:szCs w:val="24"/>
          <w:vertAlign w:val="superscript"/>
        </w:rPr>
        <w:t xml:space="preserve"> </w:t>
      </w:r>
      <w:r w:rsidRPr="006F203E">
        <w:rPr>
          <w:rFonts w:cs="Times New Roman"/>
          <w:noProof/>
          <w:szCs w:val="24"/>
          <w:vertAlign w:val="superscript"/>
        </w:rPr>
        <w:footnoteReference w:id="135"/>
      </w:r>
      <w:r w:rsidRPr="006F203E">
        <w:rPr>
          <w:rFonts w:cs="Times New Roman"/>
          <w:noProof/>
          <w:szCs w:val="24"/>
          <w:vertAlign w:val="superscript"/>
        </w:rPr>
        <w:t xml:space="preserve"> </w:t>
      </w:r>
      <w:r w:rsidRPr="006F203E">
        <w:rPr>
          <w:rFonts w:cs="Times New Roman"/>
          <w:noProof/>
          <w:szCs w:val="24"/>
        </w:rPr>
        <w:t>for palm oil mills, FEFACs Soy Sourcing Guidelines</w:t>
      </w:r>
      <w:r w:rsidRPr="006F203E">
        <w:rPr>
          <w:rFonts w:cs="Times New Roman"/>
          <w:noProof/>
          <w:szCs w:val="24"/>
          <w:vertAlign w:val="superscript"/>
        </w:rPr>
        <w:footnoteReference w:id="136"/>
      </w:r>
      <w:r w:rsidRPr="006F203E">
        <w:rPr>
          <w:rFonts w:cs="Times New Roman"/>
          <w:noProof/>
          <w:szCs w:val="24"/>
        </w:rPr>
        <w:t>, which includes no-deforestation as desirable criterion since 2021).</w:t>
      </w:r>
    </w:p>
    <w:p w14:paraId="490B9D2B" w14:textId="77777777" w:rsidR="009B3B46" w:rsidRPr="006F203E" w:rsidRDefault="009B3B46" w:rsidP="00386C2D">
      <w:pPr>
        <w:ind w:left="782"/>
        <w:contextualSpacing/>
        <w:jc w:val="both"/>
        <w:rPr>
          <w:rFonts w:cs="Times New Roman"/>
          <w:noProof/>
          <w:szCs w:val="24"/>
        </w:rPr>
      </w:pPr>
    </w:p>
    <w:p w14:paraId="7D21BE04" w14:textId="69A7D6F4" w:rsidR="002972E6" w:rsidRDefault="006F203E" w:rsidP="00F51105">
      <w:pPr>
        <w:jc w:val="both"/>
        <w:rPr>
          <w:rFonts w:cs="Times New Roman"/>
          <w:noProof/>
          <w:szCs w:val="24"/>
        </w:rPr>
      </w:pPr>
      <w:r w:rsidRPr="006F203E">
        <w:rPr>
          <w:rFonts w:cs="Times New Roman"/>
          <w:noProof/>
          <w:szCs w:val="24"/>
        </w:rPr>
        <w:t xml:space="preserve">For longer and more complex supply chains, there are likely to be additional costs when systems to trace to farm/forest/plantation-level are lacking. </w:t>
      </w:r>
      <w:r w:rsidR="003D0D17">
        <w:rPr>
          <w:rFonts w:cs="Times New Roman"/>
          <w:noProof/>
          <w:szCs w:val="24"/>
        </w:rPr>
        <w:t xml:space="preserve">However </w:t>
      </w:r>
      <w:r w:rsidR="00C10D17">
        <w:rPr>
          <w:rFonts w:cs="Times New Roman"/>
          <w:noProof/>
          <w:szCs w:val="24"/>
        </w:rPr>
        <w:t>a</w:t>
      </w:r>
      <w:r w:rsidRPr="006F203E">
        <w:rPr>
          <w:rFonts w:cs="Times New Roman"/>
          <w:noProof/>
          <w:szCs w:val="24"/>
        </w:rPr>
        <w:t>n independent survey</w:t>
      </w:r>
      <w:r w:rsidR="00C10D17">
        <w:rPr>
          <w:rFonts w:cs="Times New Roman"/>
          <w:noProof/>
          <w:szCs w:val="24"/>
        </w:rPr>
        <w:t xml:space="preserve"> </w:t>
      </w:r>
      <w:r w:rsidR="003D0D17">
        <w:rPr>
          <w:rFonts w:cs="Times New Roman"/>
          <w:noProof/>
          <w:szCs w:val="24"/>
        </w:rPr>
        <w:t xml:space="preserve">among </w:t>
      </w:r>
      <w:r w:rsidR="002972E6">
        <w:rPr>
          <w:rFonts w:cs="Times New Roman"/>
          <w:noProof/>
          <w:szCs w:val="24"/>
        </w:rPr>
        <w:t>palm oil importers</w:t>
      </w:r>
      <w:r w:rsidR="00C10D17">
        <w:rPr>
          <w:rFonts w:cs="Times New Roman"/>
          <w:noProof/>
          <w:szCs w:val="24"/>
        </w:rPr>
        <w:t xml:space="preserve">, companies responded that 99% of the </w:t>
      </w:r>
      <w:r w:rsidR="003D0D17">
        <w:rPr>
          <w:rFonts w:cs="Times New Roman"/>
          <w:noProof/>
          <w:szCs w:val="24"/>
        </w:rPr>
        <w:t>products they are placing on the market</w:t>
      </w:r>
      <w:r w:rsidR="00C10D17">
        <w:rPr>
          <w:rFonts w:cs="Times New Roman"/>
          <w:noProof/>
          <w:szCs w:val="24"/>
        </w:rPr>
        <w:t xml:space="preserve"> were</w:t>
      </w:r>
      <w:r w:rsidR="002972E6">
        <w:rPr>
          <w:rFonts w:cs="Times New Roman"/>
          <w:noProof/>
          <w:szCs w:val="24"/>
        </w:rPr>
        <w:t xml:space="preserve"> </w:t>
      </w:r>
      <w:r w:rsidR="00C10D17">
        <w:rPr>
          <w:rFonts w:cs="Times New Roman"/>
          <w:noProof/>
          <w:szCs w:val="24"/>
        </w:rPr>
        <w:t>already traceable to the mill</w:t>
      </w:r>
      <w:r w:rsidRPr="006F203E">
        <w:rPr>
          <w:rFonts w:cs="Times New Roman"/>
          <w:noProof/>
          <w:szCs w:val="24"/>
        </w:rPr>
        <w:t xml:space="preserve">, with </w:t>
      </w:r>
      <w:r w:rsidR="002972E6">
        <w:rPr>
          <w:rFonts w:cs="Times New Roman"/>
          <w:noProof/>
          <w:szCs w:val="24"/>
        </w:rPr>
        <w:t xml:space="preserve">“slightly </w:t>
      </w:r>
      <w:r w:rsidRPr="006F203E">
        <w:rPr>
          <w:rFonts w:cs="Times New Roman"/>
          <w:noProof/>
          <w:szCs w:val="24"/>
        </w:rPr>
        <w:t>lower</w:t>
      </w:r>
      <w:r w:rsidR="002972E6">
        <w:rPr>
          <w:rFonts w:cs="Times New Roman"/>
          <w:noProof/>
          <w:szCs w:val="24"/>
        </w:rPr>
        <w:t>”</w:t>
      </w:r>
      <w:r w:rsidRPr="006F203E">
        <w:rPr>
          <w:rFonts w:cs="Times New Roman"/>
          <w:noProof/>
          <w:szCs w:val="24"/>
        </w:rPr>
        <w:t xml:space="preserve"> traceability </w:t>
      </w:r>
      <w:r w:rsidR="002972E6">
        <w:rPr>
          <w:rFonts w:cs="Times New Roman"/>
          <w:noProof/>
          <w:szCs w:val="24"/>
        </w:rPr>
        <w:t>to plantation</w:t>
      </w:r>
      <w:r w:rsidRPr="006F203E">
        <w:rPr>
          <w:rFonts w:cs="Times New Roman"/>
          <w:noProof/>
          <w:szCs w:val="24"/>
          <w:vertAlign w:val="superscript"/>
        </w:rPr>
        <w:footnoteReference w:id="137"/>
      </w:r>
      <w:r w:rsidRPr="006F203E">
        <w:rPr>
          <w:rFonts w:cs="Times New Roman"/>
          <w:noProof/>
          <w:szCs w:val="24"/>
        </w:rPr>
        <w:t>.</w:t>
      </w:r>
    </w:p>
    <w:p w14:paraId="0814B3F4" w14:textId="66EE36DD" w:rsidR="006F203E" w:rsidRPr="007C1494" w:rsidRDefault="006F203E" w:rsidP="00F51105">
      <w:pPr>
        <w:jc w:val="both"/>
        <w:rPr>
          <w:rFonts w:cs="Times New Roman"/>
          <w:noProof/>
          <w:szCs w:val="24"/>
        </w:rPr>
      </w:pPr>
      <w:r w:rsidRPr="006F203E">
        <w:rPr>
          <w:rFonts w:cs="Times New Roman"/>
          <w:noProof/>
          <w:szCs w:val="24"/>
        </w:rPr>
        <w:t xml:space="preserve">Palm oil sourced from intermediaries and third-party owned mills or warehouses is </w:t>
      </w:r>
      <w:r w:rsidR="003D0D17">
        <w:rPr>
          <w:rFonts w:cs="Times New Roman"/>
          <w:noProof/>
          <w:szCs w:val="24"/>
        </w:rPr>
        <w:t xml:space="preserve">however sometimes </w:t>
      </w:r>
      <w:r w:rsidRPr="006F203E">
        <w:rPr>
          <w:rFonts w:cs="Times New Roman"/>
          <w:noProof/>
          <w:szCs w:val="24"/>
        </w:rPr>
        <w:t>difficult to map and monitor, and in practice a ‘deforestation-free’ supply is very difficult to guarantee. In Brazil, none of the three dominant meatpackers currently monitor their indirect suppliers (the bulk of their supply chain)</w:t>
      </w:r>
      <w:r w:rsidRPr="006F203E">
        <w:rPr>
          <w:rFonts w:cs="Times New Roman"/>
          <w:noProof/>
          <w:szCs w:val="24"/>
          <w:vertAlign w:val="superscript"/>
        </w:rPr>
        <w:footnoteReference w:id="138"/>
      </w:r>
      <w:r w:rsidRPr="006F203E">
        <w:rPr>
          <w:rFonts w:cs="Times New Roman"/>
          <w:noProof/>
          <w:szCs w:val="24"/>
        </w:rPr>
        <w:t xml:space="preserve">. It is also difficult to trace cocoa back to the many small-scale farms in West Africa, as </w:t>
      </w:r>
      <w:r w:rsidR="00AB4B53">
        <w:rPr>
          <w:rFonts w:cs="Times New Roman"/>
          <w:noProof/>
          <w:szCs w:val="24"/>
        </w:rPr>
        <w:t xml:space="preserve">currently </w:t>
      </w:r>
      <w:r w:rsidRPr="006F203E">
        <w:rPr>
          <w:rFonts w:cs="Times New Roman"/>
          <w:noProof/>
          <w:szCs w:val="24"/>
        </w:rPr>
        <w:t>no cocoa traceability system exists in Côte d’Ivoire and the national system in Ghana does not provide full traceability back to the forest of origin</w:t>
      </w:r>
      <w:r w:rsidRPr="006F203E">
        <w:rPr>
          <w:rFonts w:cs="Times New Roman"/>
          <w:noProof/>
          <w:szCs w:val="24"/>
          <w:vertAlign w:val="superscript"/>
        </w:rPr>
        <w:footnoteReference w:id="139"/>
      </w:r>
      <w:r w:rsidRPr="006F203E">
        <w:rPr>
          <w:rFonts w:cs="Times New Roman"/>
          <w:noProof/>
          <w:szCs w:val="24"/>
        </w:rPr>
        <w:t xml:space="preserve">. A 2020 cut-off date and EU support to partner countries and operators (including in-country assistance and industry guidance/awareness raising, drawing on the EUTR experience), will be important to minimise the </w:t>
      </w:r>
      <w:r w:rsidR="003D0D17">
        <w:rPr>
          <w:rFonts w:cs="Times New Roman"/>
          <w:noProof/>
          <w:szCs w:val="24"/>
        </w:rPr>
        <w:t xml:space="preserve">short term </w:t>
      </w:r>
      <w:r w:rsidRPr="006F203E">
        <w:rPr>
          <w:rFonts w:cs="Times New Roman"/>
          <w:noProof/>
          <w:szCs w:val="24"/>
        </w:rPr>
        <w:t xml:space="preserve">impact on EU operators with long complex supply chains. </w:t>
      </w:r>
      <w:r w:rsidR="000C4559">
        <w:rPr>
          <w:rStyle w:val="FootnoteReference"/>
          <w:rFonts w:cs="Times New Roman"/>
          <w:noProof/>
          <w:szCs w:val="24"/>
        </w:rPr>
        <w:footnoteReference w:id="140"/>
      </w:r>
    </w:p>
    <w:p w14:paraId="1C061844" w14:textId="096D9A4B" w:rsidR="006F203E" w:rsidRDefault="003D0D17" w:rsidP="008478C6">
      <w:pPr>
        <w:jc w:val="both"/>
        <w:rPr>
          <w:rFonts w:cs="Times New Roman"/>
          <w:noProof/>
          <w:szCs w:val="24"/>
        </w:rPr>
      </w:pPr>
      <w:r>
        <w:rPr>
          <w:rFonts w:cs="Times New Roman"/>
          <w:noProof/>
          <w:szCs w:val="24"/>
        </w:rPr>
        <w:t>I</w:t>
      </w:r>
      <w:r w:rsidR="006F203E" w:rsidRPr="006F203E">
        <w:rPr>
          <w:rFonts w:cs="Times New Roman"/>
          <w:noProof/>
          <w:szCs w:val="24"/>
        </w:rPr>
        <w:t xml:space="preserve">n terms of trade flows, larger companies in relevant NACE activity codes accounted for a higher proportion of the value of imports (import granularity not to commodity level). Furthermore, a number of EU </w:t>
      </w:r>
      <w:r w:rsidR="006F203E" w:rsidRPr="006F203E" w:rsidDel="00C9752F">
        <w:rPr>
          <w:rFonts w:cs="Times New Roman"/>
          <w:noProof/>
          <w:szCs w:val="24"/>
        </w:rPr>
        <w:t xml:space="preserve">Member </w:t>
      </w:r>
      <w:r w:rsidR="006F203E" w:rsidRPr="006F203E">
        <w:rPr>
          <w:rFonts w:cs="Times New Roman"/>
          <w:noProof/>
          <w:szCs w:val="24"/>
        </w:rPr>
        <w:t>States (</w:t>
      </w:r>
      <w:r w:rsidR="00F670F8">
        <w:rPr>
          <w:rFonts w:cs="Times New Roman"/>
          <w:noProof/>
          <w:szCs w:val="24"/>
        </w:rPr>
        <w:t xml:space="preserve">Belgium, Germany, Italy, </w:t>
      </w:r>
      <w:r w:rsidR="006F203E" w:rsidRPr="006F203E">
        <w:rPr>
          <w:rFonts w:cs="Times New Roman"/>
          <w:noProof/>
          <w:szCs w:val="24"/>
        </w:rPr>
        <w:t xml:space="preserve">Netherlands, Spain, </w:t>
      </w:r>
      <w:r w:rsidR="00F670F8">
        <w:rPr>
          <w:rFonts w:cs="Times New Roman"/>
          <w:noProof/>
          <w:szCs w:val="24"/>
        </w:rPr>
        <w:t>Sweden</w:t>
      </w:r>
      <w:r w:rsidR="006F203E" w:rsidRPr="006F203E">
        <w:rPr>
          <w:rFonts w:cs="Times New Roman"/>
          <w:noProof/>
          <w:szCs w:val="24"/>
        </w:rPr>
        <w:t>), which are also main seats of relevant large (multinational) operators</w:t>
      </w:r>
      <w:r w:rsidR="006F203E" w:rsidRPr="006F203E">
        <w:rPr>
          <w:rFonts w:cs="Times New Roman"/>
          <w:noProof/>
          <w:szCs w:val="24"/>
          <w:vertAlign w:val="superscript"/>
        </w:rPr>
        <w:footnoteReference w:id="141"/>
      </w:r>
      <w:r w:rsidR="006F203E" w:rsidRPr="006F203E">
        <w:rPr>
          <w:rFonts w:cs="Times New Roman"/>
          <w:noProof/>
          <w:szCs w:val="24"/>
          <w:vertAlign w:val="superscript"/>
        </w:rPr>
        <w:t>,</w:t>
      </w:r>
      <w:r w:rsidR="006F203E" w:rsidRPr="006F203E">
        <w:rPr>
          <w:rFonts w:cs="Times New Roman"/>
          <w:noProof/>
          <w:szCs w:val="24"/>
          <w:vertAlign w:val="superscript"/>
        </w:rPr>
        <w:footnoteReference w:id="142"/>
      </w:r>
      <w:r w:rsidR="006F203E" w:rsidRPr="006F203E">
        <w:rPr>
          <w:rFonts w:cs="Times New Roman"/>
          <w:noProof/>
          <w:szCs w:val="24"/>
          <w:vertAlign w:val="superscript"/>
        </w:rPr>
        <w:t>,</w:t>
      </w:r>
      <w:r w:rsidR="006F203E" w:rsidRPr="006F203E">
        <w:rPr>
          <w:rFonts w:cs="Times New Roman"/>
          <w:noProof/>
          <w:szCs w:val="24"/>
          <w:vertAlign w:val="superscript"/>
        </w:rPr>
        <w:footnoteReference w:id="143"/>
      </w:r>
      <w:r w:rsidR="006F203E" w:rsidRPr="006F203E">
        <w:rPr>
          <w:rFonts w:cs="Times New Roman"/>
          <w:noProof/>
          <w:szCs w:val="24"/>
          <w:vertAlign w:val="superscript"/>
        </w:rPr>
        <w:t>,</w:t>
      </w:r>
      <w:r w:rsidR="006F203E" w:rsidRPr="006F203E">
        <w:rPr>
          <w:rFonts w:cs="Times New Roman"/>
          <w:noProof/>
          <w:szCs w:val="24"/>
          <w:vertAlign w:val="superscript"/>
        </w:rPr>
        <w:footnoteReference w:id="144"/>
      </w:r>
      <w:r w:rsidR="006F203E" w:rsidRPr="006F203E">
        <w:rPr>
          <w:rFonts w:cs="Times New Roman"/>
          <w:noProof/>
          <w:szCs w:val="24"/>
        </w:rPr>
        <w:t xml:space="preserve"> are key import routes of the focal commodities into the EU (see Figure). The EU market for coffee, cocoa, and palm oil is dominated by a relatively small number of large companies</w:t>
      </w:r>
      <w:r w:rsidR="006F203E" w:rsidRPr="006F203E">
        <w:rPr>
          <w:rFonts w:cs="Times New Roman"/>
          <w:noProof/>
          <w:szCs w:val="24"/>
          <w:vertAlign w:val="superscript"/>
        </w:rPr>
        <w:footnoteReference w:id="145"/>
      </w:r>
      <w:r w:rsidR="006F203E" w:rsidRPr="006F203E">
        <w:rPr>
          <w:rFonts w:cs="Times New Roman"/>
          <w:noProof/>
          <w:szCs w:val="24"/>
          <w:vertAlign w:val="superscript"/>
        </w:rPr>
        <w:t>,</w:t>
      </w:r>
      <w:r w:rsidR="006F203E" w:rsidRPr="006F203E">
        <w:rPr>
          <w:rFonts w:cs="Times New Roman"/>
          <w:noProof/>
          <w:szCs w:val="24"/>
          <w:vertAlign w:val="superscript"/>
        </w:rPr>
        <w:footnoteReference w:id="146"/>
      </w:r>
      <w:r w:rsidR="006F203E" w:rsidRPr="006F203E">
        <w:rPr>
          <w:rFonts w:cs="Times New Roman"/>
          <w:noProof/>
          <w:szCs w:val="24"/>
          <w:vertAlign w:val="superscript"/>
        </w:rPr>
        <w:t>,</w:t>
      </w:r>
      <w:r w:rsidR="006F203E" w:rsidRPr="006F203E">
        <w:rPr>
          <w:rFonts w:cs="Times New Roman"/>
          <w:noProof/>
          <w:szCs w:val="24"/>
          <w:vertAlign w:val="superscript"/>
        </w:rPr>
        <w:footnoteReference w:id="147"/>
      </w:r>
      <w:r w:rsidR="006F203E" w:rsidRPr="006F203E">
        <w:rPr>
          <w:rFonts w:cs="Times New Roman"/>
          <w:noProof/>
          <w:szCs w:val="24"/>
        </w:rPr>
        <w:t>, but there are a growing number of small speciality coffee ro</w:t>
      </w:r>
      <w:r w:rsidR="00C11B7D">
        <w:rPr>
          <w:rFonts w:cs="Times New Roman"/>
          <w:noProof/>
          <w:szCs w:val="24"/>
        </w:rPr>
        <w:t>a</w:t>
      </w:r>
      <w:r w:rsidR="006F203E" w:rsidRPr="006F203E">
        <w:rPr>
          <w:rFonts w:cs="Times New Roman"/>
          <w:noProof/>
          <w:szCs w:val="24"/>
        </w:rPr>
        <w:t>sters, for example, who source directly from origin</w:t>
      </w:r>
      <w:r w:rsidR="006F203E" w:rsidRPr="006F203E">
        <w:rPr>
          <w:rFonts w:cs="Times New Roman"/>
          <w:noProof/>
          <w:szCs w:val="24"/>
          <w:vertAlign w:val="superscript"/>
        </w:rPr>
        <w:t xml:space="preserve"> </w:t>
      </w:r>
      <w:r w:rsidR="006F203E" w:rsidRPr="006F203E">
        <w:rPr>
          <w:rFonts w:cs="Times New Roman"/>
          <w:noProof/>
          <w:szCs w:val="24"/>
          <w:vertAlign w:val="superscript"/>
        </w:rPr>
        <w:footnoteReference w:id="148"/>
      </w:r>
      <w:r w:rsidR="006F203E" w:rsidRPr="006F203E">
        <w:rPr>
          <w:rFonts w:cs="Times New Roman"/>
          <w:noProof/>
          <w:szCs w:val="24"/>
        </w:rPr>
        <w:t>.</w:t>
      </w:r>
      <w:r w:rsidRPr="003D0D17">
        <w:rPr>
          <w:noProof/>
        </w:rPr>
        <w:t xml:space="preserve"> </w:t>
      </w:r>
      <w:r>
        <w:rPr>
          <w:noProof/>
        </w:rPr>
        <w:t xml:space="preserve">When looking at overall number of businesses based on </w:t>
      </w:r>
      <w:r w:rsidRPr="003D0D17">
        <w:rPr>
          <w:rFonts w:cs="Times New Roman"/>
          <w:noProof/>
          <w:szCs w:val="24"/>
        </w:rPr>
        <w:t xml:space="preserve">the NACE activity </w:t>
      </w:r>
      <w:r w:rsidR="004D3B54" w:rsidRPr="003D0D17">
        <w:rPr>
          <w:rFonts w:cs="Times New Roman"/>
          <w:noProof/>
          <w:szCs w:val="24"/>
        </w:rPr>
        <w:t>codes that</w:t>
      </w:r>
      <w:r w:rsidRPr="003D0D17">
        <w:rPr>
          <w:rFonts w:cs="Times New Roman"/>
          <w:noProof/>
          <w:szCs w:val="24"/>
        </w:rPr>
        <w:t xml:space="preserve"> are more likely trading the commodities in scope indicate that more than 90% of the operators are SMEs</w:t>
      </w:r>
      <w:r>
        <w:rPr>
          <w:rFonts w:cs="Times New Roman"/>
          <w:noProof/>
          <w:szCs w:val="24"/>
        </w:rPr>
        <w:t>, which however doesn't indicate that the majority of the transactions are conducted by SMEs.</w:t>
      </w:r>
    </w:p>
    <w:p w14:paraId="0DADF8A5" w14:textId="58088413" w:rsidR="006F203E" w:rsidRPr="00386C2D" w:rsidRDefault="006F203E" w:rsidP="00362EF8">
      <w:pPr>
        <w:pStyle w:val="WDFigureTitle"/>
        <w:jc w:val="both"/>
        <w:rPr>
          <w:rFonts w:eastAsia="Calibri" w:cs="Segoe UI"/>
          <w:noProof/>
        </w:rPr>
      </w:pPr>
      <w:r w:rsidRPr="00362EF8">
        <w:rPr>
          <w:rFonts w:cs="Segoe UI"/>
          <w:noProof/>
          <w:color w:val="auto"/>
        </w:rPr>
        <w:t xml:space="preserve">Figure </w:t>
      </w:r>
      <w:r w:rsidR="006378E5">
        <w:rPr>
          <w:rFonts w:cs="Segoe UI"/>
          <w:noProof/>
          <w:color w:val="auto"/>
        </w:rPr>
        <w:t>7</w:t>
      </w:r>
      <w:r w:rsidRPr="00362EF8">
        <w:rPr>
          <w:rFonts w:cs="Segoe UI"/>
          <w:noProof/>
          <w:color w:val="auto"/>
        </w:rPr>
        <w:t xml:space="preserve"> Main EU </w:t>
      </w:r>
      <w:r w:rsidRPr="00386C2D" w:rsidDel="00C9752F">
        <w:rPr>
          <w:rFonts w:cs="Segoe UI"/>
          <w:noProof/>
          <w:color w:val="auto"/>
        </w:rPr>
        <w:t xml:space="preserve">Member </w:t>
      </w:r>
      <w:r w:rsidRPr="00386C2D">
        <w:rPr>
          <w:rFonts w:cs="Segoe UI"/>
          <w:noProof/>
          <w:color w:val="auto"/>
        </w:rPr>
        <w:t xml:space="preserve">States importers by commodity (based on average annual imported quantity of the six commodities over the period </w:t>
      </w:r>
      <w:r w:rsidRPr="007D0BB5">
        <w:rPr>
          <w:rFonts w:cs="Segoe UI"/>
          <w:noProof/>
          <w:color w:val="000000" w:themeColor="text1"/>
        </w:rPr>
        <w:t xml:space="preserve">2015-2019). Importers are displayed if the quantity of imports is over 5% of the total. </w:t>
      </w:r>
      <w:r w:rsidRPr="007D0BB5">
        <w:rPr>
          <w:rFonts w:eastAsia="Calibri" w:cs="Segoe UI"/>
          <w:noProof/>
          <w:color w:val="000000" w:themeColor="text1"/>
        </w:rPr>
        <w:t>Source: Eurostat ComExt</w:t>
      </w:r>
      <w:r w:rsidRPr="007D0BB5">
        <w:rPr>
          <w:rFonts w:eastAsia="Calibri" w:cs="Segoe UI"/>
          <w:noProof/>
          <w:color w:val="000000" w:themeColor="text1"/>
          <w:vertAlign w:val="superscript"/>
        </w:rPr>
        <w:footnoteReference w:id="149"/>
      </w:r>
      <w:r w:rsidRPr="007D0BB5">
        <w:rPr>
          <w:rFonts w:eastAsia="Calibri" w:cs="Segoe UI"/>
          <w:noProof/>
          <w:color w:val="000000" w:themeColor="text1"/>
          <w:vertAlign w:val="superscript"/>
        </w:rPr>
        <w:t xml:space="preserve">, </w:t>
      </w:r>
      <w:r w:rsidRPr="007D0BB5">
        <w:rPr>
          <w:rFonts w:eastAsia="Calibri" w:cs="Segoe UI"/>
          <w:noProof/>
          <w:color w:val="000000" w:themeColor="text1"/>
        </w:rPr>
        <w:t>importer</w:t>
      </w:r>
      <w:r w:rsidRPr="00362EF8">
        <w:rPr>
          <w:rFonts w:eastAsia="Calibri" w:cs="Segoe UI"/>
          <w:noProof/>
          <w:color w:val="auto"/>
        </w:rPr>
        <w:t>-reported data.</w:t>
      </w:r>
    </w:p>
    <w:p w14:paraId="05DC2D70" w14:textId="300456F3" w:rsidR="006F203E" w:rsidRDefault="0087750C" w:rsidP="008478C6">
      <w:pPr>
        <w:jc w:val="both"/>
        <w:rPr>
          <w:rFonts w:cs="Times New Roman"/>
          <w:noProof/>
          <w:szCs w:val="24"/>
        </w:rPr>
      </w:pPr>
      <w:r w:rsidRPr="00E94951">
        <w:rPr>
          <w:rFonts w:cs="Times New Roman"/>
          <w:noProof/>
          <w:szCs w:val="24"/>
          <w:lang w:eastAsia="en-GB"/>
        </w:rPr>
        <w:drawing>
          <wp:inline distT="0" distB="0" distL="0" distR="0" wp14:anchorId="31887860" wp14:editId="1A02F816">
            <wp:extent cx="3609892" cy="4558030"/>
            <wp:effectExtent l="0" t="0" r="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609892" cy="4558030"/>
                    </a:xfrm>
                    <a:prstGeom prst="rect">
                      <a:avLst/>
                    </a:prstGeom>
                  </pic:spPr>
                </pic:pic>
              </a:graphicData>
            </a:graphic>
          </wp:inline>
        </w:drawing>
      </w:r>
    </w:p>
    <w:p w14:paraId="03602DD7" w14:textId="77777777" w:rsidR="006F203E" w:rsidRDefault="006F203E" w:rsidP="008478C6">
      <w:pPr>
        <w:jc w:val="both"/>
        <w:rPr>
          <w:rFonts w:cs="Times New Roman"/>
          <w:noProof/>
          <w:szCs w:val="24"/>
        </w:rPr>
      </w:pPr>
    </w:p>
    <w:p w14:paraId="5A9AED18" w14:textId="067C10C8" w:rsidR="006F203E" w:rsidRDefault="006F203E" w:rsidP="008478C6">
      <w:pPr>
        <w:jc w:val="both"/>
        <w:rPr>
          <w:rFonts w:eastAsia="Calibri" w:cs="Times New Roman"/>
          <w:noProof/>
          <w:shd w:val="clear" w:color="auto" w:fill="B8CCE4" w:themeFill="accent1" w:themeFillTint="66"/>
        </w:rPr>
      </w:pPr>
      <w:r w:rsidRPr="004D3B0C">
        <w:rPr>
          <w:rFonts w:cs="Times New Roman"/>
          <w:noProof/>
          <w:szCs w:val="24"/>
        </w:rPr>
        <w:t xml:space="preserve">Given the different roles that </w:t>
      </w:r>
      <w:r w:rsidRPr="004D3B0C" w:rsidDel="00F2026D">
        <w:rPr>
          <w:rFonts w:cs="Times New Roman"/>
          <w:noProof/>
          <w:szCs w:val="24"/>
        </w:rPr>
        <w:t xml:space="preserve">Member </w:t>
      </w:r>
      <w:r w:rsidRPr="004D3B0C">
        <w:rPr>
          <w:rFonts w:cs="Times New Roman"/>
          <w:noProof/>
          <w:szCs w:val="24"/>
        </w:rPr>
        <w:t xml:space="preserve">States </w:t>
      </w:r>
      <w:r w:rsidR="003D0D17">
        <w:rPr>
          <w:rFonts w:cs="Times New Roman"/>
          <w:noProof/>
          <w:szCs w:val="24"/>
        </w:rPr>
        <w:t xml:space="preserve">economies </w:t>
      </w:r>
      <w:r w:rsidRPr="004D3B0C">
        <w:rPr>
          <w:rFonts w:cs="Times New Roman"/>
          <w:noProof/>
          <w:szCs w:val="24"/>
        </w:rPr>
        <w:t xml:space="preserve">play in the import, processing and sale of commodities in different sectors, it is possible that changes brought about by the new initiative may impact some </w:t>
      </w:r>
      <w:r w:rsidRPr="004D3B0C" w:rsidDel="00F2026D">
        <w:rPr>
          <w:rFonts w:cs="Times New Roman"/>
          <w:noProof/>
          <w:szCs w:val="24"/>
        </w:rPr>
        <w:t xml:space="preserve">Member </w:t>
      </w:r>
      <w:r w:rsidRPr="004D3B0C">
        <w:rPr>
          <w:rFonts w:cs="Times New Roman"/>
          <w:noProof/>
          <w:szCs w:val="24"/>
        </w:rPr>
        <w:t xml:space="preserve">States </w:t>
      </w:r>
      <w:r w:rsidRPr="00573031">
        <w:rPr>
          <w:rFonts w:cs="Times New Roman"/>
          <w:noProof/>
          <w:szCs w:val="24"/>
        </w:rPr>
        <w:t>more</w:t>
      </w:r>
      <w:r w:rsidRPr="004D3B0C">
        <w:rPr>
          <w:rFonts w:cs="Times New Roman"/>
          <w:noProof/>
          <w:szCs w:val="24"/>
        </w:rPr>
        <w:t xml:space="preserve"> than others. </w:t>
      </w:r>
      <w:r w:rsidRPr="006117FB">
        <w:rPr>
          <w:rFonts w:cs="Times New Roman"/>
          <w:noProof/>
          <w:szCs w:val="24"/>
        </w:rPr>
        <w:t>For example, the Netherlands</w:t>
      </w:r>
      <w:r w:rsidRPr="00DA0617">
        <w:rPr>
          <w:rFonts w:cs="Times New Roman"/>
          <w:noProof/>
          <w:szCs w:val="24"/>
        </w:rPr>
        <w:t xml:space="preserve"> </w:t>
      </w:r>
      <w:r w:rsidRPr="004D3B0C">
        <w:rPr>
          <w:rFonts w:cs="Times New Roman"/>
          <w:noProof/>
          <w:szCs w:val="24"/>
        </w:rPr>
        <w:t>is the world’s largest importer of cocoa beans, it has the world’s largest cocoa grinding industry and is Europe’s largest exporter of cocoa beans</w:t>
      </w:r>
      <w:r w:rsidRPr="00573031">
        <w:rPr>
          <w:rStyle w:val="FootnoteReference"/>
          <w:rFonts w:cs="Times New Roman"/>
          <w:noProof/>
          <w:szCs w:val="24"/>
        </w:rPr>
        <w:footnoteReference w:id="150"/>
      </w:r>
      <w:r w:rsidRPr="00573031">
        <w:rPr>
          <w:rFonts w:cs="Times New Roman"/>
          <w:noProof/>
          <w:szCs w:val="24"/>
        </w:rPr>
        <w:t>;</w:t>
      </w:r>
      <w:r w:rsidRPr="006117FB">
        <w:rPr>
          <w:rFonts w:cs="Times New Roman"/>
          <w:noProof/>
          <w:szCs w:val="24"/>
        </w:rPr>
        <w:t xml:space="preserve"> Germany and Belgium are </w:t>
      </w:r>
      <w:r>
        <w:rPr>
          <w:rFonts w:cs="Times New Roman"/>
          <w:noProof/>
          <w:szCs w:val="24"/>
        </w:rPr>
        <w:t xml:space="preserve">also </w:t>
      </w:r>
      <w:r w:rsidRPr="006117FB">
        <w:rPr>
          <w:rFonts w:cs="Times New Roman"/>
          <w:noProof/>
          <w:szCs w:val="24"/>
        </w:rPr>
        <w:t>large hubs of import, processing and export</w:t>
      </w:r>
      <w:r>
        <w:rPr>
          <w:rFonts w:cs="Times New Roman"/>
          <w:noProof/>
          <w:szCs w:val="24"/>
        </w:rPr>
        <w:t>. T</w:t>
      </w:r>
      <w:r w:rsidRPr="006117FB">
        <w:rPr>
          <w:rFonts w:cs="Times New Roman"/>
          <w:noProof/>
          <w:szCs w:val="24"/>
        </w:rPr>
        <w:t>he Nordic countries</w:t>
      </w:r>
      <w:r>
        <w:rPr>
          <w:rFonts w:cs="Times New Roman"/>
          <w:noProof/>
          <w:szCs w:val="24"/>
        </w:rPr>
        <w:t>, however,</w:t>
      </w:r>
      <w:r w:rsidRPr="006117FB">
        <w:rPr>
          <w:rFonts w:cs="Times New Roman"/>
          <w:noProof/>
          <w:szCs w:val="24"/>
        </w:rPr>
        <w:t xml:space="preserve"> currently import most cocoa beans from elsewhere in the EU</w:t>
      </w:r>
      <w:r w:rsidRPr="006117FB">
        <w:rPr>
          <w:rStyle w:val="FootnoteReference"/>
          <w:noProof/>
        </w:rPr>
        <w:footnoteReference w:id="151"/>
      </w:r>
      <w:r w:rsidRPr="006117FB">
        <w:rPr>
          <w:rFonts w:cs="Times New Roman"/>
          <w:noProof/>
          <w:szCs w:val="24"/>
        </w:rPr>
        <w:t xml:space="preserve">. A trend towards shortening supply chains could lead to </w:t>
      </w:r>
      <w:r w:rsidRPr="006117FB" w:rsidDel="00F2026D">
        <w:rPr>
          <w:rFonts w:cs="Times New Roman"/>
          <w:noProof/>
          <w:szCs w:val="24"/>
        </w:rPr>
        <w:t xml:space="preserve">Member </w:t>
      </w:r>
      <w:r w:rsidRPr="006117FB">
        <w:rPr>
          <w:rFonts w:cs="Times New Roman"/>
          <w:noProof/>
          <w:szCs w:val="24"/>
        </w:rPr>
        <w:t>States increasing their direct sourcing of cocoa beans from producing countries rather than via other EU importers (accentuating a trend already observed in Nordic and Eastern European countries towards increased direct sourcing</w:t>
      </w:r>
      <w:r w:rsidRPr="00DB1689">
        <w:rPr>
          <w:rStyle w:val="FootnoteReference"/>
          <w:noProof/>
        </w:rPr>
        <w:footnoteReference w:id="152"/>
      </w:r>
      <w:r w:rsidRPr="006117FB">
        <w:rPr>
          <w:rFonts w:cs="Times New Roman"/>
          <w:noProof/>
          <w:szCs w:val="24"/>
        </w:rPr>
        <w:t>).</w:t>
      </w:r>
      <w:r w:rsidRPr="002A68E6">
        <w:rPr>
          <w:rFonts w:cs="Times New Roman"/>
          <w:noProof/>
          <w:szCs w:val="24"/>
        </w:rPr>
        <w:t xml:space="preserve"> </w:t>
      </w:r>
      <w:r>
        <w:rPr>
          <w:rFonts w:cs="Times New Roman"/>
          <w:noProof/>
          <w:szCs w:val="24"/>
        </w:rPr>
        <w:t>T</w:t>
      </w:r>
      <w:r w:rsidRPr="00573031">
        <w:rPr>
          <w:rFonts w:cs="Times New Roman"/>
          <w:noProof/>
          <w:szCs w:val="24"/>
        </w:rPr>
        <w:t>he majority of palm oil also enter</w:t>
      </w:r>
      <w:r w:rsidR="007B01F9">
        <w:rPr>
          <w:rFonts w:cs="Times New Roman"/>
          <w:noProof/>
          <w:szCs w:val="24"/>
        </w:rPr>
        <w:t>s</w:t>
      </w:r>
      <w:r w:rsidRPr="00573031">
        <w:rPr>
          <w:rFonts w:cs="Times New Roman"/>
          <w:noProof/>
          <w:szCs w:val="24"/>
        </w:rPr>
        <w:t xml:space="preserve"> the EU via Rotterdam, where key refineries and processors are located</w:t>
      </w:r>
      <w:r w:rsidRPr="00573031">
        <w:rPr>
          <w:rStyle w:val="FootnoteReference"/>
          <w:rFonts w:cs="Times New Roman"/>
          <w:noProof/>
          <w:szCs w:val="24"/>
        </w:rPr>
        <w:footnoteReference w:id="153"/>
      </w:r>
      <w:r w:rsidRPr="00573031">
        <w:rPr>
          <w:rFonts w:cs="Times New Roman"/>
          <w:noProof/>
          <w:szCs w:val="24"/>
        </w:rPr>
        <w:t>.</w:t>
      </w:r>
      <w:r>
        <w:rPr>
          <w:rFonts w:cs="Times New Roman"/>
          <w:noProof/>
          <w:szCs w:val="24"/>
        </w:rPr>
        <w:t xml:space="preserve"> For s</w:t>
      </w:r>
      <w:r w:rsidRPr="006117FB">
        <w:rPr>
          <w:rFonts w:cs="Times New Roman"/>
          <w:noProof/>
          <w:szCs w:val="24"/>
        </w:rPr>
        <w:t>oy, primarily used in the EU for manufacturing animal feed</w:t>
      </w:r>
      <w:r w:rsidRPr="006117FB">
        <w:rPr>
          <w:rStyle w:val="FootnoteReference"/>
          <w:noProof/>
        </w:rPr>
        <w:footnoteReference w:id="154"/>
      </w:r>
      <w:r w:rsidRPr="006117FB">
        <w:rPr>
          <w:rFonts w:cs="Times New Roman"/>
          <w:noProof/>
          <w:szCs w:val="24"/>
        </w:rPr>
        <w:t xml:space="preserve">, </w:t>
      </w:r>
      <w:r w:rsidRPr="006117FB" w:rsidDel="00F2026D">
        <w:rPr>
          <w:rFonts w:cs="Times New Roman"/>
          <w:noProof/>
          <w:szCs w:val="24"/>
        </w:rPr>
        <w:t xml:space="preserve">Member </w:t>
      </w:r>
      <w:r w:rsidRPr="006117FB">
        <w:rPr>
          <w:rFonts w:cs="Times New Roman"/>
          <w:noProof/>
          <w:szCs w:val="24"/>
        </w:rPr>
        <w:t>States with large livestock populations and exports might be affected by increased feed prices. Although the EU feed manufacturers federation (FEFAC) does not require deforestation-free or conversion-free soy, it has recently updated its soy sourcing guidelines to signal this might become an essential criterion in the future</w:t>
      </w:r>
      <w:r w:rsidRPr="006117FB">
        <w:rPr>
          <w:rStyle w:val="FootnoteReference"/>
          <w:noProof/>
        </w:rPr>
        <w:footnoteReference w:id="155"/>
      </w:r>
      <w:r w:rsidRPr="006117FB">
        <w:rPr>
          <w:rFonts w:cs="Times New Roman"/>
          <w:noProof/>
          <w:szCs w:val="24"/>
        </w:rPr>
        <w:t>, also providing a useful benchmarking tool for conversion-free standards</w:t>
      </w:r>
      <w:r w:rsidRPr="006117FB">
        <w:rPr>
          <w:rStyle w:val="FootnoteReference"/>
          <w:noProof/>
        </w:rPr>
        <w:footnoteReference w:id="156"/>
      </w:r>
      <w:r w:rsidRPr="006117FB">
        <w:rPr>
          <w:rFonts w:cs="Times New Roman"/>
          <w:noProof/>
          <w:szCs w:val="24"/>
        </w:rPr>
        <w:t xml:space="preserve">. </w:t>
      </w:r>
    </w:p>
    <w:p w14:paraId="502B7A17" w14:textId="609C79E2" w:rsidR="00FE7209" w:rsidRDefault="00220F83" w:rsidP="008478C6">
      <w:pPr>
        <w:jc w:val="both"/>
        <w:rPr>
          <w:rFonts w:cs="Times New Roman"/>
          <w:noProof/>
          <w:szCs w:val="24"/>
        </w:rPr>
      </w:pPr>
      <w:r>
        <w:rPr>
          <w:rFonts w:cs="Times New Roman"/>
          <w:noProof/>
          <w:szCs w:val="24"/>
        </w:rPr>
        <w:t>While some evidence exists that setting up and operatin</w:t>
      </w:r>
      <w:r w:rsidR="00936391">
        <w:rPr>
          <w:rFonts w:cs="Times New Roman"/>
          <w:noProof/>
          <w:szCs w:val="24"/>
        </w:rPr>
        <w:t>g</w:t>
      </w:r>
      <w:r>
        <w:rPr>
          <w:rFonts w:cs="Times New Roman"/>
          <w:noProof/>
          <w:szCs w:val="24"/>
        </w:rPr>
        <w:t xml:space="preserve"> a </w:t>
      </w:r>
      <w:r w:rsidDel="003844A5">
        <w:rPr>
          <w:rFonts w:cs="Times New Roman"/>
          <w:noProof/>
          <w:szCs w:val="24"/>
        </w:rPr>
        <w:t xml:space="preserve">due diligence system </w:t>
      </w:r>
      <w:r>
        <w:rPr>
          <w:rFonts w:cs="Times New Roman"/>
          <w:noProof/>
          <w:szCs w:val="24"/>
        </w:rPr>
        <w:t xml:space="preserve">is more challenging for SMEs, the experience from the EUTR </w:t>
      </w:r>
      <w:r w:rsidR="00FE7209">
        <w:rPr>
          <w:rFonts w:cs="Times New Roman"/>
          <w:noProof/>
          <w:szCs w:val="24"/>
        </w:rPr>
        <w:t xml:space="preserve">indicates </w:t>
      </w:r>
      <w:r>
        <w:rPr>
          <w:rFonts w:cs="Times New Roman"/>
          <w:noProof/>
          <w:szCs w:val="24"/>
        </w:rPr>
        <w:t xml:space="preserve">that the main driver </w:t>
      </w:r>
      <w:r w:rsidR="00C11B7D">
        <w:rPr>
          <w:rFonts w:cs="Times New Roman"/>
          <w:noProof/>
          <w:szCs w:val="24"/>
        </w:rPr>
        <w:t>of</w:t>
      </w:r>
      <w:r>
        <w:rPr>
          <w:rFonts w:cs="Times New Roman"/>
          <w:noProof/>
          <w:szCs w:val="24"/>
        </w:rPr>
        <w:t xml:space="preserve"> costs </w:t>
      </w:r>
      <w:r w:rsidR="00FE7209">
        <w:rPr>
          <w:rFonts w:cs="Times New Roman"/>
          <w:noProof/>
          <w:szCs w:val="24"/>
        </w:rPr>
        <w:t xml:space="preserve">of </w:t>
      </w:r>
      <w:r w:rsidR="00FE7209" w:rsidDel="003844A5">
        <w:rPr>
          <w:rFonts w:cs="Times New Roman"/>
          <w:noProof/>
          <w:szCs w:val="24"/>
        </w:rPr>
        <w:t>due diligence</w:t>
      </w:r>
      <w:r w:rsidR="00FE7209">
        <w:rPr>
          <w:rFonts w:cs="Times New Roman"/>
          <w:noProof/>
          <w:szCs w:val="24"/>
        </w:rPr>
        <w:t xml:space="preserve"> obligations </w:t>
      </w:r>
      <w:r>
        <w:rPr>
          <w:rFonts w:cs="Times New Roman"/>
          <w:noProof/>
          <w:szCs w:val="24"/>
        </w:rPr>
        <w:t xml:space="preserve">is not </w:t>
      </w:r>
      <w:r w:rsidR="00FE7209">
        <w:rPr>
          <w:rFonts w:cs="Times New Roman"/>
          <w:noProof/>
          <w:szCs w:val="24"/>
        </w:rPr>
        <w:t>so</w:t>
      </w:r>
      <w:r>
        <w:rPr>
          <w:rFonts w:cs="Times New Roman"/>
          <w:noProof/>
          <w:szCs w:val="24"/>
        </w:rPr>
        <w:t xml:space="preserve"> much the size of the company </w:t>
      </w:r>
      <w:r w:rsidR="00FE7209">
        <w:rPr>
          <w:rFonts w:cs="Times New Roman"/>
          <w:noProof/>
          <w:szCs w:val="24"/>
        </w:rPr>
        <w:t xml:space="preserve">or the trade volume </w:t>
      </w:r>
      <w:r>
        <w:rPr>
          <w:rFonts w:cs="Times New Roman"/>
          <w:noProof/>
          <w:szCs w:val="24"/>
        </w:rPr>
        <w:t>but the number and complexity of supply chains and the risk</w:t>
      </w:r>
      <w:r w:rsidR="00FE7209">
        <w:rPr>
          <w:rFonts w:cs="Times New Roman"/>
          <w:noProof/>
          <w:szCs w:val="24"/>
        </w:rPr>
        <w:t>s associated with</w:t>
      </w:r>
      <w:r>
        <w:rPr>
          <w:rFonts w:cs="Times New Roman"/>
          <w:noProof/>
          <w:szCs w:val="24"/>
        </w:rPr>
        <w:t xml:space="preserve"> the sourcing country. </w:t>
      </w:r>
    </w:p>
    <w:p w14:paraId="312D6616" w14:textId="54231C5E" w:rsidR="00220F83" w:rsidRDefault="007B01F9" w:rsidP="008478C6">
      <w:pPr>
        <w:jc w:val="both"/>
        <w:rPr>
          <w:rFonts w:cs="Times New Roman"/>
          <w:noProof/>
          <w:szCs w:val="24"/>
        </w:rPr>
      </w:pPr>
      <w:r>
        <w:rPr>
          <w:rFonts w:cs="Times New Roman"/>
          <w:noProof/>
          <w:szCs w:val="24"/>
        </w:rPr>
        <w:t>In</w:t>
      </w:r>
      <w:r w:rsidR="00FE7209" w:rsidRPr="00FE7209">
        <w:rPr>
          <w:rFonts w:cs="Times New Roman"/>
          <w:noProof/>
          <w:szCs w:val="24"/>
        </w:rPr>
        <w:t xml:space="preserve"> some sectors, SMEs already have considerable knowledge of their supply chains and product origin. This is the case in the EU’s growing artisanal/speciality chocolate market, where small and medium sized chocolate makers ensure the high quality and consistency of their products through establishing direct trade relationships with producers of speciality cocoa beans (primarily sourced from South and Central America)</w:t>
      </w:r>
      <w:r w:rsidR="00FE7209" w:rsidRPr="00FE7209">
        <w:rPr>
          <w:rFonts w:cs="Times New Roman"/>
          <w:noProof/>
          <w:szCs w:val="24"/>
          <w:vertAlign w:val="superscript"/>
        </w:rPr>
        <w:footnoteReference w:id="157"/>
      </w:r>
      <w:r w:rsidR="00FE7209" w:rsidRPr="00FE7209">
        <w:rPr>
          <w:rFonts w:cs="Times New Roman"/>
          <w:noProof/>
          <w:szCs w:val="24"/>
        </w:rPr>
        <w:t>. This speciality market is generally associated with more ethical and sustainable sourcing</w:t>
      </w:r>
      <w:r w:rsidR="00FE7209" w:rsidRPr="00FE7209">
        <w:rPr>
          <w:rFonts w:cs="Times New Roman"/>
          <w:noProof/>
          <w:szCs w:val="24"/>
          <w:vertAlign w:val="superscript"/>
        </w:rPr>
        <w:footnoteReference w:id="158"/>
      </w:r>
      <w:r w:rsidR="00FE7209" w:rsidRPr="00FE7209">
        <w:rPr>
          <w:rFonts w:cs="Times New Roman"/>
          <w:noProof/>
          <w:szCs w:val="24"/>
        </w:rPr>
        <w:t>, hence there may be low additional costs anticipated to comply with new legislative requirements. In comparison, EU imports of cocoa beans for the bulk market is dominated by large multinationals</w:t>
      </w:r>
      <w:r w:rsidR="00FE7209" w:rsidRPr="00FE7209">
        <w:rPr>
          <w:rFonts w:cs="Times New Roman"/>
          <w:noProof/>
          <w:szCs w:val="24"/>
          <w:vertAlign w:val="superscript"/>
        </w:rPr>
        <w:footnoteReference w:id="159"/>
      </w:r>
      <w:r w:rsidR="00FE7209" w:rsidRPr="00FE7209">
        <w:rPr>
          <w:rFonts w:cs="Times New Roman"/>
          <w:noProof/>
          <w:szCs w:val="24"/>
        </w:rPr>
        <w:t>. Whilst many have their own buyers and processing facilities in cocoa producing countries and use certification</w:t>
      </w:r>
      <w:r w:rsidR="00FE7209" w:rsidRPr="00FE7209">
        <w:rPr>
          <w:rFonts w:cs="Times New Roman"/>
          <w:noProof/>
          <w:szCs w:val="24"/>
          <w:vertAlign w:val="superscript"/>
        </w:rPr>
        <w:footnoteReference w:id="160"/>
      </w:r>
      <w:r w:rsidR="00FE7209" w:rsidRPr="00FE7209">
        <w:rPr>
          <w:rFonts w:cs="Times New Roman"/>
          <w:noProof/>
          <w:szCs w:val="24"/>
        </w:rPr>
        <w:t>, tracing product origins may be challenging due to the wide supply base and she</w:t>
      </w:r>
      <w:r w:rsidR="00C11B7D">
        <w:rPr>
          <w:rFonts w:cs="Times New Roman"/>
          <w:noProof/>
          <w:szCs w:val="24"/>
        </w:rPr>
        <w:t>e</w:t>
      </w:r>
      <w:r w:rsidR="00FE7209" w:rsidRPr="00FE7209">
        <w:rPr>
          <w:rFonts w:cs="Times New Roman"/>
          <w:noProof/>
          <w:szCs w:val="24"/>
        </w:rPr>
        <w:t>r number of smallholder producers. Nevertheless, many importers, cocoa processors, chocolate makers and retailers already have sustainability commitments, including the majority of multinationals</w:t>
      </w:r>
      <w:r w:rsidR="00FE7209" w:rsidRPr="00FE7209">
        <w:rPr>
          <w:rFonts w:cs="Times New Roman"/>
          <w:noProof/>
          <w:szCs w:val="24"/>
          <w:vertAlign w:val="superscript"/>
        </w:rPr>
        <w:footnoteReference w:id="161"/>
      </w:r>
      <w:r w:rsidR="00FE7209" w:rsidRPr="00FE7209">
        <w:rPr>
          <w:rFonts w:cs="Times New Roman"/>
          <w:noProof/>
          <w:szCs w:val="24"/>
          <w:vertAlign w:val="superscript"/>
        </w:rPr>
        <w:t>,</w:t>
      </w:r>
      <w:r w:rsidR="00FE7209" w:rsidRPr="00FE7209">
        <w:rPr>
          <w:rFonts w:cs="Times New Roman"/>
          <w:noProof/>
          <w:szCs w:val="24"/>
          <w:vertAlign w:val="superscript"/>
        </w:rPr>
        <w:footnoteReference w:id="162"/>
      </w:r>
      <w:r w:rsidR="00FE7209" w:rsidRPr="00FE7209">
        <w:rPr>
          <w:rFonts w:cs="Times New Roman"/>
          <w:noProof/>
          <w:szCs w:val="24"/>
        </w:rPr>
        <w:t>. Similarly, multinationals importing other commodities appear willing to work through their supply chains, as many have already published deforestation free sourcing commitments</w:t>
      </w:r>
      <w:r w:rsidR="00FE7209" w:rsidRPr="00FE7209">
        <w:rPr>
          <w:rFonts w:cs="Times New Roman"/>
          <w:noProof/>
          <w:szCs w:val="24"/>
          <w:vertAlign w:val="superscript"/>
        </w:rPr>
        <w:footnoteReference w:id="163"/>
      </w:r>
      <w:r w:rsidR="00FE7209" w:rsidRPr="00FE7209">
        <w:rPr>
          <w:rFonts w:cs="Times New Roman"/>
          <w:noProof/>
          <w:szCs w:val="24"/>
          <w:vertAlign w:val="superscript"/>
        </w:rPr>
        <w:t>,</w:t>
      </w:r>
      <w:r w:rsidR="00FE7209" w:rsidRPr="00FE7209">
        <w:rPr>
          <w:rFonts w:cs="Times New Roman"/>
          <w:noProof/>
          <w:szCs w:val="24"/>
          <w:vertAlign w:val="superscript"/>
        </w:rPr>
        <w:footnoteReference w:id="164"/>
      </w:r>
      <w:r w:rsidR="00FE7209" w:rsidRPr="00FE7209">
        <w:rPr>
          <w:rFonts w:cs="Times New Roman"/>
          <w:noProof/>
          <w:szCs w:val="24"/>
          <w:vertAlign w:val="superscript"/>
        </w:rPr>
        <w:t>,</w:t>
      </w:r>
      <w:r w:rsidR="00FE7209" w:rsidRPr="00FE7209">
        <w:rPr>
          <w:rFonts w:cs="Times New Roman"/>
          <w:noProof/>
          <w:szCs w:val="24"/>
          <w:vertAlign w:val="superscript"/>
        </w:rPr>
        <w:footnoteReference w:id="165"/>
      </w:r>
      <w:r w:rsidR="00FE7209" w:rsidRPr="00FE7209">
        <w:rPr>
          <w:rFonts w:cs="Times New Roman"/>
          <w:noProof/>
          <w:szCs w:val="24"/>
        </w:rPr>
        <w:t>; this initiative will help harmonize these approaches, also for consumers and third country suppliers</w:t>
      </w:r>
      <w:r w:rsidR="00FE7209">
        <w:rPr>
          <w:rFonts w:cs="Times New Roman"/>
          <w:noProof/>
          <w:szCs w:val="24"/>
        </w:rPr>
        <w:t>.</w:t>
      </w:r>
      <w:r w:rsidR="00220F83">
        <w:rPr>
          <w:rFonts w:cs="Times New Roman"/>
          <w:noProof/>
          <w:szCs w:val="24"/>
        </w:rPr>
        <w:t xml:space="preserve"> More information is provided under the assessment of </w:t>
      </w:r>
      <w:r w:rsidR="00220F83" w:rsidRPr="005777C2">
        <w:rPr>
          <w:rFonts w:cs="Times New Roman"/>
          <w:noProof/>
          <w:szCs w:val="24"/>
        </w:rPr>
        <w:t>impacts of option 1.</w:t>
      </w:r>
      <w:r w:rsidR="00220F83">
        <w:rPr>
          <w:rFonts w:cs="Times New Roman"/>
          <w:noProof/>
          <w:szCs w:val="24"/>
        </w:rPr>
        <w:t xml:space="preserve"> </w:t>
      </w:r>
    </w:p>
    <w:p w14:paraId="741C3C76" w14:textId="7EA92911" w:rsidR="008478C6" w:rsidRPr="007C1494" w:rsidRDefault="00220F83" w:rsidP="00F51105">
      <w:pPr>
        <w:jc w:val="both"/>
        <w:rPr>
          <w:rFonts w:cs="Times New Roman"/>
          <w:noProof/>
          <w:szCs w:val="24"/>
        </w:rPr>
      </w:pPr>
      <w:r>
        <w:rPr>
          <w:rFonts w:cs="Times New Roman"/>
          <w:noProof/>
          <w:szCs w:val="24"/>
        </w:rPr>
        <w:t>R</w:t>
      </w:r>
      <w:r w:rsidR="00FA5789" w:rsidRPr="007C1494">
        <w:rPr>
          <w:rFonts w:cs="Times New Roman"/>
          <w:noProof/>
          <w:szCs w:val="24"/>
        </w:rPr>
        <w:t xml:space="preserve">esponses to the EUTR and FLEGT Fitness Check </w:t>
      </w:r>
      <w:r w:rsidR="00FE7209">
        <w:rPr>
          <w:rFonts w:cs="Times New Roman"/>
          <w:noProof/>
          <w:szCs w:val="24"/>
        </w:rPr>
        <w:t>Online</w:t>
      </w:r>
      <w:r w:rsidR="00FE7209" w:rsidRPr="007C1494">
        <w:rPr>
          <w:rFonts w:cs="Times New Roman"/>
          <w:noProof/>
          <w:szCs w:val="24"/>
        </w:rPr>
        <w:t xml:space="preserve"> </w:t>
      </w:r>
      <w:r w:rsidR="00FA5789" w:rsidRPr="007C1494">
        <w:rPr>
          <w:rFonts w:cs="Times New Roman"/>
          <w:noProof/>
          <w:szCs w:val="24"/>
        </w:rPr>
        <w:t>Public Consultation</w:t>
      </w:r>
      <w:r w:rsidR="00062B34" w:rsidRPr="007C1494">
        <w:rPr>
          <w:rFonts w:cs="Times New Roman"/>
          <w:noProof/>
          <w:szCs w:val="24"/>
        </w:rPr>
        <w:t xml:space="preserve"> indicate that</w:t>
      </w:r>
      <w:r w:rsidR="00FA5789" w:rsidRPr="007C1494">
        <w:rPr>
          <w:rFonts w:cs="Times New Roman"/>
          <w:noProof/>
          <w:szCs w:val="24"/>
        </w:rPr>
        <w:t xml:space="preserve"> </w:t>
      </w:r>
      <w:r w:rsidR="00556ADC" w:rsidRPr="007C1494">
        <w:rPr>
          <w:rFonts w:cs="Times New Roman"/>
          <w:noProof/>
          <w:szCs w:val="24"/>
        </w:rPr>
        <w:t>many businesses</w:t>
      </w:r>
      <w:r w:rsidR="00CD3FA0" w:rsidRPr="007C1494">
        <w:rPr>
          <w:rFonts w:cs="Times New Roman"/>
          <w:noProof/>
          <w:szCs w:val="24"/>
        </w:rPr>
        <w:t xml:space="preserve"> </w:t>
      </w:r>
      <w:r w:rsidR="00062B34" w:rsidRPr="007C1494">
        <w:rPr>
          <w:rFonts w:cs="Times New Roman"/>
          <w:noProof/>
          <w:szCs w:val="24"/>
        </w:rPr>
        <w:t xml:space="preserve">support the establishment of </w:t>
      </w:r>
      <w:r w:rsidR="00556ADC" w:rsidRPr="007C1494">
        <w:rPr>
          <w:rFonts w:cs="Times New Roman"/>
          <w:noProof/>
          <w:szCs w:val="24"/>
        </w:rPr>
        <w:t xml:space="preserve">a mandatory framework </w:t>
      </w:r>
      <w:r w:rsidR="00062B34" w:rsidRPr="007C1494">
        <w:rPr>
          <w:rFonts w:cs="Times New Roman"/>
          <w:noProof/>
          <w:szCs w:val="24"/>
        </w:rPr>
        <w:t xml:space="preserve">to </w:t>
      </w:r>
      <w:r w:rsidR="007B01F9">
        <w:rPr>
          <w:rFonts w:cs="Times New Roman"/>
          <w:noProof/>
          <w:szCs w:val="24"/>
        </w:rPr>
        <w:t xml:space="preserve">ensure </w:t>
      </w:r>
      <w:r w:rsidR="00556ADC" w:rsidRPr="007C1494">
        <w:rPr>
          <w:rFonts w:cs="Times New Roman"/>
          <w:noProof/>
          <w:szCs w:val="24"/>
        </w:rPr>
        <w:t>a level playing field.</w:t>
      </w:r>
      <w:r w:rsidR="00556ADC" w:rsidRPr="007C1494">
        <w:rPr>
          <w:rStyle w:val="FootnoteReference"/>
          <w:rFonts w:cs="Times New Roman"/>
          <w:noProof/>
          <w:szCs w:val="24"/>
        </w:rPr>
        <w:footnoteReference w:id="166"/>
      </w:r>
      <w:r w:rsidR="00CF2ECC">
        <w:rPr>
          <w:rFonts w:cs="Times New Roman"/>
          <w:noProof/>
          <w:szCs w:val="24"/>
        </w:rPr>
        <w:t xml:space="preserve"> While such a level playing field has been found to be essential </w:t>
      </w:r>
      <w:r w:rsidR="00936391">
        <w:rPr>
          <w:rFonts w:cs="Times New Roman"/>
          <w:noProof/>
          <w:szCs w:val="24"/>
        </w:rPr>
        <w:t xml:space="preserve">when </w:t>
      </w:r>
      <w:r w:rsidR="00FE7209">
        <w:rPr>
          <w:rFonts w:cs="Times New Roman"/>
          <w:noProof/>
          <w:szCs w:val="24"/>
        </w:rPr>
        <w:t>implementing the EUTR</w:t>
      </w:r>
      <w:r w:rsidR="00CF2ECC">
        <w:rPr>
          <w:rFonts w:cs="Times New Roman"/>
          <w:noProof/>
          <w:szCs w:val="24"/>
        </w:rPr>
        <w:t>, it is even more relevant and essential for the much larger and even more competitive trade in the commodities that this initiative proposes to cover.</w:t>
      </w:r>
    </w:p>
    <w:p w14:paraId="74B4E42A" w14:textId="0E59EF19" w:rsidR="00343FFA" w:rsidRPr="007C1494" w:rsidRDefault="00343FFA" w:rsidP="00F51105">
      <w:pPr>
        <w:jc w:val="both"/>
        <w:rPr>
          <w:rFonts w:cs="Times New Roman"/>
          <w:b/>
          <w:noProof/>
          <w:szCs w:val="24"/>
        </w:rPr>
      </w:pPr>
      <w:r w:rsidRPr="007C1494">
        <w:rPr>
          <w:rFonts w:cs="Times New Roman"/>
          <w:b/>
          <w:noProof/>
          <w:szCs w:val="24"/>
        </w:rPr>
        <w:t>Trade implications</w:t>
      </w:r>
    </w:p>
    <w:p w14:paraId="742C78AD" w14:textId="25DD9E7A" w:rsidR="00F51105" w:rsidRPr="007C1494" w:rsidRDefault="00F51105" w:rsidP="00F51105">
      <w:pPr>
        <w:jc w:val="both"/>
        <w:rPr>
          <w:rFonts w:cs="Times New Roman"/>
          <w:noProof/>
          <w:szCs w:val="24"/>
        </w:rPr>
      </w:pPr>
      <w:r w:rsidRPr="007C1494">
        <w:rPr>
          <w:rFonts w:cs="Times New Roman"/>
          <w:noProof/>
          <w:szCs w:val="24"/>
        </w:rPr>
        <w:t xml:space="preserve">All policy options are expected to have </w:t>
      </w:r>
      <w:r w:rsidR="00763994" w:rsidRPr="007C1494">
        <w:rPr>
          <w:rFonts w:cs="Times New Roman"/>
          <w:noProof/>
          <w:szCs w:val="24"/>
        </w:rPr>
        <w:t xml:space="preserve">intended </w:t>
      </w:r>
      <w:r w:rsidR="0081393E" w:rsidRPr="007C1494">
        <w:rPr>
          <w:rFonts w:cs="Times New Roman"/>
          <w:noProof/>
          <w:szCs w:val="24"/>
        </w:rPr>
        <w:t>consequences</w:t>
      </w:r>
      <w:r w:rsidR="00763994" w:rsidRPr="007C1494">
        <w:rPr>
          <w:rFonts w:cs="Times New Roman"/>
          <w:noProof/>
          <w:szCs w:val="24"/>
        </w:rPr>
        <w:t xml:space="preserve">, which could translate into </w:t>
      </w:r>
      <w:r w:rsidR="00FE7209">
        <w:rPr>
          <w:rFonts w:cs="Times New Roman"/>
          <w:noProof/>
          <w:szCs w:val="24"/>
        </w:rPr>
        <w:t>the following</w:t>
      </w:r>
      <w:r w:rsidR="00763994" w:rsidRPr="007C1494">
        <w:rPr>
          <w:rFonts w:cs="Times New Roman"/>
          <w:noProof/>
          <w:szCs w:val="24"/>
        </w:rPr>
        <w:t xml:space="preserve"> trade impacts</w:t>
      </w:r>
      <w:r w:rsidR="00FE7209">
        <w:rPr>
          <w:rFonts w:cs="Times New Roman"/>
          <w:noProof/>
          <w:szCs w:val="24"/>
        </w:rPr>
        <w:t xml:space="preserve"> </w:t>
      </w:r>
      <w:r w:rsidR="00FE7209" w:rsidRPr="00FE7209">
        <w:rPr>
          <w:rFonts w:cs="Times New Roman"/>
          <w:noProof/>
          <w:szCs w:val="24"/>
        </w:rPr>
        <w:t>(unintended trade impacts are discussed further below)</w:t>
      </w:r>
      <w:r w:rsidRPr="007C1494">
        <w:rPr>
          <w:rFonts w:cs="Times New Roman"/>
          <w:noProof/>
          <w:szCs w:val="24"/>
        </w:rPr>
        <w:t xml:space="preserve">:  </w:t>
      </w:r>
    </w:p>
    <w:p w14:paraId="691E7CA8" w14:textId="746D4649" w:rsidR="00F51105" w:rsidRPr="007C1494" w:rsidRDefault="00F51105" w:rsidP="00961FB0">
      <w:pPr>
        <w:pStyle w:val="ListParagraph"/>
        <w:numPr>
          <w:ilvl w:val="0"/>
          <w:numId w:val="31"/>
        </w:numPr>
        <w:jc w:val="both"/>
        <w:rPr>
          <w:rFonts w:cs="Times New Roman"/>
          <w:noProof/>
          <w:szCs w:val="24"/>
        </w:rPr>
      </w:pPr>
      <w:r w:rsidRPr="007C1494">
        <w:rPr>
          <w:rFonts w:cs="Times New Roman"/>
          <w:noProof/>
          <w:szCs w:val="24"/>
        </w:rPr>
        <w:t>Sourcing of commodities and derived products shift</w:t>
      </w:r>
      <w:r w:rsidR="00FA4DCD" w:rsidRPr="007C1494">
        <w:rPr>
          <w:rFonts w:cs="Times New Roman"/>
          <w:noProof/>
          <w:szCs w:val="24"/>
        </w:rPr>
        <w:t>s</w:t>
      </w:r>
      <w:r w:rsidRPr="007C1494">
        <w:rPr>
          <w:rFonts w:cs="Times New Roman"/>
          <w:noProof/>
          <w:szCs w:val="24"/>
        </w:rPr>
        <w:t xml:space="preserve"> to products </w:t>
      </w:r>
      <w:r w:rsidR="00763994" w:rsidRPr="007C1494">
        <w:rPr>
          <w:rFonts w:cs="Times New Roman"/>
          <w:noProof/>
          <w:szCs w:val="24"/>
        </w:rPr>
        <w:t xml:space="preserve">that </w:t>
      </w:r>
      <w:r w:rsidR="00350CCC" w:rsidRPr="007C1494">
        <w:rPr>
          <w:rFonts w:cs="Times New Roman"/>
          <w:noProof/>
          <w:szCs w:val="24"/>
        </w:rPr>
        <w:t>come from deforestation-free supply chains</w:t>
      </w:r>
      <w:r w:rsidRPr="007C1494">
        <w:rPr>
          <w:rFonts w:cs="Times New Roman"/>
          <w:noProof/>
          <w:szCs w:val="24"/>
        </w:rPr>
        <w:t xml:space="preserve">.  </w:t>
      </w:r>
    </w:p>
    <w:p w14:paraId="2DED2933" w14:textId="4EC9E9FD" w:rsidR="00F51105" w:rsidRPr="007C1494" w:rsidRDefault="00F51105" w:rsidP="00961FB0">
      <w:pPr>
        <w:pStyle w:val="ListParagraph"/>
        <w:numPr>
          <w:ilvl w:val="0"/>
          <w:numId w:val="31"/>
        </w:numPr>
        <w:jc w:val="both"/>
        <w:rPr>
          <w:rFonts w:cs="Times New Roman"/>
          <w:noProof/>
          <w:szCs w:val="24"/>
        </w:rPr>
      </w:pPr>
      <w:r w:rsidRPr="007C1494">
        <w:rPr>
          <w:rFonts w:cs="Times New Roman"/>
          <w:noProof/>
          <w:szCs w:val="24"/>
        </w:rPr>
        <w:t>Consumption and production patterns within the EU change to minimise or eliminate the use of commodi</w:t>
      </w:r>
      <w:r w:rsidR="008565FB" w:rsidRPr="007C1494">
        <w:rPr>
          <w:rFonts w:cs="Times New Roman"/>
          <w:noProof/>
          <w:szCs w:val="24"/>
        </w:rPr>
        <w:t>ties</w:t>
      </w:r>
      <w:r w:rsidRPr="007C1494">
        <w:rPr>
          <w:rFonts w:cs="Times New Roman"/>
          <w:noProof/>
          <w:szCs w:val="24"/>
        </w:rPr>
        <w:t xml:space="preserve"> and derived products that co</w:t>
      </w:r>
      <w:r w:rsidR="003B19BE" w:rsidRPr="007C1494">
        <w:rPr>
          <w:rFonts w:cs="Times New Roman"/>
          <w:noProof/>
          <w:szCs w:val="24"/>
        </w:rPr>
        <w:t xml:space="preserve">me from supply chains associated with </w:t>
      </w:r>
      <w:r w:rsidRPr="007C1494">
        <w:rPr>
          <w:rFonts w:cs="Times New Roman"/>
          <w:noProof/>
          <w:szCs w:val="24"/>
        </w:rPr>
        <w:t xml:space="preserve">deforestation </w:t>
      </w:r>
      <w:r w:rsidR="003B19BE" w:rsidRPr="007C1494">
        <w:rPr>
          <w:rFonts w:cs="Times New Roman"/>
          <w:noProof/>
          <w:szCs w:val="24"/>
        </w:rPr>
        <w:t>or</w:t>
      </w:r>
      <w:r w:rsidRPr="007C1494">
        <w:rPr>
          <w:rFonts w:cs="Times New Roman"/>
          <w:noProof/>
          <w:szCs w:val="24"/>
        </w:rPr>
        <w:t xml:space="preserve"> forest degradation.</w:t>
      </w:r>
    </w:p>
    <w:p w14:paraId="1C404074" w14:textId="6DEF365A" w:rsidR="00973CA6" w:rsidRPr="00AC43EE" w:rsidRDefault="00C75044" w:rsidP="00973CA6">
      <w:pPr>
        <w:jc w:val="both"/>
        <w:rPr>
          <w:rFonts w:eastAsia="Calibri" w:cs="Times New Roman"/>
          <w:noProof/>
          <w:color w:val="FF0000"/>
          <w:szCs w:val="24"/>
          <w:lang w:eastAsia="en-GB"/>
        </w:rPr>
      </w:pPr>
      <w:r w:rsidRPr="007C1494">
        <w:rPr>
          <w:rFonts w:cs="Times New Roman"/>
          <w:noProof/>
          <w:szCs w:val="24"/>
        </w:rPr>
        <w:t xml:space="preserve">The intervention will impact </w:t>
      </w:r>
      <w:r w:rsidR="00F362BD">
        <w:rPr>
          <w:rFonts w:cs="Times New Roman"/>
          <w:noProof/>
          <w:szCs w:val="24"/>
        </w:rPr>
        <w:t>third</w:t>
      </w:r>
      <w:r w:rsidR="00F362BD" w:rsidRPr="007C1494">
        <w:rPr>
          <w:rFonts w:cs="Times New Roman"/>
          <w:noProof/>
          <w:szCs w:val="24"/>
        </w:rPr>
        <w:t xml:space="preserve"> </w:t>
      </w:r>
      <w:r w:rsidR="00763994" w:rsidRPr="007C1494">
        <w:rPr>
          <w:rFonts w:cs="Times New Roman"/>
          <w:noProof/>
          <w:szCs w:val="24"/>
        </w:rPr>
        <w:t xml:space="preserve">countries </w:t>
      </w:r>
      <w:r w:rsidR="00E55DCA">
        <w:rPr>
          <w:rFonts w:eastAsia="Arial Unicode MS" w:cs="Arial Unicode MS"/>
          <w:noProof/>
        </w:rPr>
        <w:t>to the extent that they export to the EU and their</w:t>
      </w:r>
      <w:r w:rsidR="00E55DCA" w:rsidRPr="007C1494" w:rsidDel="00E55DCA">
        <w:rPr>
          <w:rFonts w:cs="Times New Roman"/>
          <w:noProof/>
          <w:szCs w:val="24"/>
        </w:rPr>
        <w:t xml:space="preserve"> </w:t>
      </w:r>
      <w:r w:rsidR="00247E64" w:rsidRPr="007C1494">
        <w:rPr>
          <w:rFonts w:cs="Times New Roman"/>
          <w:noProof/>
          <w:szCs w:val="24"/>
        </w:rPr>
        <w:t xml:space="preserve">production practices for the </w:t>
      </w:r>
      <w:r w:rsidR="00F7502A">
        <w:rPr>
          <w:rFonts w:cs="Times New Roman"/>
          <w:noProof/>
          <w:szCs w:val="24"/>
        </w:rPr>
        <w:t xml:space="preserve">relevant </w:t>
      </w:r>
      <w:r w:rsidR="00247E64" w:rsidRPr="007C1494">
        <w:rPr>
          <w:rFonts w:cs="Times New Roman"/>
          <w:noProof/>
          <w:szCs w:val="24"/>
        </w:rPr>
        <w:t>commodities</w:t>
      </w:r>
      <w:r w:rsidR="00F7502A">
        <w:rPr>
          <w:rFonts w:cs="Times New Roman"/>
          <w:noProof/>
          <w:szCs w:val="24"/>
        </w:rPr>
        <w:t xml:space="preserve"> and products </w:t>
      </w:r>
      <w:r w:rsidR="00247E64" w:rsidRPr="007C1494">
        <w:rPr>
          <w:rFonts w:cs="Times New Roman"/>
          <w:noProof/>
          <w:szCs w:val="24"/>
        </w:rPr>
        <w:t xml:space="preserve">do not </w:t>
      </w:r>
      <w:r w:rsidR="00B70E4F">
        <w:rPr>
          <w:rFonts w:cs="Times New Roman"/>
          <w:noProof/>
          <w:szCs w:val="24"/>
        </w:rPr>
        <w:t>comply with</w:t>
      </w:r>
      <w:r w:rsidR="00247E64" w:rsidRPr="007C1494">
        <w:rPr>
          <w:rFonts w:cs="Times New Roman"/>
          <w:noProof/>
          <w:szCs w:val="24"/>
        </w:rPr>
        <w:t xml:space="preserve"> the deforestation-free </w:t>
      </w:r>
      <w:r w:rsidR="00B70E4F">
        <w:rPr>
          <w:rFonts w:cs="Times New Roman"/>
          <w:noProof/>
          <w:szCs w:val="24"/>
        </w:rPr>
        <w:t>definition</w:t>
      </w:r>
      <w:r w:rsidR="00247E64" w:rsidRPr="007C1494">
        <w:rPr>
          <w:rFonts w:cs="Times New Roman"/>
          <w:noProof/>
          <w:szCs w:val="24"/>
        </w:rPr>
        <w:t xml:space="preserve">. </w:t>
      </w:r>
      <w:r w:rsidR="00973CA6" w:rsidRPr="00362EF8">
        <w:rPr>
          <w:rFonts w:eastAsia="Calibri" w:cs="Times New Roman"/>
          <w:noProof/>
          <w:color w:val="000000" w:themeColor="text1"/>
          <w:szCs w:val="24"/>
          <w:lang w:eastAsia="en-GB"/>
        </w:rPr>
        <w:t xml:space="preserve">There is a degree of uncertainty as regards the measurement of impacts (costs and benefits) of the EU intervention on third countries. These will also depend, for instance, on concrete commitments </w:t>
      </w:r>
      <w:r w:rsidR="00973CA6" w:rsidRPr="00AC43EE">
        <w:rPr>
          <w:rFonts w:eastAsia="Calibri" w:cs="Times New Roman"/>
          <w:noProof/>
          <w:color w:val="000000" w:themeColor="text1"/>
          <w:szCs w:val="24"/>
          <w:lang w:eastAsia="en-GB"/>
        </w:rPr>
        <w:t xml:space="preserve">aiming at reducing deforestation as part of the new global biodiversity framework and in revised nationally determined contributions (NDCs) under the Paris Agreement. </w:t>
      </w:r>
      <w:r w:rsidR="00C11B7D" w:rsidRPr="00AC43EE">
        <w:rPr>
          <w:rFonts w:eastAsia="Calibri" w:cs="Times New Roman"/>
          <w:noProof/>
          <w:color w:val="000000" w:themeColor="text1"/>
          <w:szCs w:val="24"/>
          <w:lang w:eastAsia="en-GB"/>
        </w:rPr>
        <w:t xml:space="preserve">In addition, the countries have already committed to halting deforestation by 2020 under SDG 15.2. </w:t>
      </w:r>
      <w:r w:rsidR="00973CA6" w:rsidRPr="00AC43EE">
        <w:rPr>
          <w:rFonts w:eastAsia="Calibri" w:cs="Times New Roman"/>
          <w:noProof/>
          <w:color w:val="000000" w:themeColor="text1"/>
          <w:szCs w:val="24"/>
          <w:lang w:eastAsia="en-GB"/>
        </w:rPr>
        <w:t>Political</w:t>
      </w:r>
      <w:r w:rsidR="00973CA6" w:rsidRPr="00362EF8">
        <w:rPr>
          <w:rFonts w:eastAsia="Calibri" w:cs="Times New Roman"/>
          <w:noProof/>
          <w:color w:val="000000" w:themeColor="text1"/>
          <w:szCs w:val="24"/>
          <w:lang w:eastAsia="en-GB"/>
        </w:rPr>
        <w:t xml:space="preserve"> leaders of 88 countries, as well as the EU, committed in the United Nations Summit on Biodiversity in 2020 to reversing biodiversity loss by 2030, and</w:t>
      </w:r>
      <w:r w:rsidR="00973CA6" w:rsidRPr="00386C2D" w:rsidDel="00850673">
        <w:rPr>
          <w:rFonts w:eastAsia="Calibri" w:cs="Times New Roman"/>
          <w:noProof/>
          <w:color w:val="000000" w:themeColor="text1"/>
          <w:szCs w:val="24"/>
          <w:lang w:eastAsia="en-GB"/>
        </w:rPr>
        <w:t xml:space="preserve"> </w:t>
      </w:r>
      <w:r w:rsidR="00973CA6" w:rsidRPr="00386C2D">
        <w:rPr>
          <w:rFonts w:eastAsia="Calibri" w:cs="Times New Roman"/>
          <w:noProof/>
          <w:color w:val="000000" w:themeColor="text1"/>
          <w:szCs w:val="24"/>
          <w:lang w:eastAsia="en-GB"/>
        </w:rPr>
        <w:t xml:space="preserve">promised to redouble efforts on fighting deforestation. In this context, it is extremely challenging to determine the degree to which trade, environmental, </w:t>
      </w:r>
      <w:r w:rsidR="00973CA6" w:rsidRPr="00AC43EE">
        <w:rPr>
          <w:rFonts w:eastAsia="Calibri" w:cs="Times New Roman"/>
          <w:noProof/>
          <w:color w:val="000000" w:themeColor="text1"/>
          <w:szCs w:val="24"/>
          <w:lang w:eastAsia="en-GB"/>
        </w:rPr>
        <w:t>economic and social impacts related to deforestation and forest degradation could be a consequence of the EU intervention or rather the individual initiative of those countries</w:t>
      </w:r>
      <w:r w:rsidR="00DB6D8D" w:rsidRPr="00AC43EE">
        <w:rPr>
          <w:rFonts w:eastAsia="Calibri" w:cs="Times New Roman"/>
          <w:noProof/>
          <w:color w:val="000000" w:themeColor="text1"/>
          <w:szCs w:val="24"/>
          <w:lang w:eastAsia="en-GB"/>
        </w:rPr>
        <w:t xml:space="preserve"> to live up to commitments already made</w:t>
      </w:r>
      <w:r w:rsidR="00973CA6" w:rsidRPr="00AC43EE">
        <w:rPr>
          <w:rFonts w:eastAsia="Calibri" w:cs="Times New Roman"/>
          <w:noProof/>
          <w:color w:val="000000" w:themeColor="text1"/>
          <w:szCs w:val="24"/>
          <w:lang w:eastAsia="en-GB"/>
        </w:rPr>
        <w:t xml:space="preserve">. </w:t>
      </w:r>
    </w:p>
    <w:p w14:paraId="57CF71C0" w14:textId="6582C2B6" w:rsidR="008501FF" w:rsidRDefault="00DB6D8D" w:rsidP="00EE6E0E">
      <w:pPr>
        <w:jc w:val="both"/>
        <w:rPr>
          <w:rFonts w:cs="Times New Roman"/>
          <w:noProof/>
          <w:szCs w:val="24"/>
        </w:rPr>
      </w:pPr>
      <w:r w:rsidRPr="00AC43EE">
        <w:rPr>
          <w:rFonts w:cs="Times New Roman"/>
          <w:noProof/>
          <w:szCs w:val="24"/>
        </w:rPr>
        <w:t>C</w:t>
      </w:r>
      <w:r w:rsidR="00247E64" w:rsidRPr="00AC43EE">
        <w:rPr>
          <w:rFonts w:cs="Times New Roman"/>
          <w:noProof/>
          <w:szCs w:val="24"/>
        </w:rPr>
        <w:t xml:space="preserve">ountries </w:t>
      </w:r>
      <w:r w:rsidRPr="00AC43EE">
        <w:rPr>
          <w:rFonts w:cs="Times New Roman"/>
          <w:noProof/>
          <w:szCs w:val="24"/>
        </w:rPr>
        <w:t xml:space="preserve">exporting commodities within the scope of the initiative </w:t>
      </w:r>
      <w:r w:rsidR="00247E64" w:rsidRPr="00AC43EE">
        <w:rPr>
          <w:rFonts w:cs="Times New Roman"/>
          <w:noProof/>
          <w:szCs w:val="24"/>
        </w:rPr>
        <w:t>w</w:t>
      </w:r>
      <w:r w:rsidRPr="00AC43EE">
        <w:rPr>
          <w:rFonts w:cs="Times New Roman"/>
          <w:noProof/>
          <w:szCs w:val="24"/>
        </w:rPr>
        <w:t>ould</w:t>
      </w:r>
      <w:r w:rsidR="00247E64" w:rsidRPr="00AC43EE">
        <w:rPr>
          <w:rFonts w:cs="Times New Roman"/>
          <w:noProof/>
          <w:szCs w:val="24"/>
        </w:rPr>
        <w:t xml:space="preserve"> need to take action to ensure that the production of </w:t>
      </w:r>
      <w:r w:rsidRPr="00AC43EE">
        <w:rPr>
          <w:rFonts w:cs="Times New Roman"/>
          <w:noProof/>
          <w:szCs w:val="24"/>
        </w:rPr>
        <w:t>such</w:t>
      </w:r>
      <w:r w:rsidR="00247E64" w:rsidRPr="00AC43EE">
        <w:rPr>
          <w:rFonts w:cs="Times New Roman"/>
          <w:noProof/>
          <w:szCs w:val="24"/>
        </w:rPr>
        <w:t xml:space="preserve"> commodities is deforestation-free </w:t>
      </w:r>
      <w:r w:rsidR="00F362BD" w:rsidRPr="00AC43EE">
        <w:rPr>
          <w:rFonts w:cs="Times New Roman"/>
          <w:noProof/>
          <w:szCs w:val="24"/>
        </w:rPr>
        <w:t>and traceable</w:t>
      </w:r>
      <w:r w:rsidR="00F7502A" w:rsidRPr="00AC43EE">
        <w:rPr>
          <w:rFonts w:cs="Times New Roman"/>
          <w:noProof/>
          <w:szCs w:val="24"/>
        </w:rPr>
        <w:t xml:space="preserve"> </w:t>
      </w:r>
      <w:r w:rsidR="00247E64" w:rsidRPr="00AC43EE">
        <w:rPr>
          <w:rFonts w:cs="Times New Roman"/>
          <w:noProof/>
          <w:szCs w:val="24"/>
        </w:rPr>
        <w:t xml:space="preserve">to </w:t>
      </w:r>
      <w:r w:rsidR="00763994" w:rsidRPr="00AC43EE">
        <w:rPr>
          <w:rFonts w:cs="Times New Roman"/>
          <w:noProof/>
          <w:szCs w:val="24"/>
        </w:rPr>
        <w:t>mee</w:t>
      </w:r>
      <w:r w:rsidR="00897781" w:rsidRPr="00AC43EE">
        <w:rPr>
          <w:rFonts w:cs="Times New Roman"/>
          <w:noProof/>
          <w:szCs w:val="24"/>
        </w:rPr>
        <w:t>t</w:t>
      </w:r>
      <w:r w:rsidR="00763994" w:rsidRPr="00AC43EE">
        <w:rPr>
          <w:rFonts w:cs="Times New Roman"/>
          <w:noProof/>
          <w:szCs w:val="24"/>
        </w:rPr>
        <w:t xml:space="preserve"> the requir</w:t>
      </w:r>
      <w:r w:rsidR="00897781" w:rsidRPr="00AC43EE">
        <w:rPr>
          <w:rFonts w:cs="Times New Roman"/>
          <w:noProof/>
          <w:szCs w:val="24"/>
        </w:rPr>
        <w:t>e</w:t>
      </w:r>
      <w:r w:rsidR="009C0E10" w:rsidRPr="00AC43EE">
        <w:rPr>
          <w:rFonts w:cs="Times New Roman"/>
          <w:noProof/>
          <w:szCs w:val="24"/>
        </w:rPr>
        <w:t>ments</w:t>
      </w:r>
      <w:r w:rsidR="00763994" w:rsidRPr="00AC43EE">
        <w:rPr>
          <w:rFonts w:cs="Times New Roman"/>
          <w:noProof/>
          <w:szCs w:val="24"/>
        </w:rPr>
        <w:t xml:space="preserve"> of</w:t>
      </w:r>
      <w:r w:rsidR="00247E64" w:rsidRPr="00AC43EE">
        <w:rPr>
          <w:rFonts w:cs="Times New Roman"/>
          <w:noProof/>
          <w:szCs w:val="24"/>
        </w:rPr>
        <w:t xml:space="preserve"> the EU</w:t>
      </w:r>
      <w:r w:rsidR="00C75044" w:rsidRPr="00AC43EE">
        <w:rPr>
          <w:rFonts w:cs="Times New Roman"/>
          <w:noProof/>
          <w:szCs w:val="24"/>
        </w:rPr>
        <w:t xml:space="preserve">. </w:t>
      </w:r>
      <w:r w:rsidR="00FA4DCD" w:rsidRPr="00AC43EE">
        <w:rPr>
          <w:rFonts w:cs="Times New Roman"/>
          <w:noProof/>
          <w:szCs w:val="24"/>
        </w:rPr>
        <w:t>Additional</w:t>
      </w:r>
      <w:r w:rsidR="00FA4DCD" w:rsidRPr="007C1494">
        <w:rPr>
          <w:rFonts w:cs="Times New Roman"/>
          <w:noProof/>
          <w:szCs w:val="24"/>
        </w:rPr>
        <w:t xml:space="preserve"> costs borne by </w:t>
      </w:r>
      <w:r w:rsidR="00F362BD">
        <w:rPr>
          <w:rFonts w:cs="Times New Roman"/>
          <w:noProof/>
          <w:szCs w:val="24"/>
        </w:rPr>
        <w:t xml:space="preserve">actors in producing countries </w:t>
      </w:r>
      <w:r w:rsidR="00FA4DCD" w:rsidRPr="007C1494">
        <w:rPr>
          <w:rFonts w:cs="Times New Roman"/>
          <w:noProof/>
          <w:szCs w:val="24"/>
        </w:rPr>
        <w:t xml:space="preserve">to ensure compliance with the regulation would be any costs of switching to production practices compliant with the deforestation-free definition. These costs are likely to differ significantly depending on product, region, complexity of supply chains and current production processes, including local market context and legislative framework. It is unclear however whether these costs would be permanently higher. </w:t>
      </w:r>
      <w:r w:rsidR="008501FF">
        <w:rPr>
          <w:rFonts w:cs="Times New Roman"/>
          <w:noProof/>
          <w:szCs w:val="24"/>
        </w:rPr>
        <w:t>The suggested cut-off date of 2020 is expected to significantly reduce compliance costs for third countries and their stakeholders (see section 4.5.)</w:t>
      </w:r>
    </w:p>
    <w:p w14:paraId="408BBEB1" w14:textId="19174396" w:rsidR="00247E64" w:rsidRPr="007C1494" w:rsidRDefault="007D32A0" w:rsidP="00EE6E0E">
      <w:pPr>
        <w:jc w:val="both"/>
        <w:rPr>
          <w:rFonts w:cs="Times New Roman"/>
          <w:noProof/>
          <w:szCs w:val="24"/>
        </w:rPr>
      </w:pPr>
      <w:r>
        <w:rPr>
          <w:rFonts w:cs="Times New Roman"/>
          <w:noProof/>
          <w:szCs w:val="24"/>
        </w:rPr>
        <w:t xml:space="preserve">Eventual costs </w:t>
      </w:r>
      <w:r w:rsidR="00FA4DCD" w:rsidRPr="007C1494">
        <w:rPr>
          <w:rFonts w:cs="Times New Roman"/>
          <w:noProof/>
          <w:szCs w:val="24"/>
        </w:rPr>
        <w:t xml:space="preserve">linked to compliance with applicable legislation in the country of production </w:t>
      </w:r>
      <w:r>
        <w:rPr>
          <w:rFonts w:cs="Times New Roman"/>
          <w:noProof/>
          <w:szCs w:val="24"/>
        </w:rPr>
        <w:t>should not be attributed to the EU requirements</w:t>
      </w:r>
      <w:r w:rsidR="00FA4DCD" w:rsidRPr="007C1494">
        <w:rPr>
          <w:rFonts w:cs="Times New Roman"/>
          <w:noProof/>
          <w:szCs w:val="24"/>
        </w:rPr>
        <w:t>, as cost of legal compliance for producers should be part of the normal operating costs</w:t>
      </w:r>
      <w:r w:rsidR="00574C48" w:rsidRPr="007C1494">
        <w:rPr>
          <w:rFonts w:cs="Times New Roman"/>
          <w:noProof/>
          <w:szCs w:val="24"/>
        </w:rPr>
        <w:t>.</w:t>
      </w:r>
    </w:p>
    <w:p w14:paraId="5D75DC89" w14:textId="7470F741" w:rsidR="007D32A0" w:rsidRPr="007D32A0" w:rsidRDefault="007D32A0" w:rsidP="007D32A0">
      <w:pPr>
        <w:jc w:val="both"/>
        <w:rPr>
          <w:rFonts w:cs="Times New Roman"/>
          <w:noProof/>
          <w:szCs w:val="24"/>
        </w:rPr>
      </w:pPr>
      <w:r w:rsidRPr="007D32A0">
        <w:rPr>
          <w:rFonts w:cs="Times New Roman"/>
          <w:noProof/>
          <w:szCs w:val="24"/>
        </w:rPr>
        <w:t>As a snapshot of potential impacts on particular third countries, Côte d’Ivoire supplies 4</w:t>
      </w:r>
      <w:r w:rsidR="003A5F85">
        <w:rPr>
          <w:rFonts w:cs="Times New Roman"/>
          <w:noProof/>
          <w:szCs w:val="24"/>
        </w:rPr>
        <w:t>4</w:t>
      </w:r>
      <w:r w:rsidRPr="007D32A0">
        <w:rPr>
          <w:rFonts w:cs="Times New Roman"/>
          <w:noProof/>
          <w:szCs w:val="24"/>
        </w:rPr>
        <w:t xml:space="preserve">% of the EU’s cocoa and cocoa is central to its economy, contributing </w:t>
      </w:r>
      <w:r w:rsidR="00864CB4">
        <w:rPr>
          <w:rFonts w:cs="Times New Roman"/>
          <w:noProof/>
          <w:szCs w:val="24"/>
        </w:rPr>
        <w:t xml:space="preserve">to </w:t>
      </w:r>
      <w:r w:rsidR="003A5F85">
        <w:rPr>
          <w:rFonts w:cs="Times New Roman"/>
          <w:noProof/>
          <w:szCs w:val="24"/>
        </w:rPr>
        <w:t xml:space="preserve">close to </w:t>
      </w:r>
      <w:r w:rsidR="00864CB4">
        <w:rPr>
          <w:rFonts w:cs="Times New Roman"/>
          <w:noProof/>
          <w:szCs w:val="24"/>
        </w:rPr>
        <w:t>6</w:t>
      </w:r>
      <w:r w:rsidRPr="007D32A0">
        <w:rPr>
          <w:rFonts w:cs="Times New Roman"/>
          <w:noProof/>
          <w:szCs w:val="24"/>
        </w:rPr>
        <w:t xml:space="preserve">% of </w:t>
      </w:r>
      <w:r w:rsidR="00864CB4">
        <w:rPr>
          <w:rFonts w:cs="Times New Roman"/>
          <w:noProof/>
          <w:szCs w:val="24"/>
        </w:rPr>
        <w:t xml:space="preserve">its </w:t>
      </w:r>
      <w:r w:rsidRPr="007D32A0">
        <w:rPr>
          <w:rFonts w:cs="Times New Roman"/>
          <w:noProof/>
          <w:szCs w:val="24"/>
        </w:rPr>
        <w:t>GDP</w:t>
      </w:r>
      <w:r w:rsidR="00864CB4">
        <w:rPr>
          <w:rFonts w:cs="Times New Roman"/>
          <w:noProof/>
          <w:szCs w:val="24"/>
        </w:rPr>
        <w:t xml:space="preserve"> (see annex 6)</w:t>
      </w:r>
      <w:r w:rsidRPr="007D32A0">
        <w:rPr>
          <w:rFonts w:cs="Times New Roman"/>
          <w:noProof/>
          <w:szCs w:val="24"/>
        </w:rPr>
        <w:t>. Cocoa is almost exclusively produced by smallholders, who depend on the crop for their income and livelihood</w:t>
      </w:r>
      <w:r w:rsidRPr="007D32A0">
        <w:rPr>
          <w:rFonts w:cs="Times New Roman"/>
          <w:noProof/>
          <w:szCs w:val="24"/>
          <w:vertAlign w:val="superscript"/>
        </w:rPr>
        <w:footnoteReference w:id="167"/>
      </w:r>
      <w:r w:rsidRPr="007D32A0">
        <w:rPr>
          <w:rFonts w:cs="Times New Roman"/>
          <w:noProof/>
          <w:szCs w:val="24"/>
        </w:rPr>
        <w:t>. The country will likely be impacted by the EU initiative, as cocoa production has been a major driver of deforestation, drawing on the soil fertility</w:t>
      </w:r>
      <w:bookmarkStart w:id="162" w:name="_Hlk73105620"/>
      <w:r w:rsidRPr="007D32A0">
        <w:rPr>
          <w:rFonts w:cs="Times New Roman"/>
          <w:noProof/>
          <w:szCs w:val="24"/>
        </w:rPr>
        <w:t xml:space="preserve"> of newly deforested land</w:t>
      </w:r>
      <w:r w:rsidRPr="007D32A0">
        <w:rPr>
          <w:rFonts w:cs="Times New Roman"/>
          <w:noProof/>
          <w:szCs w:val="24"/>
          <w:vertAlign w:val="superscript"/>
        </w:rPr>
        <w:footnoteReference w:id="168"/>
      </w:r>
      <w:bookmarkEnd w:id="162"/>
      <w:r w:rsidRPr="007D32A0">
        <w:rPr>
          <w:rFonts w:cs="Times New Roman"/>
          <w:noProof/>
          <w:szCs w:val="24"/>
          <w:vertAlign w:val="superscript"/>
        </w:rPr>
        <w:t>,</w:t>
      </w:r>
      <w:r w:rsidRPr="007D32A0">
        <w:rPr>
          <w:rFonts w:cs="Times New Roman"/>
          <w:noProof/>
          <w:szCs w:val="24"/>
          <w:vertAlign w:val="superscript"/>
        </w:rPr>
        <w:footnoteReference w:id="169"/>
      </w:r>
      <w:r w:rsidRPr="007D32A0">
        <w:rPr>
          <w:rFonts w:cs="Times New Roman"/>
          <w:noProof/>
          <w:szCs w:val="24"/>
        </w:rPr>
        <w:t>. Cocoa farming is characterised by low productivity, pests and disease, with smallholders facing many barriers to investing in sustainable agriculture</w:t>
      </w:r>
      <w:r w:rsidRPr="007D32A0">
        <w:rPr>
          <w:rFonts w:cs="Times New Roman"/>
          <w:noProof/>
          <w:szCs w:val="24"/>
          <w:vertAlign w:val="superscript"/>
        </w:rPr>
        <w:footnoteReference w:id="170"/>
      </w:r>
      <w:r w:rsidRPr="007D32A0">
        <w:rPr>
          <w:rFonts w:cs="Times New Roman"/>
          <w:noProof/>
          <w:szCs w:val="24"/>
        </w:rPr>
        <w:t>. Côte d’Ivoire does not have a traceability system</w:t>
      </w:r>
      <w:r w:rsidRPr="007D32A0">
        <w:rPr>
          <w:rFonts w:cs="Times New Roman"/>
          <w:noProof/>
          <w:szCs w:val="24"/>
          <w:vertAlign w:val="superscript"/>
        </w:rPr>
        <w:footnoteReference w:id="171"/>
      </w:r>
      <w:r w:rsidRPr="007D32A0">
        <w:rPr>
          <w:rFonts w:cs="Times New Roman"/>
          <w:noProof/>
          <w:szCs w:val="24"/>
        </w:rPr>
        <w:t>, and whilst some large corporate players have implemented smallholder engagement programs</w:t>
      </w:r>
      <w:r w:rsidRPr="007D32A0">
        <w:rPr>
          <w:rFonts w:cs="Times New Roman"/>
          <w:noProof/>
          <w:szCs w:val="24"/>
          <w:vertAlign w:val="superscript"/>
        </w:rPr>
        <w:footnoteReference w:id="172"/>
      </w:r>
      <w:r w:rsidRPr="007D32A0">
        <w:rPr>
          <w:rFonts w:cs="Times New Roman"/>
          <w:noProof/>
          <w:szCs w:val="24"/>
        </w:rPr>
        <w:t>, EU operators are likely to face difficulties in ensuring compliance with the new initiative, whilst the country adapts its production practices.</w:t>
      </w:r>
      <w:r w:rsidR="003F6792">
        <w:rPr>
          <w:rFonts w:cs="Times New Roman"/>
          <w:noProof/>
          <w:szCs w:val="24"/>
        </w:rPr>
        <w:t xml:space="preserve"> Ghana and Cote d’Ivoire, however, are currently working with the aim of improving their national traceability capabilities</w:t>
      </w:r>
      <w:r w:rsidR="003F6792">
        <w:rPr>
          <w:rStyle w:val="FootnoteReference"/>
          <w:rFonts w:cs="Times New Roman"/>
          <w:noProof/>
          <w:szCs w:val="24"/>
        </w:rPr>
        <w:footnoteReference w:id="173"/>
      </w:r>
      <w:r w:rsidR="003F6792">
        <w:rPr>
          <w:rFonts w:cs="Times New Roman"/>
          <w:noProof/>
          <w:szCs w:val="24"/>
        </w:rPr>
        <w:t xml:space="preserve"> and have undertaken commitments to curb deforestation. The Commission in 2020 launched the </w:t>
      </w:r>
      <w:r w:rsidR="003F6792" w:rsidRPr="003F6792">
        <w:rPr>
          <w:rFonts w:cs="Times New Roman"/>
          <w:noProof/>
          <w:szCs w:val="24"/>
        </w:rPr>
        <w:t>EU multi-stakeholder dialogue for sustainable cocoa</w:t>
      </w:r>
      <w:r w:rsidR="003F6792">
        <w:rPr>
          <w:rStyle w:val="FootnoteReference"/>
          <w:rFonts w:cs="Times New Roman"/>
          <w:noProof/>
          <w:szCs w:val="24"/>
        </w:rPr>
        <w:footnoteReference w:id="174"/>
      </w:r>
      <w:r w:rsidR="003F6792" w:rsidRPr="003F6792">
        <w:rPr>
          <w:rFonts w:cs="Times New Roman"/>
          <w:noProof/>
          <w:szCs w:val="24"/>
        </w:rPr>
        <w:t xml:space="preserve"> </w:t>
      </w:r>
      <w:r w:rsidR="003F6792">
        <w:rPr>
          <w:rFonts w:cs="Times New Roman"/>
          <w:noProof/>
          <w:szCs w:val="24"/>
        </w:rPr>
        <w:t>to support both countries towards eliminating</w:t>
      </w:r>
      <w:r w:rsidR="003F6792" w:rsidRPr="003F6792">
        <w:rPr>
          <w:rFonts w:cs="Times New Roman"/>
          <w:noProof/>
          <w:szCs w:val="24"/>
        </w:rPr>
        <w:t xml:space="preserve"> child labour</w:t>
      </w:r>
      <w:r w:rsidR="00A56F48">
        <w:rPr>
          <w:rFonts w:cs="Times New Roman"/>
          <w:noProof/>
          <w:szCs w:val="24"/>
        </w:rPr>
        <w:t>,</w:t>
      </w:r>
      <w:r w:rsidR="003F6792" w:rsidRPr="003F6792">
        <w:rPr>
          <w:rFonts w:cs="Times New Roman"/>
          <w:noProof/>
          <w:szCs w:val="24"/>
        </w:rPr>
        <w:t xml:space="preserve"> </w:t>
      </w:r>
      <w:r w:rsidR="003F6792">
        <w:rPr>
          <w:rFonts w:cs="Times New Roman"/>
          <w:noProof/>
          <w:szCs w:val="24"/>
        </w:rPr>
        <w:t>deforestation</w:t>
      </w:r>
      <w:r w:rsidR="003F6792" w:rsidRPr="003F6792">
        <w:rPr>
          <w:rFonts w:cs="Times New Roman"/>
          <w:noProof/>
          <w:szCs w:val="24"/>
        </w:rPr>
        <w:t>, and to ensure a living income for cocoa farmers.</w:t>
      </w:r>
    </w:p>
    <w:p w14:paraId="0D9A672A" w14:textId="2CCA6B54" w:rsidR="007D32A0" w:rsidRPr="00AC43EE" w:rsidRDefault="007D32A0" w:rsidP="007D32A0">
      <w:pPr>
        <w:jc w:val="both"/>
        <w:rPr>
          <w:rFonts w:cs="Times New Roman"/>
          <w:noProof/>
          <w:szCs w:val="24"/>
        </w:rPr>
      </w:pPr>
      <w:r w:rsidRPr="007D32A0">
        <w:rPr>
          <w:rFonts w:cs="Times New Roman"/>
          <w:noProof/>
          <w:szCs w:val="24"/>
        </w:rPr>
        <w:t>In the case of soy, the commodity is particularly important for the economies of Argentina, Brazil and Paraguay</w:t>
      </w:r>
      <w:r w:rsidRPr="007D32A0">
        <w:rPr>
          <w:rFonts w:cs="Times New Roman"/>
          <w:noProof/>
          <w:szCs w:val="24"/>
          <w:vertAlign w:val="superscript"/>
        </w:rPr>
        <w:footnoteReference w:id="175"/>
      </w:r>
      <w:r w:rsidRPr="007D32A0">
        <w:rPr>
          <w:rFonts w:cs="Times New Roman"/>
          <w:noProof/>
          <w:szCs w:val="24"/>
        </w:rPr>
        <w:t xml:space="preserve">. </w:t>
      </w:r>
      <w:r w:rsidR="003F6792">
        <w:rPr>
          <w:rFonts w:cs="Times New Roman"/>
          <w:noProof/>
          <w:szCs w:val="24"/>
        </w:rPr>
        <w:t>Deforestation linked to the relevant commodities of the scope has been documented in those countries</w:t>
      </w:r>
      <w:r w:rsidR="003F6792">
        <w:rPr>
          <w:rStyle w:val="FootnoteReference"/>
          <w:rFonts w:cs="Times New Roman"/>
          <w:noProof/>
          <w:szCs w:val="24"/>
        </w:rPr>
        <w:footnoteReference w:id="176"/>
      </w:r>
      <w:r w:rsidRPr="007D32A0">
        <w:rPr>
          <w:rFonts w:cs="Times New Roman"/>
          <w:noProof/>
          <w:szCs w:val="24"/>
        </w:rPr>
        <w:t xml:space="preserve">, and Argentina and Brazil are relevant as origins of soy used in the EU. A shift in preference to low-risk origins </w:t>
      </w:r>
      <w:r w:rsidR="00864CB4">
        <w:rPr>
          <w:rFonts w:cs="Times New Roman"/>
          <w:noProof/>
          <w:szCs w:val="24"/>
        </w:rPr>
        <w:t>could</w:t>
      </w:r>
      <w:r w:rsidR="00864CB4" w:rsidRPr="007D32A0">
        <w:rPr>
          <w:rFonts w:cs="Times New Roman"/>
          <w:noProof/>
          <w:szCs w:val="24"/>
        </w:rPr>
        <w:t xml:space="preserve"> </w:t>
      </w:r>
      <w:r w:rsidRPr="007D32A0">
        <w:rPr>
          <w:rFonts w:cs="Times New Roman"/>
          <w:noProof/>
          <w:szCs w:val="24"/>
        </w:rPr>
        <w:t xml:space="preserve">favour imports from the USA, the largest global producer, and already major supplier to the EU. To a lesser degree, it may incentivize an increase </w:t>
      </w:r>
      <w:r w:rsidRPr="007D32A0" w:rsidDel="00D95881">
        <w:rPr>
          <w:rFonts w:cs="Times New Roman"/>
          <w:noProof/>
          <w:szCs w:val="24"/>
        </w:rPr>
        <w:t xml:space="preserve">in </w:t>
      </w:r>
      <w:r w:rsidRPr="007D32A0">
        <w:rPr>
          <w:rFonts w:cs="Times New Roman"/>
          <w:noProof/>
          <w:szCs w:val="24"/>
        </w:rPr>
        <w:t xml:space="preserve">domestic production. France and Italy are the largest producers in the EU and domestic EU production is already </w:t>
      </w:r>
      <w:r w:rsidR="00C46D26">
        <w:rPr>
          <w:rFonts w:cs="Times New Roman"/>
          <w:noProof/>
          <w:szCs w:val="24"/>
        </w:rPr>
        <w:t xml:space="preserve">increasing not least </w:t>
      </w:r>
      <w:r w:rsidRPr="007D32A0">
        <w:rPr>
          <w:rFonts w:cs="Times New Roman"/>
          <w:noProof/>
          <w:szCs w:val="24"/>
        </w:rPr>
        <w:t xml:space="preserve">due to </w:t>
      </w:r>
      <w:r w:rsidR="00C46D26">
        <w:rPr>
          <w:rFonts w:cs="Times New Roman"/>
          <w:noProof/>
          <w:szCs w:val="24"/>
        </w:rPr>
        <w:t xml:space="preserve">growing </w:t>
      </w:r>
      <w:r w:rsidRPr="007D32A0">
        <w:rPr>
          <w:rFonts w:cs="Times New Roman"/>
          <w:noProof/>
          <w:szCs w:val="24"/>
        </w:rPr>
        <w:t xml:space="preserve">demand for GM-free soy </w:t>
      </w:r>
      <w:r w:rsidRPr="00AC43EE">
        <w:rPr>
          <w:rFonts w:cs="Times New Roman"/>
          <w:noProof/>
          <w:szCs w:val="24"/>
        </w:rPr>
        <w:t>and higher prices</w:t>
      </w:r>
      <w:r w:rsidRPr="00AC43EE">
        <w:rPr>
          <w:rFonts w:cs="Times New Roman"/>
          <w:noProof/>
          <w:szCs w:val="24"/>
          <w:vertAlign w:val="superscript"/>
        </w:rPr>
        <w:footnoteReference w:id="177"/>
      </w:r>
      <w:r w:rsidRPr="00AC43EE">
        <w:rPr>
          <w:rFonts w:cs="Times New Roman"/>
          <w:noProof/>
          <w:szCs w:val="24"/>
        </w:rPr>
        <w:t xml:space="preserve">. </w:t>
      </w:r>
    </w:p>
    <w:p w14:paraId="77745F3E" w14:textId="004ECC23" w:rsidR="007D32A0" w:rsidRPr="00AC43EE" w:rsidRDefault="007D32A0" w:rsidP="007D32A0">
      <w:pPr>
        <w:jc w:val="both"/>
        <w:rPr>
          <w:rFonts w:cs="Times New Roman"/>
          <w:noProof/>
          <w:szCs w:val="24"/>
        </w:rPr>
      </w:pPr>
      <w:r w:rsidRPr="00AC43EE">
        <w:rPr>
          <w:rFonts w:cs="Times New Roman"/>
          <w:noProof/>
          <w:szCs w:val="24"/>
        </w:rPr>
        <w:t xml:space="preserve">For palm oil, recent studies on the impact of </w:t>
      </w:r>
      <w:r w:rsidR="00B416A2" w:rsidRPr="00AC43EE">
        <w:rPr>
          <w:rFonts w:cs="Times New Roman"/>
          <w:noProof/>
          <w:szCs w:val="24"/>
        </w:rPr>
        <w:t>changes in trade with the</w:t>
      </w:r>
      <w:r w:rsidR="00AC43EE">
        <w:rPr>
          <w:rFonts w:cs="Times New Roman"/>
          <w:noProof/>
          <w:szCs w:val="24"/>
        </w:rPr>
        <w:t xml:space="preserve"> EU</w:t>
      </w:r>
      <w:r w:rsidRPr="00AC43EE">
        <w:rPr>
          <w:rFonts w:cs="Times New Roman"/>
          <w:noProof/>
          <w:szCs w:val="24"/>
        </w:rPr>
        <w:t xml:space="preserve"> suggest that there would only be small impacts on major economic variables in Indonesia</w:t>
      </w:r>
      <w:r w:rsidRPr="00AC43EE">
        <w:rPr>
          <w:rFonts w:cs="Times New Roman"/>
          <w:noProof/>
          <w:szCs w:val="24"/>
          <w:vertAlign w:val="superscript"/>
        </w:rPr>
        <w:footnoteReference w:id="178"/>
      </w:r>
      <w:r w:rsidRPr="00AC43EE">
        <w:rPr>
          <w:rFonts w:cs="Times New Roman"/>
          <w:noProof/>
          <w:szCs w:val="24"/>
        </w:rPr>
        <w:t>. However, the shift towards sourcing deforestation-free commodities will likely place a burden of cost on operators and stakeholders in producing countries such as Indonesia and Malaysia (palm oil represents the countries’ second and fifth highest value export respectively)</w:t>
      </w:r>
      <w:r w:rsidRPr="00AC43EE">
        <w:rPr>
          <w:rFonts w:cs="Times New Roman"/>
          <w:noProof/>
          <w:szCs w:val="24"/>
          <w:vertAlign w:val="superscript"/>
        </w:rPr>
        <w:footnoteReference w:id="179"/>
      </w:r>
      <w:r w:rsidRPr="00AC43EE">
        <w:rPr>
          <w:rFonts w:cs="Times New Roman"/>
          <w:noProof/>
          <w:szCs w:val="24"/>
        </w:rPr>
        <w:t xml:space="preserve">. </w:t>
      </w:r>
      <w:r w:rsidR="00FD77F5" w:rsidRPr="00AC43EE">
        <w:rPr>
          <w:rFonts w:cs="Times New Roman"/>
          <w:noProof/>
          <w:szCs w:val="24"/>
        </w:rPr>
        <w:t>T</w:t>
      </w:r>
      <w:r w:rsidRPr="00AC43EE">
        <w:rPr>
          <w:rFonts w:cs="Times New Roman"/>
          <w:noProof/>
          <w:szCs w:val="24"/>
        </w:rPr>
        <w:t>raceability beyond mill-level</w:t>
      </w:r>
      <w:r w:rsidR="00FD77F5" w:rsidRPr="00AC43EE">
        <w:rPr>
          <w:rFonts w:cs="Times New Roman"/>
          <w:noProof/>
          <w:szCs w:val="24"/>
        </w:rPr>
        <w:t xml:space="preserve"> —</w:t>
      </w:r>
      <w:r w:rsidRPr="00AC43EE">
        <w:rPr>
          <w:rFonts w:cs="Times New Roman"/>
          <w:noProof/>
          <w:szCs w:val="24"/>
        </w:rPr>
        <w:t xml:space="preserve"> </w:t>
      </w:r>
      <w:r w:rsidR="00FD77F5" w:rsidRPr="00AC43EE">
        <w:rPr>
          <w:rFonts w:cs="Times New Roman"/>
          <w:noProof/>
          <w:szCs w:val="24"/>
        </w:rPr>
        <w:t xml:space="preserve">that is, to plantation </w:t>
      </w:r>
      <w:r w:rsidR="00C46D26" w:rsidRPr="00AC43EE">
        <w:rPr>
          <w:rFonts w:cs="Times New Roman"/>
          <w:noProof/>
          <w:szCs w:val="24"/>
        </w:rPr>
        <w:t>level</w:t>
      </w:r>
      <w:r w:rsidR="00FD77F5" w:rsidRPr="00AC43EE">
        <w:rPr>
          <w:rFonts w:cs="Times New Roman"/>
          <w:noProof/>
          <w:szCs w:val="24"/>
        </w:rPr>
        <w:t xml:space="preserve"> — </w:t>
      </w:r>
      <w:r w:rsidRPr="00AC43EE">
        <w:rPr>
          <w:rFonts w:cs="Times New Roman"/>
          <w:noProof/>
          <w:szCs w:val="24"/>
        </w:rPr>
        <w:t xml:space="preserve">has </w:t>
      </w:r>
      <w:r w:rsidR="00FD77F5" w:rsidRPr="00AC43EE">
        <w:rPr>
          <w:rFonts w:cs="Times New Roman"/>
          <w:noProof/>
          <w:szCs w:val="24"/>
        </w:rPr>
        <w:t xml:space="preserve">not </w:t>
      </w:r>
      <w:r w:rsidRPr="00AC43EE">
        <w:rPr>
          <w:rFonts w:cs="Times New Roman"/>
          <w:noProof/>
          <w:szCs w:val="24"/>
        </w:rPr>
        <w:t xml:space="preserve">been </w:t>
      </w:r>
      <w:r w:rsidR="00FD77F5" w:rsidRPr="00AC43EE">
        <w:rPr>
          <w:rFonts w:cs="Times New Roman"/>
          <w:noProof/>
          <w:szCs w:val="24"/>
        </w:rPr>
        <w:t>implemented widely</w:t>
      </w:r>
      <w:r w:rsidRPr="00AC43EE">
        <w:rPr>
          <w:rFonts w:cs="Times New Roman"/>
          <w:noProof/>
          <w:szCs w:val="24"/>
        </w:rPr>
        <w:t>. Mixing of palm oil sources may occur at multiple stages in the supply chain, making traceability harder to achieve due to its complex social system</w:t>
      </w:r>
      <w:r w:rsidRPr="00AC43EE">
        <w:rPr>
          <w:rFonts w:cs="Times New Roman"/>
          <w:noProof/>
          <w:szCs w:val="24"/>
          <w:vertAlign w:val="superscript"/>
        </w:rPr>
        <w:footnoteReference w:id="180"/>
      </w:r>
      <w:r w:rsidRPr="00AC43EE">
        <w:rPr>
          <w:rFonts w:cs="Times New Roman"/>
          <w:noProof/>
          <w:szCs w:val="24"/>
        </w:rPr>
        <w:t>.</w:t>
      </w:r>
      <w:r w:rsidRPr="00AC43EE">
        <w:rPr>
          <w:rFonts w:cs="Times New Roman"/>
          <w:noProof/>
          <w:szCs w:val="24"/>
          <w:vertAlign w:val="superscript"/>
        </w:rPr>
        <w:t xml:space="preserve">  </w:t>
      </w:r>
      <w:r w:rsidRPr="00AC43EE">
        <w:rPr>
          <w:rFonts w:cs="Times New Roman"/>
          <w:noProof/>
          <w:szCs w:val="24"/>
        </w:rPr>
        <w:t xml:space="preserve">Establishing a palm oil traceability/transparency system to ensure deforestation-free sourcing will likely be a transition that takes time, investment, support and engagement. </w:t>
      </w:r>
      <w:r w:rsidR="000C4559" w:rsidRPr="00AC43EE">
        <w:rPr>
          <w:rFonts w:cs="Times New Roman"/>
          <w:noProof/>
          <w:szCs w:val="24"/>
        </w:rPr>
        <w:t xml:space="preserve">A more detailed description of the potential impacts on third countries is outlined in case studies available in Annex </w:t>
      </w:r>
      <w:r w:rsidR="002E5D5E" w:rsidRPr="00AC43EE">
        <w:rPr>
          <w:rFonts w:cs="Times New Roman"/>
          <w:noProof/>
          <w:szCs w:val="24"/>
        </w:rPr>
        <w:t>6</w:t>
      </w:r>
      <w:r w:rsidR="008838C7" w:rsidRPr="00AC43EE">
        <w:rPr>
          <w:rFonts w:cs="Times New Roman"/>
          <w:noProof/>
          <w:szCs w:val="24"/>
        </w:rPr>
        <w:t>.</w:t>
      </w:r>
    </w:p>
    <w:p w14:paraId="7519DEAB" w14:textId="6C8452F3" w:rsidR="00C75044" w:rsidRPr="007C1494" w:rsidRDefault="00C75044" w:rsidP="00EE6E0E">
      <w:pPr>
        <w:jc w:val="both"/>
        <w:rPr>
          <w:rFonts w:cs="Times New Roman"/>
          <w:noProof/>
          <w:szCs w:val="24"/>
        </w:rPr>
      </w:pPr>
      <w:r w:rsidRPr="00AC43EE">
        <w:rPr>
          <w:rFonts w:cs="Times New Roman"/>
          <w:noProof/>
          <w:szCs w:val="24"/>
        </w:rPr>
        <w:t xml:space="preserve">As explained </w:t>
      </w:r>
      <w:r w:rsidR="00FD77F5" w:rsidRPr="00AC43EE">
        <w:rPr>
          <w:rFonts w:cs="Times New Roman"/>
          <w:noProof/>
          <w:szCs w:val="24"/>
        </w:rPr>
        <w:t>above</w:t>
      </w:r>
      <w:r w:rsidRPr="00AC43EE">
        <w:rPr>
          <w:rFonts w:cs="Times New Roman"/>
          <w:noProof/>
          <w:szCs w:val="24"/>
        </w:rPr>
        <w:t xml:space="preserve">, the regulation is the key deliverable under priority 1 of the </w:t>
      </w:r>
      <w:r w:rsidR="00D761F9" w:rsidRPr="00AC43EE">
        <w:rPr>
          <w:rFonts w:cs="Times New Roman"/>
          <w:noProof/>
          <w:szCs w:val="24"/>
        </w:rPr>
        <w:t>2019</w:t>
      </w:r>
      <w:r w:rsidR="00D761F9">
        <w:rPr>
          <w:rFonts w:cs="Times New Roman"/>
          <w:noProof/>
          <w:szCs w:val="24"/>
        </w:rPr>
        <w:t xml:space="preserve"> </w:t>
      </w:r>
      <w:r w:rsidRPr="007C1494">
        <w:rPr>
          <w:rFonts w:cs="Times New Roman"/>
          <w:noProof/>
          <w:szCs w:val="24"/>
        </w:rPr>
        <w:t xml:space="preserve">Communication. However, it </w:t>
      </w:r>
      <w:r w:rsidR="00247E64" w:rsidRPr="007C1494">
        <w:rPr>
          <w:rFonts w:cs="Times New Roman"/>
          <w:noProof/>
          <w:szCs w:val="24"/>
        </w:rPr>
        <w:t xml:space="preserve">should be seen in conjunction with </w:t>
      </w:r>
      <w:r w:rsidRPr="007C1494">
        <w:rPr>
          <w:rFonts w:cs="Times New Roman"/>
          <w:noProof/>
          <w:szCs w:val="24"/>
        </w:rPr>
        <w:t>the actions under other priorities in th</w:t>
      </w:r>
      <w:r w:rsidR="004A14C9" w:rsidRPr="007C1494">
        <w:rPr>
          <w:rFonts w:cs="Times New Roman"/>
          <w:noProof/>
          <w:szCs w:val="24"/>
        </w:rPr>
        <w:t>is</w:t>
      </w:r>
      <w:r w:rsidRPr="007C1494">
        <w:rPr>
          <w:rFonts w:cs="Times New Roman"/>
          <w:noProof/>
          <w:szCs w:val="24"/>
        </w:rPr>
        <w:t xml:space="preserve"> Communication</w:t>
      </w:r>
      <w:r w:rsidR="00247E64" w:rsidRPr="007C1494">
        <w:rPr>
          <w:rFonts w:cs="Times New Roman"/>
          <w:noProof/>
          <w:szCs w:val="24"/>
        </w:rPr>
        <w:t>,</w:t>
      </w:r>
      <w:r w:rsidRPr="007C1494">
        <w:rPr>
          <w:rFonts w:cs="Times New Roman"/>
          <w:noProof/>
          <w:szCs w:val="24"/>
        </w:rPr>
        <w:t xml:space="preserve"> notably priority 2 that aims at supporting third countries in adopting sustainable production practices that halt deforestation and forest degradation. In this context, the </w:t>
      </w:r>
      <w:r w:rsidR="00BD746C" w:rsidRPr="007C1494">
        <w:rPr>
          <w:rFonts w:cs="Times New Roman"/>
          <w:noProof/>
          <w:szCs w:val="24"/>
        </w:rPr>
        <w:t xml:space="preserve">tools to be developed under the </w:t>
      </w:r>
      <w:r w:rsidRPr="007C1494">
        <w:rPr>
          <w:rFonts w:cs="Times New Roman"/>
          <w:noProof/>
          <w:szCs w:val="24"/>
        </w:rPr>
        <w:t>current programming process for the Neighbourhood, Development and International Cooperation Instrument (</w:t>
      </w:r>
      <w:r w:rsidR="009C0E10">
        <w:rPr>
          <w:rFonts w:cs="Times New Roman"/>
          <w:noProof/>
          <w:szCs w:val="24"/>
        </w:rPr>
        <w:t>NDICI) for the period 2021-2027</w:t>
      </w:r>
      <w:r w:rsidRPr="007C1494">
        <w:rPr>
          <w:rFonts w:cs="Times New Roman"/>
          <w:noProof/>
          <w:szCs w:val="24"/>
        </w:rPr>
        <w:t xml:space="preserve"> will constitute important fla</w:t>
      </w:r>
      <w:r w:rsidR="00247E64" w:rsidRPr="007C1494">
        <w:rPr>
          <w:rFonts w:cs="Times New Roman"/>
          <w:noProof/>
          <w:szCs w:val="24"/>
        </w:rPr>
        <w:t>n</w:t>
      </w:r>
      <w:r w:rsidRPr="007C1494">
        <w:rPr>
          <w:rFonts w:cs="Times New Roman"/>
          <w:noProof/>
          <w:szCs w:val="24"/>
        </w:rPr>
        <w:t>king measures and tools to</w:t>
      </w:r>
      <w:r w:rsidR="00247E64" w:rsidRPr="007C1494">
        <w:rPr>
          <w:rFonts w:cs="Times New Roman"/>
          <w:noProof/>
          <w:szCs w:val="24"/>
        </w:rPr>
        <w:t xml:space="preserve"> ensure </w:t>
      </w:r>
      <w:r w:rsidRPr="007C1494">
        <w:rPr>
          <w:rFonts w:cs="Times New Roman"/>
          <w:noProof/>
          <w:szCs w:val="24"/>
        </w:rPr>
        <w:t>the legislative instrument</w:t>
      </w:r>
      <w:r w:rsidR="00247E64" w:rsidRPr="007C1494">
        <w:rPr>
          <w:rFonts w:cs="Times New Roman"/>
          <w:noProof/>
          <w:szCs w:val="24"/>
        </w:rPr>
        <w:t xml:space="preserve"> achieves its objectives without unduly impacting vulnerable </w:t>
      </w:r>
      <w:r w:rsidR="006E27B6" w:rsidRPr="007C1494">
        <w:rPr>
          <w:rFonts w:cs="Times New Roman"/>
          <w:noProof/>
          <w:szCs w:val="24"/>
        </w:rPr>
        <w:t xml:space="preserve">sectors in </w:t>
      </w:r>
      <w:r w:rsidR="00247E64" w:rsidRPr="007C1494">
        <w:rPr>
          <w:rFonts w:cs="Times New Roman"/>
          <w:noProof/>
          <w:szCs w:val="24"/>
        </w:rPr>
        <w:t>third countries that rely on their trade with the EU</w:t>
      </w:r>
      <w:r w:rsidRPr="007C1494">
        <w:rPr>
          <w:rFonts w:cs="Times New Roman"/>
          <w:noProof/>
          <w:szCs w:val="24"/>
        </w:rPr>
        <w:t xml:space="preserve">. </w:t>
      </w:r>
    </w:p>
    <w:p w14:paraId="07424491" w14:textId="6B92F9C0" w:rsidR="00EE6E0E" w:rsidRPr="007C1494" w:rsidRDefault="00935133" w:rsidP="00EE6E0E">
      <w:pPr>
        <w:jc w:val="both"/>
        <w:rPr>
          <w:rFonts w:cs="Times New Roman"/>
          <w:noProof/>
          <w:szCs w:val="24"/>
        </w:rPr>
      </w:pPr>
      <w:r w:rsidRPr="007C1494">
        <w:rPr>
          <w:rFonts w:cs="Times New Roman"/>
          <w:noProof/>
          <w:szCs w:val="24"/>
        </w:rPr>
        <w:t>T</w:t>
      </w:r>
      <w:r w:rsidR="00EE6E0E" w:rsidRPr="007C1494">
        <w:rPr>
          <w:rFonts w:cs="Times New Roman"/>
          <w:noProof/>
          <w:szCs w:val="24"/>
        </w:rPr>
        <w:t xml:space="preserve">he impact of the intervention on each </w:t>
      </w:r>
      <w:r w:rsidR="007D32A0">
        <w:rPr>
          <w:rFonts w:cs="Times New Roman"/>
          <w:noProof/>
          <w:szCs w:val="24"/>
        </w:rPr>
        <w:t>third</w:t>
      </w:r>
      <w:r w:rsidR="00763994" w:rsidRPr="007C1494">
        <w:rPr>
          <w:rFonts w:cs="Times New Roman"/>
          <w:noProof/>
          <w:szCs w:val="24"/>
        </w:rPr>
        <w:t xml:space="preserve"> country </w:t>
      </w:r>
      <w:r w:rsidR="00EE6E0E" w:rsidRPr="007C1494">
        <w:rPr>
          <w:rFonts w:cs="Times New Roman"/>
          <w:noProof/>
          <w:szCs w:val="24"/>
        </w:rPr>
        <w:t>depends on many factors such as the quantity and value of the export to the EU of each commodity/product, the degree of deforestation associated with the current production, the characteristics and structure of production for the relevant commodities,</w:t>
      </w:r>
      <w:r w:rsidR="00E9139D" w:rsidRPr="007C1494">
        <w:rPr>
          <w:rFonts w:cs="Times New Roman"/>
          <w:noProof/>
          <w:szCs w:val="24"/>
        </w:rPr>
        <w:t xml:space="preserve"> </w:t>
      </w:r>
      <w:r w:rsidR="00EE6E0E" w:rsidRPr="007C1494">
        <w:rPr>
          <w:rFonts w:cs="Times New Roman"/>
          <w:noProof/>
          <w:szCs w:val="24"/>
        </w:rPr>
        <w:t xml:space="preserve">etc. </w:t>
      </w:r>
      <w:r w:rsidR="00C60239" w:rsidRPr="007C1494">
        <w:rPr>
          <w:rFonts w:cs="Times New Roman"/>
          <w:noProof/>
          <w:szCs w:val="24"/>
        </w:rPr>
        <w:t xml:space="preserve">Given these variables that would differ between countries it will not be possible to </w:t>
      </w:r>
      <w:r w:rsidR="00EE6E0E" w:rsidRPr="007C1494">
        <w:rPr>
          <w:rFonts w:cs="Times New Roman"/>
          <w:noProof/>
          <w:szCs w:val="24"/>
        </w:rPr>
        <w:t>analys</w:t>
      </w:r>
      <w:r w:rsidR="00C60239" w:rsidRPr="007C1494">
        <w:rPr>
          <w:rFonts w:cs="Times New Roman"/>
          <w:noProof/>
          <w:szCs w:val="24"/>
        </w:rPr>
        <w:t>e</w:t>
      </w:r>
      <w:r w:rsidR="00EE6E0E" w:rsidRPr="007C1494">
        <w:rPr>
          <w:rFonts w:cs="Times New Roman"/>
          <w:noProof/>
          <w:szCs w:val="24"/>
        </w:rPr>
        <w:t xml:space="preserve"> in detail the potential impacts on each trad</w:t>
      </w:r>
      <w:r w:rsidR="00C60239" w:rsidRPr="007C1494">
        <w:rPr>
          <w:rFonts w:cs="Times New Roman"/>
          <w:noProof/>
          <w:szCs w:val="24"/>
        </w:rPr>
        <w:t>ing</w:t>
      </w:r>
      <w:r w:rsidR="00EE6E0E" w:rsidRPr="007C1494">
        <w:rPr>
          <w:rFonts w:cs="Times New Roman"/>
          <w:noProof/>
          <w:szCs w:val="24"/>
        </w:rPr>
        <w:t xml:space="preserve"> partner</w:t>
      </w:r>
      <w:r w:rsidR="00C60239" w:rsidRPr="007C1494">
        <w:rPr>
          <w:rFonts w:cs="Times New Roman"/>
          <w:noProof/>
          <w:szCs w:val="24"/>
        </w:rPr>
        <w:t>. However</w:t>
      </w:r>
      <w:r w:rsidR="00EE6E0E" w:rsidRPr="007C1494">
        <w:rPr>
          <w:rFonts w:cs="Times New Roman"/>
          <w:noProof/>
          <w:szCs w:val="24"/>
        </w:rPr>
        <w:t xml:space="preserve">, the quantities and value of exports to the EU by </w:t>
      </w:r>
      <w:r w:rsidR="00D853D6" w:rsidRPr="007C1494">
        <w:rPr>
          <w:rFonts w:cs="Times New Roman"/>
          <w:noProof/>
          <w:szCs w:val="24"/>
        </w:rPr>
        <w:t xml:space="preserve">a </w:t>
      </w:r>
      <w:r w:rsidR="00C60239" w:rsidRPr="007C1494">
        <w:rPr>
          <w:rFonts w:cs="Times New Roman"/>
          <w:noProof/>
          <w:szCs w:val="24"/>
        </w:rPr>
        <w:t>specific producer country</w:t>
      </w:r>
      <w:r w:rsidR="00EE6E0E" w:rsidRPr="007C1494">
        <w:rPr>
          <w:rFonts w:cs="Times New Roman"/>
          <w:noProof/>
          <w:szCs w:val="24"/>
        </w:rPr>
        <w:t xml:space="preserve"> can provide an indication </w:t>
      </w:r>
      <w:r w:rsidR="00C60239" w:rsidRPr="007C1494">
        <w:rPr>
          <w:rFonts w:cs="Times New Roman"/>
          <w:noProof/>
          <w:szCs w:val="24"/>
        </w:rPr>
        <w:t xml:space="preserve">of the </w:t>
      </w:r>
      <w:r w:rsidR="00EE6E0E" w:rsidRPr="007C1494">
        <w:rPr>
          <w:rFonts w:cs="Times New Roman"/>
          <w:noProof/>
          <w:szCs w:val="24"/>
        </w:rPr>
        <w:t xml:space="preserve">potential impact of the intervention. </w:t>
      </w:r>
      <w:r w:rsidR="007D32A0">
        <w:rPr>
          <w:rFonts w:cs="Times New Roman"/>
          <w:noProof/>
          <w:szCs w:val="24"/>
        </w:rPr>
        <w:t>T</w:t>
      </w:r>
      <w:r w:rsidR="00EE6E0E" w:rsidRPr="007C1494">
        <w:rPr>
          <w:rFonts w:cs="Times New Roman"/>
          <w:noProof/>
          <w:szCs w:val="24"/>
        </w:rPr>
        <w:t xml:space="preserve">he value of exports </w:t>
      </w:r>
      <w:r w:rsidR="00C60239" w:rsidRPr="007C1494">
        <w:rPr>
          <w:rFonts w:cs="Times New Roman"/>
          <w:noProof/>
          <w:szCs w:val="24"/>
        </w:rPr>
        <w:t xml:space="preserve">as a percentage of the </w:t>
      </w:r>
      <w:r w:rsidR="00EE6E0E" w:rsidRPr="007C1494">
        <w:rPr>
          <w:rFonts w:cs="Times New Roman"/>
          <w:noProof/>
          <w:szCs w:val="24"/>
        </w:rPr>
        <w:t>G</w:t>
      </w:r>
      <w:r w:rsidR="007D32A0">
        <w:rPr>
          <w:rFonts w:cs="Times New Roman"/>
          <w:noProof/>
          <w:szCs w:val="24"/>
        </w:rPr>
        <w:t xml:space="preserve">ross </w:t>
      </w:r>
      <w:r w:rsidR="00EE6E0E" w:rsidRPr="007C1494">
        <w:rPr>
          <w:rFonts w:cs="Times New Roman"/>
          <w:noProof/>
          <w:szCs w:val="24"/>
        </w:rPr>
        <w:t>D</w:t>
      </w:r>
      <w:r w:rsidR="007D32A0">
        <w:rPr>
          <w:rFonts w:cs="Times New Roman"/>
          <w:noProof/>
          <w:szCs w:val="24"/>
        </w:rPr>
        <w:t xml:space="preserve">omestic </w:t>
      </w:r>
      <w:r w:rsidR="00EE6E0E" w:rsidRPr="007C1494">
        <w:rPr>
          <w:rFonts w:cs="Times New Roman"/>
          <w:noProof/>
          <w:szCs w:val="24"/>
        </w:rPr>
        <w:t>P</w:t>
      </w:r>
      <w:r w:rsidR="007D32A0">
        <w:rPr>
          <w:rFonts w:cs="Times New Roman"/>
          <w:noProof/>
          <w:szCs w:val="24"/>
        </w:rPr>
        <w:t>roduct (</w:t>
      </w:r>
      <w:r w:rsidR="00EE6E0E" w:rsidRPr="007C1494">
        <w:rPr>
          <w:rFonts w:cs="Times New Roman"/>
          <w:noProof/>
          <w:szCs w:val="24"/>
        </w:rPr>
        <w:t>GDP</w:t>
      </w:r>
      <w:r w:rsidR="007D32A0">
        <w:rPr>
          <w:rFonts w:cs="Times New Roman"/>
          <w:noProof/>
          <w:szCs w:val="24"/>
        </w:rPr>
        <w:t>)</w:t>
      </w:r>
      <w:r w:rsidR="00EE6E0E" w:rsidRPr="007C1494">
        <w:rPr>
          <w:rFonts w:cs="Times New Roman"/>
          <w:noProof/>
          <w:szCs w:val="24"/>
        </w:rPr>
        <w:t xml:space="preserve"> can also help identify countries which potentially could be </w:t>
      </w:r>
      <w:r w:rsidR="00764C4E" w:rsidRPr="007C1494">
        <w:rPr>
          <w:rFonts w:cs="Times New Roman"/>
          <w:noProof/>
          <w:szCs w:val="24"/>
        </w:rPr>
        <w:t>more</w:t>
      </w:r>
      <w:r w:rsidR="00EE6E0E" w:rsidRPr="007C1494">
        <w:rPr>
          <w:rFonts w:cs="Times New Roman"/>
          <w:noProof/>
          <w:szCs w:val="24"/>
        </w:rPr>
        <w:t xml:space="preserve"> impacted.  </w:t>
      </w:r>
    </w:p>
    <w:p w14:paraId="144D248D" w14:textId="2E032650" w:rsidR="00EE6E0E" w:rsidRPr="007C1494" w:rsidRDefault="00CF1F7D" w:rsidP="00EE6E0E">
      <w:pPr>
        <w:jc w:val="both"/>
        <w:rPr>
          <w:rFonts w:cs="Times New Roman"/>
          <w:noProof/>
          <w:szCs w:val="24"/>
        </w:rPr>
      </w:pPr>
      <w:r>
        <w:rPr>
          <w:rFonts w:cs="Times New Roman"/>
          <w:noProof/>
          <w:szCs w:val="24"/>
        </w:rPr>
        <w:t xml:space="preserve">Annex </w:t>
      </w:r>
      <w:r w:rsidR="002E5D5E">
        <w:rPr>
          <w:rFonts w:cs="Times New Roman"/>
          <w:noProof/>
          <w:szCs w:val="24"/>
        </w:rPr>
        <w:t>6</w:t>
      </w:r>
      <w:r w:rsidRPr="00CF1F7D">
        <w:rPr>
          <w:rFonts w:cs="Times New Roman"/>
          <w:noProof/>
          <w:szCs w:val="24"/>
        </w:rPr>
        <w:t xml:space="preserve"> </w:t>
      </w:r>
      <w:r>
        <w:rPr>
          <w:rFonts w:cs="Times New Roman"/>
          <w:noProof/>
          <w:szCs w:val="24"/>
        </w:rPr>
        <w:t>shows the</w:t>
      </w:r>
      <w:r w:rsidRPr="007C1494">
        <w:rPr>
          <w:rFonts w:cs="Times New Roman"/>
          <w:noProof/>
          <w:szCs w:val="24"/>
        </w:rPr>
        <w:t xml:space="preserve"> main trad</w:t>
      </w:r>
      <w:r>
        <w:rPr>
          <w:rFonts w:cs="Times New Roman"/>
          <w:noProof/>
          <w:szCs w:val="24"/>
        </w:rPr>
        <w:t>ing</w:t>
      </w:r>
      <w:r w:rsidRPr="007C1494">
        <w:rPr>
          <w:rFonts w:cs="Times New Roman"/>
          <w:noProof/>
          <w:szCs w:val="24"/>
        </w:rPr>
        <w:t xml:space="preserve"> partners </w:t>
      </w:r>
      <w:r>
        <w:rPr>
          <w:rFonts w:cs="Times New Roman"/>
          <w:noProof/>
          <w:szCs w:val="24"/>
        </w:rPr>
        <w:t>and the</w:t>
      </w:r>
      <w:r w:rsidRPr="007C1494">
        <w:rPr>
          <w:rFonts w:cs="Times New Roman"/>
          <w:noProof/>
          <w:szCs w:val="24"/>
        </w:rPr>
        <w:t xml:space="preserve"> </w:t>
      </w:r>
      <w:r>
        <w:rPr>
          <w:rFonts w:cs="Times New Roman"/>
          <w:noProof/>
          <w:szCs w:val="24"/>
        </w:rPr>
        <w:t xml:space="preserve">share of the </w:t>
      </w:r>
      <w:r w:rsidRPr="007C1494">
        <w:rPr>
          <w:rFonts w:cs="Times New Roman"/>
          <w:noProof/>
          <w:szCs w:val="24"/>
        </w:rPr>
        <w:t>commodities</w:t>
      </w:r>
      <w:r>
        <w:rPr>
          <w:rFonts w:cs="Times New Roman"/>
          <w:noProof/>
          <w:szCs w:val="24"/>
        </w:rPr>
        <w:t xml:space="preserve"> the EU imports from them</w:t>
      </w:r>
      <w:r w:rsidRPr="007C1494">
        <w:rPr>
          <w:rFonts w:cs="Times New Roman"/>
          <w:noProof/>
          <w:szCs w:val="24"/>
        </w:rPr>
        <w:t xml:space="preserve">, </w:t>
      </w:r>
      <w:r>
        <w:rPr>
          <w:rFonts w:cs="Times New Roman"/>
          <w:noProof/>
          <w:szCs w:val="24"/>
        </w:rPr>
        <w:t xml:space="preserve">both in terms of quantity and value. It also shows </w:t>
      </w:r>
      <w:r w:rsidRPr="007C1494">
        <w:rPr>
          <w:rFonts w:cs="Times New Roman"/>
          <w:noProof/>
          <w:szCs w:val="24"/>
        </w:rPr>
        <w:t xml:space="preserve">countries </w:t>
      </w:r>
      <w:r>
        <w:rPr>
          <w:rFonts w:cs="Times New Roman"/>
          <w:noProof/>
          <w:szCs w:val="24"/>
        </w:rPr>
        <w:t xml:space="preserve">where the commodities play a key role as a proportion </w:t>
      </w:r>
      <w:r w:rsidR="00BD5A9F">
        <w:rPr>
          <w:rFonts w:cs="Times New Roman"/>
          <w:noProof/>
          <w:szCs w:val="24"/>
        </w:rPr>
        <w:t>of</w:t>
      </w:r>
      <w:r>
        <w:rPr>
          <w:rFonts w:cs="Times New Roman"/>
          <w:noProof/>
          <w:szCs w:val="24"/>
        </w:rPr>
        <w:t xml:space="preserve"> overall imports by the EU from them and those countries </w:t>
      </w:r>
      <w:r w:rsidRPr="007C1494">
        <w:rPr>
          <w:rFonts w:cs="Times New Roman"/>
          <w:noProof/>
          <w:szCs w:val="24"/>
        </w:rPr>
        <w:t xml:space="preserve">with highest value of exports </w:t>
      </w:r>
      <w:r w:rsidR="00BD5A9F">
        <w:rPr>
          <w:rFonts w:cs="Times New Roman"/>
          <w:noProof/>
          <w:szCs w:val="24"/>
        </w:rPr>
        <w:t xml:space="preserve">to the EU </w:t>
      </w:r>
      <w:r w:rsidRPr="007C1494">
        <w:rPr>
          <w:rFonts w:cs="Times New Roman"/>
          <w:noProof/>
          <w:szCs w:val="24"/>
        </w:rPr>
        <w:t xml:space="preserve">as percentage of the GDP. </w:t>
      </w:r>
      <w:r w:rsidR="00EE6E0E" w:rsidRPr="007C1494">
        <w:rPr>
          <w:rFonts w:cs="Times New Roman"/>
          <w:noProof/>
          <w:szCs w:val="24"/>
        </w:rPr>
        <w:t xml:space="preserve"> </w:t>
      </w:r>
    </w:p>
    <w:p w14:paraId="78DBEBAA" w14:textId="36FE652C" w:rsidR="00EE6E0E" w:rsidRPr="007C1494" w:rsidRDefault="00C60239" w:rsidP="00EE6E0E">
      <w:pPr>
        <w:jc w:val="both"/>
        <w:rPr>
          <w:rFonts w:cs="Times New Roman"/>
          <w:noProof/>
          <w:szCs w:val="24"/>
        </w:rPr>
      </w:pPr>
      <w:r w:rsidRPr="007C1494">
        <w:rPr>
          <w:rFonts w:cs="Times New Roman"/>
          <w:noProof/>
          <w:szCs w:val="24"/>
        </w:rPr>
        <w:t xml:space="preserve">It is however important to point out that the </w:t>
      </w:r>
      <w:r w:rsidR="00496E4D" w:rsidRPr="007C1494">
        <w:rPr>
          <w:rFonts w:cs="Times New Roman"/>
          <w:noProof/>
          <w:szCs w:val="24"/>
        </w:rPr>
        <w:t xml:space="preserve">change </w:t>
      </w:r>
      <w:r w:rsidRPr="007C1494">
        <w:rPr>
          <w:rFonts w:cs="Times New Roman"/>
          <w:noProof/>
          <w:szCs w:val="24"/>
        </w:rPr>
        <w:t xml:space="preserve">of forest cover given in the tables is the </w:t>
      </w:r>
      <w:r w:rsidR="001A4666">
        <w:rPr>
          <w:rFonts w:cs="Times New Roman"/>
          <w:noProof/>
          <w:szCs w:val="24"/>
        </w:rPr>
        <w:t xml:space="preserve">national </w:t>
      </w:r>
      <w:r w:rsidRPr="007C1494">
        <w:rPr>
          <w:rFonts w:cs="Times New Roman"/>
          <w:noProof/>
          <w:szCs w:val="24"/>
        </w:rPr>
        <w:t xml:space="preserve">rate. </w:t>
      </w:r>
      <w:r w:rsidR="001A4666">
        <w:rPr>
          <w:rFonts w:cs="Times New Roman"/>
          <w:noProof/>
          <w:szCs w:val="24"/>
        </w:rPr>
        <w:t>A</w:t>
      </w:r>
      <w:r w:rsidR="00496E4D" w:rsidRPr="007C1494">
        <w:rPr>
          <w:rFonts w:cs="Times New Roman"/>
          <w:noProof/>
          <w:szCs w:val="24"/>
        </w:rPr>
        <w:t xml:space="preserve"> loss in forest cover (negative number) </w:t>
      </w:r>
      <w:r w:rsidR="00EE6E0E" w:rsidRPr="007C1494">
        <w:rPr>
          <w:rFonts w:cs="Times New Roman"/>
          <w:noProof/>
          <w:szCs w:val="24"/>
        </w:rPr>
        <w:t xml:space="preserve">may </w:t>
      </w:r>
      <w:r w:rsidR="001A4666">
        <w:rPr>
          <w:rFonts w:cs="Times New Roman"/>
          <w:noProof/>
          <w:szCs w:val="24"/>
        </w:rPr>
        <w:t xml:space="preserve">vary considerably sub-nationally and loss may </w:t>
      </w:r>
      <w:r w:rsidR="00EE6E0E" w:rsidRPr="007C1494">
        <w:rPr>
          <w:rFonts w:cs="Times New Roman"/>
          <w:noProof/>
          <w:szCs w:val="24"/>
        </w:rPr>
        <w:t xml:space="preserve">be related to other drivers than the production of the relevant commodities under consideration. </w:t>
      </w:r>
    </w:p>
    <w:p w14:paraId="047558DA" w14:textId="17A55A09" w:rsidR="001A4666" w:rsidRDefault="001A4666" w:rsidP="00EE6E0E">
      <w:pPr>
        <w:jc w:val="both"/>
        <w:rPr>
          <w:rFonts w:cs="Times New Roman"/>
          <w:noProof/>
          <w:szCs w:val="24"/>
        </w:rPr>
      </w:pPr>
      <w:r w:rsidRPr="001A4666">
        <w:rPr>
          <w:rFonts w:cs="Times New Roman"/>
          <w:noProof/>
          <w:szCs w:val="24"/>
        </w:rPr>
        <w:t>The following figure illustrates the main trading partners for each commodity (average annual quantity 2015-2019), including associated deforestation risks. Some of the imports are concentrated on a few countries with high risk of deforestation associated to the production of those commodities. These are the countries that will be more likely impacted by the initiative.</w:t>
      </w:r>
    </w:p>
    <w:p w14:paraId="3E755ADF" w14:textId="1730BF5D" w:rsidR="00FD77F5" w:rsidRDefault="00FD77F5" w:rsidP="00362EF8">
      <w:pPr>
        <w:pStyle w:val="WDFigureTitle"/>
        <w:jc w:val="both"/>
        <w:rPr>
          <w:rFonts w:cs="Times New Roman"/>
          <w:noProof/>
          <w:szCs w:val="24"/>
        </w:rPr>
      </w:pPr>
      <w:r w:rsidRPr="00362EF8" w:rsidDel="00FD77F5">
        <w:rPr>
          <w:rFonts w:cs="Segoe UI"/>
          <w:noProof/>
          <w:color w:val="auto"/>
        </w:rPr>
        <w:t>Figure</w:t>
      </w:r>
      <w:r w:rsidR="006378E5">
        <w:rPr>
          <w:rFonts w:cs="Segoe UI"/>
          <w:noProof/>
          <w:color w:val="auto"/>
        </w:rPr>
        <w:t xml:space="preserve"> 8</w:t>
      </w:r>
      <w:r w:rsidRPr="00362EF8" w:rsidDel="00FD77F5">
        <w:rPr>
          <w:rFonts w:cs="Segoe UI"/>
          <w:noProof/>
          <w:color w:val="auto"/>
        </w:rPr>
        <w:t xml:space="preserve"> Main trading partners of the E</w:t>
      </w:r>
      <w:r w:rsidRPr="00386C2D" w:rsidDel="00FD77F5">
        <w:rPr>
          <w:rFonts w:cs="Segoe UI"/>
          <w:noProof/>
          <w:color w:val="auto"/>
        </w:rPr>
        <w:t>U-27 by commodity (based on average annual imported quantity of the six commodities over the period 2015-2019).</w:t>
      </w:r>
    </w:p>
    <w:p w14:paraId="46231C47" w14:textId="4A254DEC" w:rsidR="001A4666" w:rsidRDefault="00E52283" w:rsidP="001A4666">
      <w:pPr>
        <w:pStyle w:val="WDBody"/>
        <w:spacing w:after="120" w:line="276" w:lineRule="auto"/>
        <w:jc w:val="both"/>
        <w:rPr>
          <w:rFonts w:ascii="Times New Roman" w:hAnsi="Times New Roman" w:cs="Times New Roman"/>
          <w:noProof/>
          <w:color w:val="auto"/>
          <w:sz w:val="24"/>
          <w:szCs w:val="24"/>
        </w:rPr>
      </w:pPr>
      <w:r w:rsidRPr="00882058">
        <w:rPr>
          <w:rFonts w:cs="Times New Roman"/>
          <w:noProof/>
          <w:szCs w:val="24"/>
          <w:lang w:eastAsia="en-GB"/>
        </w:rPr>
        <w:drawing>
          <wp:inline distT="0" distB="0" distL="0" distR="0" wp14:anchorId="142B3213" wp14:editId="5D203B3E">
            <wp:extent cx="4497572" cy="5641925"/>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501059" cy="5646300"/>
                    </a:xfrm>
                    <a:prstGeom prst="rect">
                      <a:avLst/>
                    </a:prstGeom>
                  </pic:spPr>
                </pic:pic>
              </a:graphicData>
            </a:graphic>
          </wp:inline>
        </w:drawing>
      </w:r>
    </w:p>
    <w:p w14:paraId="4C00A955" w14:textId="19417076" w:rsidR="001A4666" w:rsidRPr="00657D8E" w:rsidDel="00FD77F5" w:rsidRDefault="001A4666" w:rsidP="001A4666">
      <w:pPr>
        <w:spacing w:before="100" w:beforeAutospacing="1" w:after="100" w:afterAutospacing="1" w:line="240" w:lineRule="auto"/>
        <w:jc w:val="both"/>
        <w:textAlignment w:val="baseline"/>
        <w:rPr>
          <w:rFonts w:eastAsia="Calibri" w:cs="Times New Roman"/>
          <w:i/>
          <w:noProof/>
          <w:sz w:val="16"/>
          <w:szCs w:val="16"/>
        </w:rPr>
      </w:pPr>
      <w:r w:rsidRPr="00657D8E" w:rsidDel="00FD77F5">
        <w:rPr>
          <w:rFonts w:cs="Times New Roman"/>
          <w:i/>
          <w:noProof/>
          <w:sz w:val="16"/>
          <w:szCs w:val="16"/>
        </w:rPr>
        <w:t xml:space="preserve">The deforestation risk level associated with the partner countries is indicated by colour: </w:t>
      </w:r>
      <w:r w:rsidRPr="00657D8E" w:rsidDel="00FD77F5">
        <w:rPr>
          <w:rFonts w:eastAsia="Times New Roman" w:cs="Times New Roman"/>
          <w:i/>
          <w:noProof/>
          <w:color w:val="CC5E52"/>
          <w:sz w:val="16"/>
          <w:szCs w:val="16"/>
          <w:u w:val="single"/>
          <w:lang w:eastAsia="en-GB"/>
        </w:rPr>
        <w:t>Orange</w:t>
      </w:r>
      <w:r w:rsidRPr="00657D8E" w:rsidDel="00FD77F5">
        <w:rPr>
          <w:rFonts w:eastAsia="Times New Roman" w:cs="Times New Roman"/>
          <w:i/>
          <w:noProof/>
          <w:color w:val="CC5E52"/>
          <w:sz w:val="16"/>
          <w:szCs w:val="16"/>
          <w:lang w:eastAsia="en-GB"/>
        </w:rPr>
        <w:t xml:space="preserve"> </w:t>
      </w:r>
      <w:r w:rsidRPr="00657D8E" w:rsidDel="00FD77F5">
        <w:rPr>
          <w:rFonts w:eastAsia="Times New Roman" w:cs="Times New Roman"/>
          <w:i/>
          <w:noProof/>
          <w:sz w:val="16"/>
          <w:szCs w:val="16"/>
          <w:lang w:eastAsia="en-GB"/>
        </w:rPr>
        <w:t>= ≥ 5000 ha/yr embodied deforestation, ≥5% deforestation of natural forest,  ≥ 5% net natural forest loss, deforestation was linked to the focal commodity in the country, and/or &gt;13% (beef) or &gt;10% (other focal commodities) of forest was converted to the commodity in at least one 10 km</w:t>
      </w:r>
      <w:r w:rsidRPr="00657D8E" w:rsidDel="00FD77F5">
        <w:rPr>
          <w:rFonts w:eastAsia="Times New Roman" w:cs="Times New Roman"/>
          <w:i/>
          <w:noProof/>
          <w:sz w:val="16"/>
          <w:szCs w:val="16"/>
          <w:vertAlign w:val="superscript"/>
          <w:lang w:eastAsia="en-GB"/>
        </w:rPr>
        <w:t>2</w:t>
      </w:r>
      <w:r w:rsidRPr="00657D8E" w:rsidDel="00FD77F5">
        <w:rPr>
          <w:rFonts w:eastAsia="Times New Roman" w:cs="Times New Roman"/>
          <w:i/>
          <w:noProof/>
          <w:sz w:val="16"/>
          <w:szCs w:val="16"/>
          <w:lang w:eastAsia="en-GB"/>
        </w:rPr>
        <w:t xml:space="preserve"> area of the country; </w:t>
      </w:r>
      <w:r w:rsidRPr="00657D8E" w:rsidDel="00FD77F5">
        <w:rPr>
          <w:rFonts w:eastAsia="Times New Roman" w:cs="Times New Roman"/>
          <w:i/>
          <w:noProof/>
          <w:color w:val="5F497A" w:themeColor="accent4" w:themeShade="BF"/>
          <w:sz w:val="16"/>
          <w:szCs w:val="16"/>
          <w:u w:val="single"/>
          <w:lang w:eastAsia="en-GB"/>
        </w:rPr>
        <w:t>Yellow</w:t>
      </w:r>
      <w:r w:rsidRPr="00657D8E" w:rsidDel="00FD77F5">
        <w:rPr>
          <w:rFonts w:eastAsia="Times New Roman" w:cs="Times New Roman"/>
          <w:i/>
          <w:noProof/>
          <w:color w:val="5F497A" w:themeColor="accent4" w:themeShade="BF"/>
          <w:sz w:val="16"/>
          <w:szCs w:val="16"/>
          <w:lang w:eastAsia="en-GB"/>
        </w:rPr>
        <w:t xml:space="preserve"> </w:t>
      </w:r>
      <w:r w:rsidRPr="00657D8E" w:rsidDel="00FD77F5">
        <w:rPr>
          <w:rFonts w:eastAsia="Times New Roman" w:cs="Times New Roman"/>
          <w:i/>
          <w:noProof/>
          <w:sz w:val="16"/>
          <w:szCs w:val="16"/>
          <w:lang w:eastAsia="en-GB"/>
        </w:rPr>
        <w:t>= 1000-5000 ha/yr embodied deforestation, 1-4.99% deforestation of natural forest, 1-4.99% net natural forest loss and/or 1.1-13% (beef) or 0.6-10% (other focal commodities)of forest was converted to the commodity in at least one 10 km</w:t>
      </w:r>
      <w:r w:rsidRPr="00657D8E" w:rsidDel="00FD77F5">
        <w:rPr>
          <w:rFonts w:eastAsia="Times New Roman" w:cs="Times New Roman"/>
          <w:i/>
          <w:noProof/>
          <w:sz w:val="16"/>
          <w:szCs w:val="16"/>
          <w:vertAlign w:val="superscript"/>
          <w:lang w:eastAsia="en-GB"/>
        </w:rPr>
        <w:t>2</w:t>
      </w:r>
      <w:r w:rsidRPr="00657D8E" w:rsidDel="00FD77F5">
        <w:rPr>
          <w:rFonts w:eastAsia="Times New Roman" w:cs="Times New Roman"/>
          <w:i/>
          <w:noProof/>
          <w:sz w:val="16"/>
          <w:szCs w:val="16"/>
          <w:lang w:eastAsia="en-GB"/>
        </w:rPr>
        <w:t xml:space="preserve"> area of the country</w:t>
      </w:r>
      <w:r w:rsidRPr="00657D8E" w:rsidDel="00FD77F5">
        <w:rPr>
          <w:rFonts w:eastAsia="Times New Roman" w:cs="Times New Roman"/>
          <w:i/>
          <w:iCs/>
          <w:noProof/>
          <w:sz w:val="16"/>
          <w:szCs w:val="16"/>
          <w:lang w:eastAsia="en-GB"/>
        </w:rPr>
        <w:t xml:space="preserve">; </w:t>
      </w:r>
      <w:r w:rsidRPr="00657D8E" w:rsidDel="00FD77F5">
        <w:rPr>
          <w:rFonts w:eastAsia="Times New Roman" w:cs="Times New Roman"/>
          <w:i/>
          <w:noProof/>
          <w:color w:val="959B59"/>
          <w:sz w:val="16"/>
          <w:szCs w:val="16"/>
          <w:u w:val="single"/>
          <w:lang w:eastAsia="en-GB"/>
        </w:rPr>
        <w:t>Green</w:t>
      </w:r>
      <w:r w:rsidRPr="00657D8E" w:rsidDel="00FD77F5">
        <w:rPr>
          <w:rFonts w:eastAsia="Times New Roman" w:cs="Times New Roman"/>
          <w:i/>
          <w:noProof/>
          <w:color w:val="959B59"/>
          <w:sz w:val="16"/>
          <w:szCs w:val="16"/>
          <w:lang w:eastAsia="en-GB"/>
        </w:rPr>
        <w:t xml:space="preserve"> </w:t>
      </w:r>
      <w:r w:rsidRPr="00657D8E" w:rsidDel="00FD77F5">
        <w:rPr>
          <w:rFonts w:eastAsia="Times New Roman" w:cs="Times New Roman"/>
          <w:i/>
          <w:iCs/>
          <w:noProof/>
          <w:sz w:val="16"/>
          <w:szCs w:val="16"/>
          <w:lang w:eastAsia="en-GB"/>
        </w:rPr>
        <w:t>= &lt;1000 ha/yr embodied deforestation and/or no 10km</w:t>
      </w:r>
      <w:r w:rsidRPr="00657D8E" w:rsidDel="00FD77F5">
        <w:rPr>
          <w:rFonts w:eastAsia="Times New Roman" w:cs="Times New Roman"/>
          <w:i/>
          <w:iCs/>
          <w:noProof/>
          <w:sz w:val="16"/>
          <w:szCs w:val="16"/>
          <w:vertAlign w:val="superscript"/>
          <w:lang w:eastAsia="en-GB"/>
        </w:rPr>
        <w:t>2</w:t>
      </w:r>
      <w:r w:rsidRPr="00657D8E" w:rsidDel="00FD77F5">
        <w:rPr>
          <w:rFonts w:eastAsia="Times New Roman" w:cs="Times New Roman"/>
          <w:i/>
          <w:iCs/>
          <w:noProof/>
          <w:sz w:val="16"/>
          <w:szCs w:val="16"/>
          <w:lang w:eastAsia="en-GB"/>
        </w:rPr>
        <w:t xml:space="preserve"> area of the country had &gt;1% (beef) or &gt;0.5% (other focal commodities) forest converted to the commodity; </w:t>
      </w:r>
      <w:r w:rsidRPr="00657D8E" w:rsidDel="00FD77F5">
        <w:rPr>
          <w:rFonts w:eastAsia="Times New Roman" w:cs="Times New Roman"/>
          <w:i/>
          <w:noProof/>
          <w:sz w:val="16"/>
          <w:szCs w:val="16"/>
          <w:u w:val="single"/>
          <w:lang w:eastAsia="en-GB"/>
        </w:rPr>
        <w:t>Black</w:t>
      </w:r>
      <w:r w:rsidRPr="00657D8E" w:rsidDel="00FD77F5">
        <w:rPr>
          <w:rFonts w:eastAsia="Times New Roman" w:cs="Times New Roman"/>
          <w:i/>
          <w:noProof/>
          <w:sz w:val="16"/>
          <w:szCs w:val="16"/>
          <w:lang w:eastAsia="en-GB"/>
        </w:rPr>
        <w:t xml:space="preserve"> = N/A (as all remaining countries were grouped in the ‘Other’ category). See methods for full details of deforestation risk datasets</w:t>
      </w:r>
      <w:r w:rsidRPr="00657D8E" w:rsidDel="00FD77F5">
        <w:rPr>
          <w:rFonts w:eastAsia="Times New Roman" w:cs="Times New Roman"/>
          <w:i/>
          <w:iCs/>
          <w:noProof/>
          <w:sz w:val="16"/>
          <w:szCs w:val="16"/>
          <w:lang w:eastAsia="en-GB"/>
        </w:rPr>
        <w:t>.</w:t>
      </w:r>
      <w:r w:rsidRPr="00657D8E" w:rsidDel="00FD77F5">
        <w:rPr>
          <w:rFonts w:cs="Times New Roman"/>
          <w:i/>
          <w:iCs/>
          <w:noProof/>
          <w:sz w:val="16"/>
          <w:szCs w:val="16"/>
        </w:rPr>
        <w:t xml:space="preserve"> Where risk levels differed between datasets, the highest risk level was shown. Note that deforestation risk is not necessarily comparable between commodities because datasets and data coverage may differ</w:t>
      </w:r>
      <w:r w:rsidRPr="00657D8E" w:rsidDel="00FD77F5">
        <w:rPr>
          <w:rFonts w:eastAsia="Times New Roman" w:cs="Times New Roman"/>
          <w:i/>
          <w:noProof/>
          <w:sz w:val="16"/>
          <w:szCs w:val="16"/>
          <w:lang w:eastAsia="en-GB"/>
        </w:rPr>
        <w:t>.</w:t>
      </w:r>
      <w:r w:rsidRPr="00657D8E" w:rsidDel="00FD77F5">
        <w:rPr>
          <w:rFonts w:eastAsia="Calibri" w:cs="Times New Roman"/>
          <w:i/>
          <w:noProof/>
          <w:sz w:val="16"/>
          <w:szCs w:val="16"/>
        </w:rPr>
        <w:t xml:space="preserve"> Source: Eurostat ComExt</w:t>
      </w:r>
      <w:r w:rsidR="00A56F48">
        <w:rPr>
          <w:rStyle w:val="FootnoteReference"/>
          <w:rFonts w:eastAsia="Calibri" w:cs="Times New Roman"/>
          <w:i/>
          <w:noProof/>
          <w:sz w:val="16"/>
          <w:szCs w:val="16"/>
        </w:rPr>
        <w:footnoteReference w:id="181"/>
      </w:r>
      <w:r w:rsidRPr="00657D8E" w:rsidDel="00FD77F5">
        <w:rPr>
          <w:rFonts w:eastAsia="Calibri" w:cs="Times New Roman"/>
          <w:i/>
          <w:noProof/>
          <w:sz w:val="16"/>
          <w:szCs w:val="16"/>
        </w:rPr>
        <w:t>, importer-reported data.</w:t>
      </w:r>
    </w:p>
    <w:p w14:paraId="25622751" w14:textId="71BD679D" w:rsidR="001A4666" w:rsidRPr="000D2C2D" w:rsidRDefault="001A4666" w:rsidP="00C42D20">
      <w:pPr>
        <w:pStyle w:val="WDBody"/>
        <w:spacing w:after="120" w:line="276" w:lineRule="auto"/>
        <w:jc w:val="both"/>
        <w:rPr>
          <w:rFonts w:ascii="Times New Roman" w:hAnsi="Times New Roman" w:cs="Times New Roman"/>
          <w:noProof/>
          <w:color w:val="auto"/>
          <w:sz w:val="24"/>
          <w:szCs w:val="24"/>
        </w:rPr>
      </w:pPr>
      <w:r w:rsidRPr="000D2C2D">
        <w:rPr>
          <w:rFonts w:ascii="Times New Roman" w:hAnsi="Times New Roman" w:cs="Times New Roman"/>
          <w:noProof/>
          <w:color w:val="auto"/>
          <w:sz w:val="24"/>
          <w:szCs w:val="24"/>
        </w:rPr>
        <w:t>Impacts in third countries may vary depending on operator size and stage in the supply chain. The supply chains of proposed commodities are generally hourglass shaped, with a small number of multinational processors and traders dominating the international trading stage, and production involving a wide range of suppliers from companies to smallholders</w:t>
      </w:r>
      <w:r w:rsidRPr="000D2C2D">
        <w:rPr>
          <w:rStyle w:val="FootnoteReference"/>
          <w:rFonts w:ascii="Times New Roman" w:hAnsi="Times New Roman" w:cs="Times New Roman"/>
          <w:noProof/>
          <w:color w:val="auto"/>
          <w:sz w:val="24"/>
          <w:szCs w:val="24"/>
        </w:rPr>
        <w:footnoteReference w:id="182"/>
      </w:r>
      <w:r w:rsidRPr="000D2C2D">
        <w:rPr>
          <w:rFonts w:ascii="Times New Roman" w:hAnsi="Times New Roman" w:cs="Times New Roman"/>
          <w:noProof/>
          <w:color w:val="auto"/>
          <w:sz w:val="24"/>
          <w:szCs w:val="24"/>
          <w:vertAlign w:val="superscript"/>
        </w:rPr>
        <w:t>,</w:t>
      </w:r>
      <w:r w:rsidRPr="000D2C2D">
        <w:rPr>
          <w:rStyle w:val="FootnoteReference"/>
          <w:rFonts w:ascii="Times New Roman" w:hAnsi="Times New Roman" w:cs="Times New Roman"/>
          <w:noProof/>
          <w:color w:val="auto"/>
          <w:sz w:val="24"/>
          <w:szCs w:val="24"/>
        </w:rPr>
        <w:footnoteReference w:id="183"/>
      </w:r>
      <w:r w:rsidRPr="000D2C2D">
        <w:rPr>
          <w:rFonts w:ascii="Times New Roman" w:hAnsi="Times New Roman" w:cs="Times New Roman"/>
          <w:noProof/>
          <w:color w:val="auto"/>
          <w:sz w:val="24"/>
          <w:szCs w:val="24"/>
        </w:rPr>
        <w:t>. For example, cocoa production relies on 5-6 million smallholders worldwide, with a few large multinational companies dominating processing and trade</w:t>
      </w:r>
      <w:r w:rsidRPr="000D2C2D">
        <w:rPr>
          <w:rStyle w:val="FootnoteReference"/>
          <w:rFonts w:ascii="Times New Roman" w:hAnsi="Times New Roman" w:cs="Times New Roman"/>
          <w:noProof/>
          <w:color w:val="auto"/>
          <w:sz w:val="24"/>
          <w:szCs w:val="24"/>
        </w:rPr>
        <w:footnoteReference w:id="184"/>
      </w:r>
      <w:r w:rsidRPr="000D2C2D">
        <w:rPr>
          <w:rFonts w:ascii="Times New Roman" w:hAnsi="Times New Roman" w:cs="Times New Roman"/>
          <w:noProof/>
          <w:color w:val="auto"/>
          <w:sz w:val="24"/>
          <w:szCs w:val="24"/>
        </w:rPr>
        <w:t>, and around two-thirds of Brazilian beef exports are handled by three main meatpackers, whilst cattle are produced and reared by 2.5 million farmers</w:t>
      </w:r>
      <w:r w:rsidRPr="000D2C2D">
        <w:rPr>
          <w:rStyle w:val="FootnoteReference"/>
          <w:rFonts w:ascii="Times New Roman" w:hAnsi="Times New Roman" w:cs="Times New Roman"/>
          <w:noProof/>
          <w:color w:val="auto"/>
          <w:sz w:val="24"/>
          <w:szCs w:val="24"/>
        </w:rPr>
        <w:footnoteReference w:id="185"/>
      </w:r>
      <w:r w:rsidRPr="000D2C2D">
        <w:rPr>
          <w:rFonts w:ascii="Times New Roman" w:hAnsi="Times New Roman" w:cs="Times New Roman"/>
          <w:noProof/>
          <w:color w:val="auto"/>
          <w:sz w:val="24"/>
          <w:szCs w:val="24"/>
        </w:rPr>
        <w:t xml:space="preserve"> ranging from small-scale ranchers to large company-run farms</w:t>
      </w:r>
      <w:r w:rsidRPr="000D2C2D">
        <w:rPr>
          <w:rStyle w:val="FootnoteReference"/>
          <w:rFonts w:ascii="Times New Roman" w:hAnsi="Times New Roman" w:cs="Times New Roman"/>
          <w:noProof/>
          <w:color w:val="auto"/>
          <w:sz w:val="24"/>
          <w:szCs w:val="24"/>
        </w:rPr>
        <w:footnoteReference w:id="186"/>
      </w:r>
      <w:r w:rsidRPr="000D2C2D">
        <w:rPr>
          <w:rFonts w:ascii="Times New Roman" w:hAnsi="Times New Roman" w:cs="Times New Roman"/>
          <w:noProof/>
          <w:color w:val="auto"/>
          <w:sz w:val="24"/>
          <w:szCs w:val="24"/>
        </w:rPr>
        <w:t>.</w:t>
      </w:r>
    </w:p>
    <w:p w14:paraId="7BC227C5" w14:textId="6BAB4AD1" w:rsidR="00C42D20" w:rsidRPr="007C1494" w:rsidRDefault="00C42D20" w:rsidP="00C42D20">
      <w:pPr>
        <w:pStyle w:val="WDBody"/>
        <w:spacing w:after="120" w:line="276" w:lineRule="auto"/>
        <w:jc w:val="both"/>
        <w:rPr>
          <w:rFonts w:ascii="Times New Roman" w:hAnsi="Times New Roman" w:cs="Times New Roman"/>
          <w:noProof/>
          <w:color w:val="auto"/>
          <w:sz w:val="24"/>
          <w:szCs w:val="24"/>
        </w:rPr>
      </w:pPr>
      <w:r w:rsidRPr="000D2C2D">
        <w:rPr>
          <w:rFonts w:ascii="Times New Roman" w:hAnsi="Times New Roman" w:cs="Times New Roman"/>
          <w:noProof/>
          <w:color w:val="auto"/>
          <w:sz w:val="24"/>
          <w:szCs w:val="24"/>
        </w:rPr>
        <w:t xml:space="preserve">Operators </w:t>
      </w:r>
      <w:r w:rsidR="00B231C8" w:rsidRPr="000D2C2D">
        <w:rPr>
          <w:rFonts w:ascii="Times New Roman" w:hAnsi="Times New Roman" w:cs="Times New Roman"/>
          <w:noProof/>
          <w:color w:val="auto"/>
          <w:sz w:val="24"/>
          <w:szCs w:val="24"/>
        </w:rPr>
        <w:t>in third</w:t>
      </w:r>
      <w:r w:rsidRPr="000D2C2D">
        <w:rPr>
          <w:rFonts w:ascii="Times New Roman" w:hAnsi="Times New Roman" w:cs="Times New Roman"/>
          <w:noProof/>
          <w:color w:val="auto"/>
          <w:sz w:val="24"/>
          <w:szCs w:val="24"/>
        </w:rPr>
        <w:t xml:space="preserve"> countries</w:t>
      </w:r>
      <w:r w:rsidR="00CD0252" w:rsidRPr="000D2C2D">
        <w:rPr>
          <w:rFonts w:ascii="Times New Roman" w:hAnsi="Times New Roman" w:cs="Times New Roman"/>
          <w:noProof/>
          <w:color w:val="auto"/>
          <w:sz w:val="24"/>
          <w:szCs w:val="24"/>
        </w:rPr>
        <w:t>,</w:t>
      </w:r>
      <w:r w:rsidRPr="000D2C2D">
        <w:rPr>
          <w:rFonts w:ascii="Times New Roman" w:hAnsi="Times New Roman" w:cs="Times New Roman"/>
          <w:noProof/>
          <w:color w:val="auto"/>
          <w:sz w:val="24"/>
          <w:szCs w:val="24"/>
        </w:rPr>
        <w:t xml:space="preserve"> including</w:t>
      </w:r>
      <w:r w:rsidRPr="007C1494">
        <w:rPr>
          <w:rFonts w:ascii="Times New Roman" w:hAnsi="Times New Roman" w:cs="Times New Roman"/>
          <w:noProof/>
          <w:color w:val="auto"/>
          <w:sz w:val="24"/>
          <w:szCs w:val="24"/>
        </w:rPr>
        <w:t xml:space="preserve"> smallholders,</w:t>
      </w:r>
      <w:r w:rsidR="00CD0252" w:rsidRPr="007C1494">
        <w:rPr>
          <w:rFonts w:ascii="Times New Roman" w:hAnsi="Times New Roman" w:cs="Times New Roman"/>
          <w:noProof/>
          <w:color w:val="auto"/>
          <w:sz w:val="24"/>
          <w:szCs w:val="24"/>
        </w:rPr>
        <w:t xml:space="preserve"> </w:t>
      </w:r>
      <w:r w:rsidR="00DD305D" w:rsidRPr="007C1494">
        <w:rPr>
          <w:rFonts w:ascii="Times New Roman" w:hAnsi="Times New Roman" w:cs="Times New Roman"/>
          <w:noProof/>
          <w:color w:val="auto"/>
          <w:sz w:val="24"/>
          <w:szCs w:val="24"/>
        </w:rPr>
        <w:t>could</w:t>
      </w:r>
      <w:r w:rsidR="00CD0252" w:rsidRPr="007C1494">
        <w:rPr>
          <w:rFonts w:ascii="Times New Roman" w:hAnsi="Times New Roman" w:cs="Times New Roman"/>
          <w:noProof/>
          <w:color w:val="auto"/>
          <w:sz w:val="24"/>
          <w:szCs w:val="24"/>
        </w:rPr>
        <w:t xml:space="preserve"> </w:t>
      </w:r>
      <w:r w:rsidR="002A1220" w:rsidRPr="007C1494">
        <w:rPr>
          <w:rFonts w:ascii="Times New Roman" w:hAnsi="Times New Roman" w:cs="Times New Roman"/>
          <w:noProof/>
          <w:color w:val="auto"/>
          <w:sz w:val="24"/>
          <w:szCs w:val="24"/>
        </w:rPr>
        <w:t>face costs</w:t>
      </w:r>
      <w:r w:rsidR="00CD0252" w:rsidRPr="007C1494" w:rsidDel="00DD305D">
        <w:rPr>
          <w:rFonts w:ascii="Times New Roman" w:hAnsi="Times New Roman" w:cs="Times New Roman"/>
          <w:noProof/>
          <w:color w:val="auto"/>
          <w:sz w:val="24"/>
          <w:szCs w:val="24"/>
        </w:rPr>
        <w:t xml:space="preserve"> </w:t>
      </w:r>
      <w:r w:rsidR="00CD0252" w:rsidRPr="007C1494">
        <w:rPr>
          <w:rFonts w:ascii="Times New Roman" w:hAnsi="Times New Roman" w:cs="Times New Roman"/>
          <w:noProof/>
          <w:color w:val="auto"/>
          <w:sz w:val="24"/>
          <w:szCs w:val="24"/>
        </w:rPr>
        <w:t xml:space="preserve">to develop </w:t>
      </w:r>
      <w:r w:rsidR="007B01F9">
        <w:rPr>
          <w:rFonts w:ascii="Times New Roman" w:hAnsi="Times New Roman" w:cs="Times New Roman"/>
          <w:noProof/>
          <w:color w:val="auto"/>
          <w:sz w:val="24"/>
          <w:szCs w:val="24"/>
        </w:rPr>
        <w:t>or implement</w:t>
      </w:r>
      <w:r w:rsidR="00CD0252" w:rsidRPr="007C1494">
        <w:rPr>
          <w:rFonts w:ascii="Times New Roman" w:hAnsi="Times New Roman" w:cs="Times New Roman"/>
          <w:noProof/>
          <w:color w:val="auto"/>
          <w:sz w:val="24"/>
          <w:szCs w:val="24"/>
        </w:rPr>
        <w:t xml:space="preserve"> systems to </w:t>
      </w:r>
      <w:r w:rsidR="007B01F9">
        <w:rPr>
          <w:rFonts w:ascii="Times New Roman" w:hAnsi="Times New Roman" w:cs="Times New Roman"/>
          <w:noProof/>
          <w:color w:val="auto"/>
          <w:sz w:val="24"/>
          <w:szCs w:val="24"/>
        </w:rPr>
        <w:t xml:space="preserve">allow EU operators to </w:t>
      </w:r>
      <w:r w:rsidR="005327F7" w:rsidRPr="007C1494">
        <w:rPr>
          <w:rFonts w:ascii="Times New Roman" w:hAnsi="Times New Roman" w:cs="Times New Roman"/>
          <w:noProof/>
          <w:color w:val="auto"/>
          <w:sz w:val="24"/>
          <w:szCs w:val="24"/>
        </w:rPr>
        <w:t xml:space="preserve">comply with the </w:t>
      </w:r>
      <w:r w:rsidR="00DD305D" w:rsidRPr="007C1494">
        <w:rPr>
          <w:rFonts w:ascii="Times New Roman" w:hAnsi="Times New Roman" w:cs="Times New Roman"/>
          <w:noProof/>
          <w:color w:val="auto"/>
          <w:sz w:val="24"/>
          <w:szCs w:val="24"/>
        </w:rPr>
        <w:t>new</w:t>
      </w:r>
      <w:r w:rsidR="005327F7" w:rsidRPr="007C1494">
        <w:rPr>
          <w:rFonts w:ascii="Times New Roman" w:hAnsi="Times New Roman" w:cs="Times New Roman"/>
          <w:noProof/>
          <w:color w:val="auto"/>
          <w:sz w:val="24"/>
          <w:szCs w:val="24"/>
        </w:rPr>
        <w:t xml:space="preserve"> </w:t>
      </w:r>
      <w:r w:rsidR="00C46D26">
        <w:rPr>
          <w:rFonts w:ascii="Times New Roman" w:hAnsi="Times New Roman" w:cs="Times New Roman"/>
          <w:noProof/>
          <w:color w:val="auto"/>
          <w:sz w:val="24"/>
          <w:szCs w:val="24"/>
        </w:rPr>
        <w:t>requirements</w:t>
      </w:r>
      <w:r w:rsidR="005327F7" w:rsidRPr="007C1494">
        <w:rPr>
          <w:rFonts w:ascii="Times New Roman" w:hAnsi="Times New Roman" w:cs="Times New Roman"/>
          <w:noProof/>
          <w:color w:val="auto"/>
          <w:sz w:val="24"/>
          <w:szCs w:val="24"/>
        </w:rPr>
        <w:t xml:space="preserve">, </w:t>
      </w:r>
      <w:r w:rsidR="00DD305D" w:rsidRPr="007C1494">
        <w:rPr>
          <w:rFonts w:ascii="Times New Roman" w:hAnsi="Times New Roman" w:cs="Times New Roman"/>
          <w:noProof/>
          <w:color w:val="auto"/>
          <w:sz w:val="24"/>
          <w:szCs w:val="24"/>
        </w:rPr>
        <w:t>where they</w:t>
      </w:r>
      <w:r w:rsidR="00B231C8" w:rsidRPr="007C1494">
        <w:rPr>
          <w:rFonts w:ascii="Times New Roman" w:hAnsi="Times New Roman" w:cs="Times New Roman"/>
          <w:noProof/>
          <w:color w:val="auto"/>
          <w:sz w:val="24"/>
          <w:szCs w:val="24"/>
        </w:rPr>
        <w:t xml:space="preserve"> do not </w:t>
      </w:r>
      <w:r w:rsidR="001A4666">
        <w:rPr>
          <w:rFonts w:ascii="Times New Roman" w:hAnsi="Times New Roman" w:cs="Times New Roman"/>
          <w:noProof/>
          <w:color w:val="auto"/>
          <w:sz w:val="24"/>
          <w:szCs w:val="24"/>
        </w:rPr>
        <w:t>already</w:t>
      </w:r>
      <w:r w:rsidR="00B231C8" w:rsidRPr="007C1494">
        <w:rPr>
          <w:rFonts w:ascii="Times New Roman" w:hAnsi="Times New Roman" w:cs="Times New Roman"/>
          <w:noProof/>
          <w:color w:val="auto"/>
          <w:sz w:val="24"/>
          <w:szCs w:val="24"/>
        </w:rPr>
        <w:t xml:space="preserve"> have systems </w:t>
      </w:r>
      <w:r w:rsidR="00DD305D" w:rsidRPr="007C1494">
        <w:rPr>
          <w:rFonts w:ascii="Times New Roman" w:hAnsi="Times New Roman" w:cs="Times New Roman"/>
          <w:noProof/>
          <w:color w:val="auto"/>
          <w:sz w:val="24"/>
          <w:szCs w:val="24"/>
        </w:rPr>
        <w:t>in place</w:t>
      </w:r>
      <w:r w:rsidR="002A1220" w:rsidRPr="007C1494">
        <w:rPr>
          <w:rFonts w:ascii="Times New Roman" w:hAnsi="Times New Roman" w:cs="Times New Roman"/>
          <w:noProof/>
          <w:color w:val="auto"/>
          <w:sz w:val="24"/>
          <w:szCs w:val="24"/>
        </w:rPr>
        <w:t xml:space="preserve">. </w:t>
      </w:r>
      <w:r w:rsidR="005327F7" w:rsidRPr="007C1494">
        <w:rPr>
          <w:rFonts w:ascii="Times New Roman" w:hAnsi="Times New Roman" w:cs="Times New Roman"/>
          <w:noProof/>
          <w:color w:val="auto"/>
          <w:sz w:val="24"/>
          <w:szCs w:val="24"/>
        </w:rPr>
        <w:t>T</w:t>
      </w:r>
      <w:r w:rsidR="002A1220" w:rsidRPr="007C1494">
        <w:rPr>
          <w:rFonts w:ascii="Times New Roman" w:hAnsi="Times New Roman" w:cs="Times New Roman"/>
          <w:noProof/>
          <w:color w:val="auto"/>
          <w:sz w:val="24"/>
          <w:szCs w:val="24"/>
        </w:rPr>
        <w:t>hese</w:t>
      </w:r>
      <w:r w:rsidR="00CD0252" w:rsidRPr="007C1494">
        <w:rPr>
          <w:rFonts w:ascii="Times New Roman" w:hAnsi="Times New Roman" w:cs="Times New Roman"/>
          <w:noProof/>
          <w:color w:val="auto"/>
          <w:sz w:val="24"/>
          <w:szCs w:val="24"/>
        </w:rPr>
        <w:t xml:space="preserve"> </w:t>
      </w:r>
      <w:r w:rsidR="002A1220" w:rsidRPr="007C1494">
        <w:rPr>
          <w:rFonts w:ascii="Times New Roman" w:hAnsi="Times New Roman" w:cs="Times New Roman"/>
          <w:noProof/>
          <w:color w:val="auto"/>
          <w:sz w:val="24"/>
          <w:szCs w:val="24"/>
        </w:rPr>
        <w:t xml:space="preserve">costs </w:t>
      </w:r>
      <w:r w:rsidR="005327F7" w:rsidRPr="007C1494">
        <w:rPr>
          <w:rFonts w:ascii="Times New Roman" w:hAnsi="Times New Roman" w:cs="Times New Roman"/>
          <w:noProof/>
          <w:color w:val="auto"/>
          <w:sz w:val="24"/>
          <w:szCs w:val="24"/>
        </w:rPr>
        <w:t xml:space="preserve">could </w:t>
      </w:r>
      <w:r w:rsidR="00CD0252" w:rsidRPr="007C1494">
        <w:rPr>
          <w:rFonts w:ascii="Times New Roman" w:hAnsi="Times New Roman" w:cs="Times New Roman"/>
          <w:noProof/>
          <w:color w:val="auto"/>
          <w:sz w:val="24"/>
          <w:szCs w:val="24"/>
        </w:rPr>
        <w:t xml:space="preserve">be passed through the prices of </w:t>
      </w:r>
      <w:r w:rsidR="00B231C8" w:rsidRPr="007C1494">
        <w:rPr>
          <w:rFonts w:ascii="Times New Roman" w:hAnsi="Times New Roman" w:cs="Times New Roman"/>
          <w:noProof/>
          <w:color w:val="auto"/>
          <w:sz w:val="24"/>
          <w:szCs w:val="24"/>
        </w:rPr>
        <w:t>products</w:t>
      </w:r>
      <w:r w:rsidR="00F16CED" w:rsidRPr="007C1494">
        <w:rPr>
          <w:rFonts w:ascii="Times New Roman" w:hAnsi="Times New Roman" w:cs="Times New Roman"/>
          <w:noProof/>
          <w:color w:val="auto"/>
          <w:sz w:val="24"/>
          <w:szCs w:val="24"/>
        </w:rPr>
        <w:t xml:space="preserve">. </w:t>
      </w:r>
      <w:r w:rsidRPr="007C1494">
        <w:rPr>
          <w:rFonts w:ascii="Times New Roman" w:hAnsi="Times New Roman" w:cs="Times New Roman"/>
          <w:noProof/>
          <w:color w:val="auto"/>
          <w:sz w:val="24"/>
          <w:szCs w:val="24"/>
        </w:rPr>
        <w:t xml:space="preserve">However, a level playing field will be established as regards the exports to the EU, providing an incentive for all operators to switch to deforestation-free supply chains and a competitive advantage </w:t>
      </w:r>
      <w:r w:rsidR="001A4666">
        <w:rPr>
          <w:rFonts w:ascii="Times New Roman" w:hAnsi="Times New Roman" w:cs="Times New Roman"/>
          <w:noProof/>
          <w:color w:val="auto"/>
          <w:sz w:val="24"/>
          <w:szCs w:val="24"/>
        </w:rPr>
        <w:t>for</w:t>
      </w:r>
      <w:r w:rsidRPr="007C1494">
        <w:rPr>
          <w:rFonts w:ascii="Times New Roman" w:hAnsi="Times New Roman" w:cs="Times New Roman"/>
          <w:noProof/>
          <w:color w:val="auto"/>
          <w:sz w:val="24"/>
          <w:szCs w:val="24"/>
        </w:rPr>
        <w:t xml:space="preserve"> those </w:t>
      </w:r>
      <w:r w:rsidR="00C46D26">
        <w:rPr>
          <w:rFonts w:ascii="Times New Roman" w:hAnsi="Times New Roman" w:cs="Times New Roman"/>
          <w:noProof/>
          <w:color w:val="auto"/>
          <w:sz w:val="24"/>
          <w:szCs w:val="24"/>
        </w:rPr>
        <w:t xml:space="preserve">that are or would become </w:t>
      </w:r>
      <w:r w:rsidRPr="007C1494">
        <w:rPr>
          <w:rFonts w:ascii="Times New Roman" w:hAnsi="Times New Roman" w:cs="Times New Roman"/>
          <w:noProof/>
          <w:color w:val="auto"/>
          <w:sz w:val="24"/>
          <w:szCs w:val="24"/>
        </w:rPr>
        <w:t>compliant. In the medium to long term, this is the only way to avoid the race to the bottom.</w:t>
      </w:r>
    </w:p>
    <w:p w14:paraId="738571E8" w14:textId="27702DB6" w:rsidR="00C62F1A" w:rsidRPr="007C1494" w:rsidRDefault="009A4885" w:rsidP="00F16CED">
      <w:pPr>
        <w:pStyle w:val="WDBody"/>
        <w:spacing w:after="120" w:line="276" w:lineRule="auto"/>
        <w:jc w:val="both"/>
        <w:rPr>
          <w:rFonts w:ascii="Times New Roman" w:hAnsi="Times New Roman" w:cs="Times New Roman"/>
          <w:noProof/>
          <w:color w:val="auto"/>
          <w:sz w:val="24"/>
          <w:szCs w:val="24"/>
        </w:rPr>
      </w:pPr>
      <w:r>
        <w:rPr>
          <w:rFonts w:ascii="Times New Roman" w:hAnsi="Times New Roman" w:cs="Times New Roman"/>
          <w:noProof/>
          <w:color w:val="auto"/>
          <w:sz w:val="24"/>
          <w:szCs w:val="24"/>
        </w:rPr>
        <w:t xml:space="preserve">It is important to highlight </w:t>
      </w:r>
      <w:r w:rsidR="009F618B">
        <w:rPr>
          <w:rFonts w:ascii="Times New Roman" w:hAnsi="Times New Roman" w:cs="Times New Roman"/>
          <w:noProof/>
          <w:color w:val="auto"/>
          <w:sz w:val="24"/>
          <w:szCs w:val="24"/>
        </w:rPr>
        <w:t xml:space="preserve">once again </w:t>
      </w:r>
      <w:r>
        <w:rPr>
          <w:rFonts w:ascii="Times New Roman" w:hAnsi="Times New Roman" w:cs="Times New Roman"/>
          <w:noProof/>
          <w:color w:val="auto"/>
          <w:sz w:val="24"/>
          <w:szCs w:val="24"/>
        </w:rPr>
        <w:t xml:space="preserve">that the </w:t>
      </w:r>
      <w:r w:rsidR="00BD5A9F">
        <w:rPr>
          <w:rFonts w:ascii="Times New Roman" w:hAnsi="Times New Roman" w:cs="Times New Roman"/>
          <w:noProof/>
          <w:color w:val="auto"/>
          <w:sz w:val="24"/>
          <w:szCs w:val="24"/>
        </w:rPr>
        <w:t>proposed</w:t>
      </w:r>
      <w:r>
        <w:rPr>
          <w:rFonts w:ascii="Times New Roman" w:hAnsi="Times New Roman" w:cs="Times New Roman"/>
          <w:noProof/>
          <w:color w:val="auto"/>
          <w:sz w:val="24"/>
          <w:szCs w:val="24"/>
        </w:rPr>
        <w:t xml:space="preserve"> cut-off date of 2020 can mitigate the impact of the proposal in third countries </w:t>
      </w:r>
      <w:r w:rsidR="001A4666">
        <w:rPr>
          <w:rFonts w:ascii="Times New Roman" w:hAnsi="Times New Roman" w:cs="Times New Roman"/>
          <w:noProof/>
          <w:color w:val="auto"/>
          <w:sz w:val="24"/>
          <w:szCs w:val="24"/>
        </w:rPr>
        <w:t>by focussing on the effective development of systems for current/future supply, rather than diverting resources to retrospective compliance</w:t>
      </w:r>
      <w:r w:rsidR="009F618B">
        <w:rPr>
          <w:rFonts w:ascii="Times New Roman" w:hAnsi="Times New Roman" w:cs="Times New Roman"/>
          <w:noProof/>
          <w:color w:val="auto"/>
          <w:sz w:val="24"/>
          <w:szCs w:val="24"/>
        </w:rPr>
        <w:t xml:space="preserve"> (see section 4.5)</w:t>
      </w:r>
      <w:r w:rsidR="001A4666">
        <w:rPr>
          <w:rFonts w:ascii="Times New Roman" w:hAnsi="Times New Roman" w:cs="Times New Roman"/>
          <w:noProof/>
          <w:color w:val="auto"/>
          <w:sz w:val="24"/>
          <w:szCs w:val="24"/>
        </w:rPr>
        <w:t xml:space="preserve">. </w:t>
      </w:r>
    </w:p>
    <w:p w14:paraId="27D7EF11" w14:textId="77777777" w:rsidR="00F362BD" w:rsidRPr="007C1494" w:rsidRDefault="00F362BD" w:rsidP="00F362BD">
      <w:pPr>
        <w:jc w:val="both"/>
        <w:rPr>
          <w:rFonts w:cs="Times New Roman"/>
          <w:noProof/>
          <w:szCs w:val="24"/>
        </w:rPr>
      </w:pPr>
      <w:r>
        <w:rPr>
          <w:rFonts w:cs="Times New Roman"/>
          <w:noProof/>
          <w:szCs w:val="24"/>
        </w:rPr>
        <w:t>All</w:t>
      </w:r>
      <w:r w:rsidRPr="007C1494">
        <w:rPr>
          <w:rFonts w:cs="Times New Roman"/>
          <w:noProof/>
          <w:szCs w:val="24"/>
        </w:rPr>
        <w:t xml:space="preserve"> options might also have unintended trade impacts, which can be separated into three main categories: i) risk of leakage, ii) hindered access to commodities for which EU supply is concentrated in a small number of producing countries and iii) unavailability of alternatives that would be compliant with the requirements.</w:t>
      </w:r>
    </w:p>
    <w:p w14:paraId="152A7062" w14:textId="7333F768" w:rsidR="00CB030B" w:rsidRDefault="00C46D26" w:rsidP="00F362BD">
      <w:pPr>
        <w:jc w:val="both"/>
        <w:rPr>
          <w:rFonts w:cs="Times New Roman"/>
          <w:noProof/>
          <w:szCs w:val="24"/>
        </w:rPr>
      </w:pPr>
      <w:r>
        <w:rPr>
          <w:rFonts w:cs="Times New Roman"/>
          <w:noProof/>
          <w:szCs w:val="24"/>
        </w:rPr>
        <w:t>The</w:t>
      </w:r>
      <w:r w:rsidR="00F362BD" w:rsidRPr="007C1494">
        <w:rPr>
          <w:rFonts w:cs="Times New Roman"/>
          <w:noProof/>
          <w:szCs w:val="24"/>
        </w:rPr>
        <w:t xml:space="preserve"> risk of leakage</w:t>
      </w:r>
      <w:r>
        <w:rPr>
          <w:rFonts w:cs="Times New Roman"/>
          <w:noProof/>
          <w:szCs w:val="24"/>
        </w:rPr>
        <w:t xml:space="preserve"> </w:t>
      </w:r>
      <w:r w:rsidR="009F618B">
        <w:rPr>
          <w:rFonts w:cs="Times New Roman"/>
          <w:noProof/>
          <w:szCs w:val="24"/>
        </w:rPr>
        <w:t xml:space="preserve">is addressed in section 6.1.4. </w:t>
      </w:r>
    </w:p>
    <w:p w14:paraId="21FB1D5E" w14:textId="213E6173" w:rsidR="00F362BD" w:rsidRPr="007C1494" w:rsidRDefault="00CB030B" w:rsidP="00F362BD">
      <w:pPr>
        <w:jc w:val="both"/>
        <w:rPr>
          <w:rFonts w:cs="Times New Roman"/>
          <w:noProof/>
          <w:szCs w:val="24"/>
        </w:rPr>
      </w:pPr>
      <w:r w:rsidRPr="00CB030B">
        <w:rPr>
          <w:rFonts w:cs="Times New Roman"/>
          <w:noProof/>
          <w:szCs w:val="24"/>
        </w:rPr>
        <w:t>In cases of commodities with a limited supply base the implementation of measures could theoretically reduce supply of certain products and higher potentially lead to higher market prices, especially where supply to the EU is concentrated in a small number of producing countries such as for cocoa or palm oil. However, the proposed cut-off date of 2020 would significantly reduce these risks, as most products currently in trade would be sourced from land put into production prior to 2020, providing time for operators to adapt.</w:t>
      </w:r>
    </w:p>
    <w:p w14:paraId="4186A02A" w14:textId="54BBBADD" w:rsidR="00AF6BBA" w:rsidRPr="007C1494" w:rsidRDefault="00335526" w:rsidP="00335526">
      <w:pPr>
        <w:pStyle w:val="Heading3"/>
        <w:rPr>
          <w:noProof/>
        </w:rPr>
      </w:pPr>
      <w:bookmarkStart w:id="163" w:name="_Toc67075002"/>
      <w:bookmarkStart w:id="164" w:name="_Toc75542197"/>
      <w:bookmarkStart w:id="165" w:name="_Toc75543230"/>
      <w:bookmarkStart w:id="166" w:name="_Toc84591918"/>
      <w:r w:rsidRPr="00335526">
        <w:t>6.1.3</w:t>
      </w:r>
      <w:r w:rsidRPr="00335526">
        <w:tab/>
      </w:r>
      <w:r w:rsidR="00AF6BBA" w:rsidRPr="007C1494">
        <w:rPr>
          <w:noProof/>
        </w:rPr>
        <w:t>Social impacts</w:t>
      </w:r>
      <w:bookmarkEnd w:id="163"/>
      <w:bookmarkEnd w:id="164"/>
      <w:bookmarkEnd w:id="165"/>
      <w:bookmarkEnd w:id="166"/>
    </w:p>
    <w:p w14:paraId="6AD8DB29" w14:textId="20EB28B3" w:rsidR="00C97DCD" w:rsidRPr="007C1494" w:rsidRDefault="00C948CE" w:rsidP="00C948CE">
      <w:pPr>
        <w:jc w:val="both"/>
        <w:rPr>
          <w:rFonts w:cs="Times New Roman"/>
          <w:noProof/>
          <w:szCs w:val="24"/>
        </w:rPr>
      </w:pPr>
      <w:bookmarkStart w:id="167" w:name="_Toc67070340"/>
      <w:bookmarkStart w:id="168" w:name="_Toc67073028"/>
      <w:bookmarkStart w:id="169" w:name="_Toc67074902"/>
      <w:bookmarkStart w:id="170" w:name="_Toc67075059"/>
      <w:bookmarkStart w:id="171" w:name="_Toc67075409"/>
      <w:bookmarkStart w:id="172" w:name="_Toc67075473"/>
      <w:bookmarkStart w:id="173" w:name="_Toc67075626"/>
      <w:bookmarkStart w:id="174" w:name="_Toc66658671"/>
      <w:bookmarkStart w:id="175" w:name="_Toc67075003"/>
      <w:bookmarkStart w:id="176" w:name="_Toc481484477"/>
      <w:bookmarkEnd w:id="167"/>
      <w:bookmarkEnd w:id="168"/>
      <w:bookmarkEnd w:id="169"/>
      <w:bookmarkEnd w:id="170"/>
      <w:bookmarkEnd w:id="171"/>
      <w:bookmarkEnd w:id="172"/>
      <w:bookmarkEnd w:id="173"/>
      <w:r w:rsidRPr="007C1494">
        <w:rPr>
          <w:rFonts w:cs="Times New Roman"/>
          <w:noProof/>
          <w:szCs w:val="24"/>
        </w:rPr>
        <w:t xml:space="preserve">At a local level, forests provide subsistence and income to about 25% of the world’s population, </w:t>
      </w:r>
      <w:r w:rsidR="00336E73" w:rsidRPr="007C1494">
        <w:rPr>
          <w:rFonts w:cs="Times New Roman"/>
          <w:noProof/>
          <w:szCs w:val="24"/>
        </w:rPr>
        <w:t xml:space="preserve">including </w:t>
      </w:r>
      <w:r w:rsidRPr="007C1494">
        <w:rPr>
          <w:rFonts w:cs="Times New Roman"/>
          <w:noProof/>
          <w:szCs w:val="24"/>
        </w:rPr>
        <w:t>indigenous people.</w:t>
      </w:r>
      <w:r w:rsidRPr="007C1494">
        <w:rPr>
          <w:rStyle w:val="FootnoteReference"/>
          <w:rFonts w:cs="Times New Roman"/>
          <w:noProof/>
          <w:szCs w:val="24"/>
        </w:rPr>
        <w:footnoteReference w:id="187"/>
      </w:r>
      <w:r w:rsidRPr="007C1494">
        <w:rPr>
          <w:rFonts w:cs="Times New Roman"/>
          <w:noProof/>
          <w:szCs w:val="24"/>
        </w:rPr>
        <w:t xml:space="preserve"> </w:t>
      </w:r>
      <w:r w:rsidR="00A86900">
        <w:rPr>
          <w:rFonts w:cs="Times New Roman"/>
          <w:noProof/>
          <w:szCs w:val="24"/>
        </w:rPr>
        <w:t xml:space="preserve">The </w:t>
      </w:r>
      <w:r w:rsidRPr="007C1494">
        <w:rPr>
          <w:rFonts w:cs="Times New Roman"/>
          <w:noProof/>
          <w:szCs w:val="24"/>
        </w:rPr>
        <w:t xml:space="preserve">FAO estimates that one-third of humanity could be described as being ‘closely dependent’ </w:t>
      </w:r>
      <w:r w:rsidR="003C65A3" w:rsidRPr="007C1494">
        <w:rPr>
          <w:rFonts w:cs="Times New Roman"/>
          <w:noProof/>
          <w:szCs w:val="24"/>
        </w:rPr>
        <w:t>on</w:t>
      </w:r>
      <w:r w:rsidRPr="007C1494">
        <w:rPr>
          <w:rFonts w:cs="Times New Roman"/>
          <w:noProof/>
          <w:szCs w:val="24"/>
        </w:rPr>
        <w:t xml:space="preserve"> forests. Furthermore, ‘wood and non-wood forest products’ provide up to 20% of the income of rural households in developing countries. The expansion of land for subsistence agriculture is one of the </w:t>
      </w:r>
      <w:r w:rsidR="00C97DCD" w:rsidRPr="007C1494">
        <w:rPr>
          <w:rFonts w:cs="Times New Roman"/>
          <w:noProof/>
          <w:szCs w:val="24"/>
        </w:rPr>
        <w:t>drivers</w:t>
      </w:r>
      <w:r w:rsidRPr="007C1494">
        <w:rPr>
          <w:rFonts w:cs="Times New Roman"/>
          <w:noProof/>
          <w:szCs w:val="24"/>
        </w:rPr>
        <w:t xml:space="preserve"> of deforestation, </w:t>
      </w:r>
      <w:r w:rsidR="00C97DCD" w:rsidRPr="007C1494">
        <w:rPr>
          <w:rFonts w:cs="Times New Roman"/>
          <w:noProof/>
          <w:szCs w:val="24"/>
        </w:rPr>
        <w:t>at the same time,</w:t>
      </w:r>
      <w:r w:rsidRPr="007C1494">
        <w:rPr>
          <w:rFonts w:cs="Times New Roman"/>
          <w:noProof/>
          <w:szCs w:val="24"/>
        </w:rPr>
        <w:t xml:space="preserve"> </w:t>
      </w:r>
      <w:r w:rsidR="00C97DCD" w:rsidRPr="007C1494">
        <w:rPr>
          <w:rFonts w:cs="Times New Roman"/>
          <w:noProof/>
          <w:szCs w:val="24"/>
        </w:rPr>
        <w:t>a</w:t>
      </w:r>
      <w:r w:rsidRPr="007C1494">
        <w:rPr>
          <w:rFonts w:cs="Times New Roman"/>
          <w:noProof/>
          <w:szCs w:val="24"/>
        </w:rPr>
        <w:t>n unsustainable use of forest natural resources jeopardises the livelihood of the local population.</w:t>
      </w:r>
      <w:r w:rsidR="00C97DCD" w:rsidRPr="007C1494">
        <w:rPr>
          <w:rStyle w:val="FootnoteReference"/>
          <w:rFonts w:cs="Times New Roman"/>
          <w:noProof/>
          <w:szCs w:val="24"/>
        </w:rPr>
        <w:footnoteReference w:id="188"/>
      </w:r>
      <w:r w:rsidRPr="007C1494">
        <w:rPr>
          <w:rFonts w:cs="Times New Roman"/>
          <w:noProof/>
          <w:szCs w:val="24"/>
        </w:rPr>
        <w:t xml:space="preserve"> </w:t>
      </w:r>
    </w:p>
    <w:p w14:paraId="6B3E4E0E" w14:textId="354392BF" w:rsidR="004113A1" w:rsidRDefault="00F51105" w:rsidP="00C948CE">
      <w:pPr>
        <w:jc w:val="both"/>
        <w:rPr>
          <w:rFonts w:cs="Times New Roman"/>
          <w:noProof/>
          <w:szCs w:val="24"/>
        </w:rPr>
      </w:pPr>
      <w:r w:rsidRPr="007C1494">
        <w:rPr>
          <w:rFonts w:cs="Times New Roman"/>
          <w:noProof/>
          <w:szCs w:val="24"/>
        </w:rPr>
        <w:t xml:space="preserve">Due to </w:t>
      </w:r>
      <w:r w:rsidR="000F67A0" w:rsidRPr="007C1494">
        <w:rPr>
          <w:rFonts w:cs="Times New Roman"/>
          <w:noProof/>
          <w:szCs w:val="24"/>
        </w:rPr>
        <w:t xml:space="preserve">the </w:t>
      </w:r>
      <w:r w:rsidRPr="007C1494">
        <w:rPr>
          <w:rFonts w:cs="Times New Roman"/>
          <w:noProof/>
          <w:szCs w:val="24"/>
        </w:rPr>
        <w:t>EU’s large</w:t>
      </w:r>
      <w:r w:rsidR="00A86900">
        <w:rPr>
          <w:rFonts w:cs="Times New Roman"/>
          <w:noProof/>
          <w:szCs w:val="24"/>
        </w:rPr>
        <w:t>-</w:t>
      </w:r>
      <w:r w:rsidRPr="007C1494">
        <w:rPr>
          <w:rFonts w:cs="Times New Roman"/>
          <w:noProof/>
          <w:szCs w:val="24"/>
        </w:rPr>
        <w:t>scale consumption of commodities</w:t>
      </w:r>
      <w:r w:rsidR="00BB198B" w:rsidRPr="007C1494">
        <w:rPr>
          <w:rFonts w:cs="Times New Roman"/>
          <w:noProof/>
          <w:szCs w:val="24"/>
        </w:rPr>
        <w:t xml:space="preserve"> and products</w:t>
      </w:r>
      <w:r w:rsidRPr="007C1494">
        <w:rPr>
          <w:rFonts w:cs="Times New Roman"/>
          <w:noProof/>
          <w:szCs w:val="24"/>
        </w:rPr>
        <w:t xml:space="preserve"> </w:t>
      </w:r>
      <w:r w:rsidR="00BB198B" w:rsidRPr="007C1494">
        <w:rPr>
          <w:rFonts w:cs="Times New Roman"/>
          <w:noProof/>
          <w:szCs w:val="24"/>
        </w:rPr>
        <w:t xml:space="preserve">coming from supply chains associated with </w:t>
      </w:r>
      <w:r w:rsidRPr="007C1494">
        <w:rPr>
          <w:rFonts w:cs="Times New Roman"/>
          <w:noProof/>
          <w:szCs w:val="24"/>
        </w:rPr>
        <w:t xml:space="preserve">deforestation and forest degradation, all options </w:t>
      </w:r>
      <w:r w:rsidR="00BB198B" w:rsidRPr="007C1494">
        <w:rPr>
          <w:rFonts w:cs="Times New Roman"/>
          <w:noProof/>
          <w:szCs w:val="24"/>
        </w:rPr>
        <w:t>could</w:t>
      </w:r>
      <w:r w:rsidRPr="007C1494">
        <w:rPr>
          <w:rFonts w:cs="Times New Roman"/>
          <w:noProof/>
          <w:szCs w:val="24"/>
        </w:rPr>
        <w:t xml:space="preserve"> have the potential for significant </w:t>
      </w:r>
      <w:r w:rsidR="00C46D26">
        <w:rPr>
          <w:rFonts w:cs="Times New Roman"/>
          <w:noProof/>
          <w:szCs w:val="24"/>
        </w:rPr>
        <w:t xml:space="preserve">positive </w:t>
      </w:r>
      <w:r w:rsidRPr="007C1494">
        <w:rPr>
          <w:rFonts w:cs="Times New Roman"/>
          <w:noProof/>
          <w:szCs w:val="24"/>
        </w:rPr>
        <w:t>social impact</w:t>
      </w:r>
      <w:r w:rsidR="000F67A0" w:rsidRPr="007C1494">
        <w:rPr>
          <w:rFonts w:cs="Times New Roman"/>
          <w:noProof/>
          <w:szCs w:val="24"/>
        </w:rPr>
        <w:t>s</w:t>
      </w:r>
      <w:r w:rsidRPr="007C1494">
        <w:rPr>
          <w:rFonts w:cs="Times New Roman"/>
          <w:noProof/>
          <w:szCs w:val="24"/>
        </w:rPr>
        <w:t xml:space="preserve"> in </w:t>
      </w:r>
      <w:r w:rsidR="00BB198B" w:rsidRPr="007C1494">
        <w:rPr>
          <w:rFonts w:cs="Times New Roman"/>
          <w:noProof/>
          <w:szCs w:val="24"/>
        </w:rPr>
        <w:t>producing</w:t>
      </w:r>
      <w:r w:rsidRPr="007C1494">
        <w:rPr>
          <w:rFonts w:cs="Times New Roman"/>
          <w:noProof/>
          <w:szCs w:val="24"/>
        </w:rPr>
        <w:t xml:space="preserve"> countries. The analysis indicates positive impact</w:t>
      </w:r>
      <w:r w:rsidR="000F67A0" w:rsidRPr="007C1494">
        <w:rPr>
          <w:rFonts w:cs="Times New Roman"/>
          <w:noProof/>
          <w:szCs w:val="24"/>
        </w:rPr>
        <w:t>s</w:t>
      </w:r>
      <w:r w:rsidRPr="007C1494">
        <w:rPr>
          <w:rFonts w:cs="Times New Roman"/>
          <w:noProof/>
          <w:szCs w:val="24"/>
        </w:rPr>
        <w:t xml:space="preserve"> of Options 1</w:t>
      </w:r>
      <w:r w:rsidR="00F36CC8" w:rsidRPr="007C1494">
        <w:rPr>
          <w:rFonts w:cs="Times New Roman"/>
          <w:noProof/>
          <w:szCs w:val="24"/>
        </w:rPr>
        <w:t>-</w:t>
      </w:r>
      <w:r w:rsidRPr="007C1494">
        <w:rPr>
          <w:rFonts w:cs="Times New Roman"/>
          <w:noProof/>
          <w:szCs w:val="24"/>
        </w:rPr>
        <w:t xml:space="preserve">5 in multiple areas of social policy, notably: land tenure; governance and capacity building in administration; participation of local communities and civil society; preservation of cultural heritage of indigenous peoples; income distribution, social protection and social inclusion; and workers health and safety. </w:t>
      </w:r>
    </w:p>
    <w:p w14:paraId="56AF5D1F" w14:textId="7E84303C" w:rsidR="004113A1" w:rsidRDefault="004113A1" w:rsidP="00C948CE">
      <w:pPr>
        <w:jc w:val="both"/>
        <w:rPr>
          <w:rFonts w:cs="Times New Roman"/>
          <w:noProof/>
          <w:szCs w:val="24"/>
        </w:rPr>
      </w:pPr>
      <w:r w:rsidRPr="004113A1">
        <w:rPr>
          <w:rFonts w:cs="Times New Roman"/>
          <w:noProof/>
          <w:szCs w:val="24"/>
        </w:rPr>
        <w:t>While this initiative focuses specifically on measures to minimise the placing of products associated with deforestation or forest degradation on the EU market</w:t>
      </w:r>
      <w:r w:rsidR="003E3FF7">
        <w:rPr>
          <w:rFonts w:cs="Times New Roman"/>
          <w:noProof/>
          <w:szCs w:val="24"/>
        </w:rPr>
        <w:t>,</w:t>
      </w:r>
      <w:r w:rsidRPr="004113A1">
        <w:rPr>
          <w:rFonts w:cs="Times New Roman"/>
          <w:noProof/>
          <w:szCs w:val="24"/>
        </w:rPr>
        <w:t xml:space="preserve"> it will also address the issue of rights of indigenous and local communities. </w:t>
      </w:r>
      <w:r w:rsidR="003E3FF7" w:rsidRPr="0032625C">
        <w:rPr>
          <w:rFonts w:eastAsia="Times New Roman" w:cs="Times New Roman"/>
          <w:noProof/>
          <w:szCs w:val="24"/>
        </w:rPr>
        <w:t xml:space="preserve">The </w:t>
      </w:r>
      <w:r w:rsidR="003E3FF7">
        <w:rPr>
          <w:rFonts w:eastAsia="Times New Roman" w:cs="Times New Roman"/>
          <w:noProof/>
          <w:szCs w:val="24"/>
        </w:rPr>
        <w:t xml:space="preserve">proposed policy options will require products to be compliant with both deforestation-free criteria and the laws of the country of production, </w:t>
      </w:r>
      <w:r w:rsidR="003E3FF7" w:rsidRPr="0032625C">
        <w:rPr>
          <w:rFonts w:eastAsia="Times New Roman" w:cs="Times New Roman"/>
          <w:noProof/>
          <w:szCs w:val="24"/>
        </w:rPr>
        <w:t xml:space="preserve">thereby </w:t>
      </w:r>
      <w:r w:rsidR="007B01F9">
        <w:rPr>
          <w:rFonts w:eastAsia="Times New Roman" w:cs="Times New Roman"/>
          <w:noProof/>
          <w:szCs w:val="24"/>
        </w:rPr>
        <w:t xml:space="preserve">allowing to assess whether </w:t>
      </w:r>
      <w:r w:rsidR="003E3FF7" w:rsidRPr="0032625C">
        <w:rPr>
          <w:rFonts w:eastAsia="Times New Roman" w:cs="Times New Roman"/>
          <w:noProof/>
          <w:szCs w:val="24"/>
        </w:rPr>
        <w:t>the rights of vulnerable communities such as indigenous people and local communities</w:t>
      </w:r>
      <w:r w:rsidR="007B01F9">
        <w:rPr>
          <w:rFonts w:eastAsia="Times New Roman" w:cs="Times New Roman"/>
          <w:noProof/>
          <w:szCs w:val="24"/>
        </w:rPr>
        <w:t xml:space="preserve"> have been respected and upheld in the country of production</w:t>
      </w:r>
      <w:r w:rsidR="003E3FF7">
        <w:rPr>
          <w:rFonts w:eastAsia="Times New Roman" w:cs="Times New Roman"/>
          <w:noProof/>
          <w:szCs w:val="24"/>
        </w:rPr>
        <w:t>.</w:t>
      </w:r>
    </w:p>
    <w:p w14:paraId="2AAD191F" w14:textId="74CE1DD4" w:rsidR="00681AAC" w:rsidRPr="007C1494" w:rsidRDefault="00F51105" w:rsidP="00C948CE">
      <w:pPr>
        <w:jc w:val="both"/>
        <w:rPr>
          <w:rFonts w:cs="Times New Roman"/>
          <w:noProof/>
          <w:szCs w:val="24"/>
        </w:rPr>
      </w:pPr>
      <w:r w:rsidRPr="007C1494">
        <w:rPr>
          <w:rFonts w:cs="Times New Roman"/>
          <w:noProof/>
          <w:szCs w:val="24"/>
        </w:rPr>
        <w:t>In terms of employment, the policy options are expected to positively affect the competitiveness of relevant sectors and specific operators within these sectors which will result in the creation of new jobs in operators applying compliant production processes, and a loss of jobs for operators applying non-compliant production processes. New jobs will likely be created related to compliance with the new requirements for operators placing products on the EU market.</w:t>
      </w:r>
    </w:p>
    <w:p w14:paraId="490B1759" w14:textId="5F923817" w:rsidR="00A86900" w:rsidRDefault="00A86900" w:rsidP="00362EF8">
      <w:pPr>
        <w:jc w:val="both"/>
        <w:rPr>
          <w:rFonts w:cs="Times New Roman"/>
          <w:noProof/>
          <w:szCs w:val="24"/>
        </w:rPr>
      </w:pPr>
      <w:r w:rsidRPr="00545556">
        <w:rPr>
          <w:rFonts w:cs="Times New Roman"/>
          <w:noProof/>
          <w:szCs w:val="24"/>
        </w:rPr>
        <w:t>Whilst the long</w:t>
      </w:r>
      <w:r>
        <w:rPr>
          <w:rFonts w:cs="Times New Roman"/>
          <w:noProof/>
          <w:szCs w:val="24"/>
        </w:rPr>
        <w:t xml:space="preserve"> </w:t>
      </w:r>
      <w:r w:rsidRPr="00545556">
        <w:rPr>
          <w:rFonts w:cs="Times New Roman"/>
          <w:noProof/>
          <w:szCs w:val="24"/>
        </w:rPr>
        <w:t xml:space="preserve">term impacts on third countries are expected to be positive, </w:t>
      </w:r>
      <w:r w:rsidRPr="00362EF8">
        <w:rPr>
          <w:rFonts w:cs="Times New Roman"/>
          <w:noProof/>
          <w:szCs w:val="24"/>
        </w:rPr>
        <w:t xml:space="preserve">initial </w:t>
      </w:r>
      <w:r w:rsidRPr="00545556">
        <w:rPr>
          <w:rFonts w:cs="Times New Roman"/>
          <w:noProof/>
          <w:szCs w:val="24"/>
        </w:rPr>
        <w:t>short term impacts</w:t>
      </w:r>
      <w:r w:rsidRPr="002E1661">
        <w:rPr>
          <w:rFonts w:cs="Times New Roman"/>
          <w:noProof/>
          <w:szCs w:val="24"/>
        </w:rPr>
        <w:t xml:space="preserve"> caused by EU operators shortening/simplifying supply chains, reducing their number of suppliers and/or switching to lower-risk supply chains may particularly impact smallholders. For example, smallholders produce </w:t>
      </w:r>
      <w:r w:rsidR="001B5A00">
        <w:rPr>
          <w:rFonts w:cs="Times New Roman"/>
          <w:noProof/>
          <w:szCs w:val="24"/>
        </w:rPr>
        <w:t xml:space="preserve">over </w:t>
      </w:r>
      <w:r w:rsidRPr="002E1661">
        <w:rPr>
          <w:rFonts w:cs="Times New Roman"/>
          <w:noProof/>
          <w:szCs w:val="24"/>
        </w:rPr>
        <w:t>90% of the cocoa in West Africa</w:t>
      </w:r>
      <w:r w:rsidR="001B5A00">
        <w:rPr>
          <w:rFonts w:cs="Times New Roman"/>
          <w:noProof/>
          <w:szCs w:val="24"/>
        </w:rPr>
        <w:t>.</w:t>
      </w:r>
      <w:r w:rsidRPr="002E1661">
        <w:rPr>
          <w:rFonts w:cs="Times New Roman"/>
          <w:noProof/>
          <w:szCs w:val="24"/>
        </w:rPr>
        <w:t xml:space="preserve"> </w:t>
      </w:r>
      <w:r w:rsidR="001B5A00">
        <w:rPr>
          <w:rFonts w:cs="Times New Roman"/>
          <w:noProof/>
          <w:szCs w:val="24"/>
        </w:rPr>
        <w:t>F</w:t>
      </w:r>
      <w:r w:rsidRPr="002E1661">
        <w:rPr>
          <w:rFonts w:cs="Times New Roman"/>
          <w:noProof/>
          <w:szCs w:val="24"/>
        </w:rPr>
        <w:t>or palm oil</w:t>
      </w:r>
      <w:r w:rsidR="001B5A00">
        <w:rPr>
          <w:rFonts w:cs="Times New Roman"/>
          <w:noProof/>
          <w:szCs w:val="24"/>
        </w:rPr>
        <w:t>,</w:t>
      </w:r>
      <w:r w:rsidRPr="002E1661">
        <w:rPr>
          <w:rFonts w:cs="Times New Roman"/>
          <w:noProof/>
          <w:szCs w:val="24"/>
        </w:rPr>
        <w:t xml:space="preserve"> </w:t>
      </w:r>
      <w:r w:rsidRPr="00545556">
        <w:rPr>
          <w:rFonts w:cs="Times New Roman"/>
          <w:noProof/>
          <w:szCs w:val="24"/>
        </w:rPr>
        <w:t>smallholders are reported to control 46% of Indonesia’s</w:t>
      </w:r>
      <w:r w:rsidRPr="000603D2">
        <w:rPr>
          <w:rFonts w:cs="Times New Roman"/>
          <w:noProof/>
          <w:szCs w:val="24"/>
        </w:rPr>
        <w:t xml:space="preserve"> planted land</w:t>
      </w:r>
      <w:r w:rsidRPr="00B85DC5">
        <w:rPr>
          <w:rFonts w:cs="Times New Roman"/>
          <w:noProof/>
          <w:szCs w:val="24"/>
        </w:rPr>
        <w:t xml:space="preserve"> and 28%</w:t>
      </w:r>
      <w:r w:rsidRPr="00CB0B8F">
        <w:rPr>
          <w:rFonts w:cs="Times New Roman"/>
          <w:noProof/>
          <w:szCs w:val="24"/>
        </w:rPr>
        <w:t xml:space="preserve"> of land in Malaysia</w:t>
      </w:r>
      <w:r w:rsidRPr="00BD5A9F">
        <w:rPr>
          <w:rStyle w:val="FootnoteReference"/>
          <w:rFonts w:cs="Times New Roman"/>
          <w:noProof/>
          <w:szCs w:val="24"/>
        </w:rPr>
        <w:footnoteReference w:id="189"/>
      </w:r>
      <w:r w:rsidRPr="00545556">
        <w:rPr>
          <w:rFonts w:cs="Times New Roman"/>
          <w:noProof/>
          <w:szCs w:val="24"/>
        </w:rPr>
        <w:t xml:space="preserve">. </w:t>
      </w:r>
      <w:r w:rsidRPr="00362EF8">
        <w:rPr>
          <w:rFonts w:cs="Times New Roman"/>
          <w:noProof/>
          <w:szCs w:val="24"/>
        </w:rPr>
        <w:t>Fluctuations to the income of smallholders may have social</w:t>
      </w:r>
      <w:r w:rsidRPr="00386C2D">
        <w:rPr>
          <w:rFonts w:cs="Times New Roman"/>
          <w:noProof/>
          <w:szCs w:val="24"/>
        </w:rPr>
        <w:t xml:space="preserve"> as well as economic impacts, where families are reliant on the income for food, health, education etc</w:t>
      </w:r>
      <w:r w:rsidR="006059E6">
        <w:rPr>
          <w:rFonts w:cs="Times New Roman"/>
          <w:noProof/>
          <w:szCs w:val="24"/>
        </w:rPr>
        <w:t>.</w:t>
      </w:r>
      <w:r w:rsidRPr="00362EF8">
        <w:rPr>
          <w:rFonts w:cs="Times New Roman"/>
          <w:noProof/>
          <w:szCs w:val="24"/>
        </w:rPr>
        <w:t xml:space="preserve"> and where limited options exist for alternative income. </w:t>
      </w:r>
      <w:r>
        <w:rPr>
          <w:rFonts w:cs="Times New Roman"/>
          <w:noProof/>
          <w:szCs w:val="24"/>
        </w:rPr>
        <w:t xml:space="preserve"> </w:t>
      </w:r>
      <w:r w:rsidRPr="00545556">
        <w:rPr>
          <w:rFonts w:cs="Times New Roman"/>
          <w:noProof/>
          <w:szCs w:val="24"/>
        </w:rPr>
        <w:t>Whilst multinational companies are engaging with smallholders</w:t>
      </w:r>
      <w:r w:rsidRPr="000603D2">
        <w:rPr>
          <w:rFonts w:cs="Times New Roman"/>
          <w:noProof/>
          <w:szCs w:val="24"/>
        </w:rPr>
        <w:t xml:space="preserve"> to </w:t>
      </w:r>
      <w:r w:rsidRPr="00B85DC5">
        <w:rPr>
          <w:rFonts w:cs="Times New Roman"/>
          <w:noProof/>
          <w:szCs w:val="24"/>
        </w:rPr>
        <w:t xml:space="preserve">achieve </w:t>
      </w:r>
      <w:r w:rsidRPr="00CB0B8F">
        <w:rPr>
          <w:rFonts w:cs="Times New Roman"/>
          <w:noProof/>
          <w:szCs w:val="24"/>
        </w:rPr>
        <w:t xml:space="preserve">zero-deforestation commitments, </w:t>
      </w:r>
      <w:r w:rsidRPr="00ED3265">
        <w:rPr>
          <w:rFonts w:cs="Times New Roman"/>
          <w:noProof/>
          <w:szCs w:val="24"/>
        </w:rPr>
        <w:t xml:space="preserve">complex supply chains </w:t>
      </w:r>
      <w:r w:rsidRPr="00A4179B">
        <w:rPr>
          <w:rFonts w:cs="Times New Roman"/>
          <w:noProof/>
          <w:szCs w:val="24"/>
        </w:rPr>
        <w:t xml:space="preserve">for </w:t>
      </w:r>
      <w:r w:rsidRPr="00A3016A">
        <w:rPr>
          <w:rFonts w:cs="Times New Roman"/>
          <w:noProof/>
          <w:szCs w:val="24"/>
        </w:rPr>
        <w:t xml:space="preserve">cocoa and palm oil create challenges with tracing </w:t>
      </w:r>
      <w:r w:rsidRPr="00595DE4">
        <w:rPr>
          <w:rFonts w:cs="Times New Roman"/>
          <w:noProof/>
          <w:szCs w:val="24"/>
        </w:rPr>
        <w:t>back to the farm/plantation of production</w:t>
      </w:r>
      <w:r w:rsidRPr="00BD5A9F">
        <w:rPr>
          <w:rStyle w:val="FootnoteReference"/>
          <w:rFonts w:cs="Times New Roman"/>
          <w:noProof/>
          <w:szCs w:val="24"/>
        </w:rPr>
        <w:footnoteReference w:id="190"/>
      </w:r>
      <w:r w:rsidRPr="00362EF8">
        <w:rPr>
          <w:rStyle w:val="FootnoteReference"/>
          <w:noProof/>
        </w:rPr>
        <w:t>.</w:t>
      </w:r>
      <w:r w:rsidRPr="00545556">
        <w:rPr>
          <w:rFonts w:cs="Times New Roman"/>
          <w:noProof/>
          <w:szCs w:val="24"/>
        </w:rPr>
        <w:t xml:space="preserve"> Reduction in mills or supply base has been implemented as a strategy by companies to make it easier to monitor suppliers</w:t>
      </w:r>
      <w:r w:rsidRPr="00BD5A9F">
        <w:rPr>
          <w:rStyle w:val="FootnoteReference"/>
          <w:rFonts w:cs="Times New Roman"/>
          <w:noProof/>
          <w:szCs w:val="24"/>
        </w:rPr>
        <w:footnoteReference w:id="191"/>
      </w:r>
      <w:r w:rsidRPr="00FA1BF9">
        <w:rPr>
          <w:rFonts w:cs="Times New Roman"/>
          <w:noProof/>
          <w:szCs w:val="24"/>
        </w:rPr>
        <w:t>.</w:t>
      </w:r>
    </w:p>
    <w:p w14:paraId="7ACCBBAF" w14:textId="359E8295" w:rsidR="00B42F6E" w:rsidRDefault="00B42F6E" w:rsidP="00362EF8">
      <w:pPr>
        <w:jc w:val="both"/>
        <w:rPr>
          <w:rFonts w:cs="Times New Roman"/>
          <w:noProof/>
          <w:szCs w:val="24"/>
        </w:rPr>
      </w:pPr>
      <w:r>
        <w:rPr>
          <w:rFonts w:cs="Times New Roman"/>
          <w:noProof/>
          <w:szCs w:val="24"/>
        </w:rPr>
        <w:t xml:space="preserve">Again, the suggested cut-off date of 2020 </w:t>
      </w:r>
      <w:r w:rsidR="00C46D26">
        <w:rPr>
          <w:rFonts w:cs="Times New Roman"/>
          <w:noProof/>
          <w:szCs w:val="24"/>
        </w:rPr>
        <w:t>w</w:t>
      </w:r>
      <w:r w:rsidRPr="00706CD1">
        <w:rPr>
          <w:rFonts w:cs="Times New Roman"/>
          <w:noProof/>
          <w:szCs w:val="24"/>
        </w:rPr>
        <w:t>ould</w:t>
      </w:r>
      <w:r w:rsidRPr="00362EF8">
        <w:rPr>
          <w:rFonts w:cs="Times New Roman"/>
          <w:noProof/>
          <w:szCs w:val="24"/>
        </w:rPr>
        <w:t xml:space="preserve"> significantly mitigate potentially negative social impacts by limiting the number of smallholders that would be caught working on land whose products cannot be sold to the EU — and ensuring that nearly all curre</w:t>
      </w:r>
      <w:r w:rsidRPr="00386C2D">
        <w:rPr>
          <w:rFonts w:cs="Times New Roman"/>
          <w:noProof/>
          <w:szCs w:val="24"/>
        </w:rPr>
        <w:t>nt commodity production from exporting countries can still make the cut</w:t>
      </w:r>
      <w:r w:rsidR="000F78B7" w:rsidRPr="00386C2D">
        <w:rPr>
          <w:rFonts w:cs="Times New Roman"/>
          <w:noProof/>
          <w:szCs w:val="24"/>
        </w:rPr>
        <w:t xml:space="preserve"> (see more on section 4.5</w:t>
      </w:r>
      <w:r w:rsidRPr="00386C2D">
        <w:rPr>
          <w:rFonts w:cs="Times New Roman"/>
          <w:noProof/>
          <w:szCs w:val="24"/>
        </w:rPr>
        <w:t>.</w:t>
      </w:r>
      <w:r w:rsidR="000F78B7" w:rsidRPr="00386C2D">
        <w:rPr>
          <w:rFonts w:cs="Times New Roman"/>
          <w:noProof/>
          <w:szCs w:val="24"/>
        </w:rPr>
        <w:t>)</w:t>
      </w:r>
      <w:r w:rsidR="00A56F48">
        <w:rPr>
          <w:rFonts w:cs="Times New Roman"/>
          <w:noProof/>
          <w:szCs w:val="24"/>
        </w:rPr>
        <w:t>.</w:t>
      </w:r>
    </w:p>
    <w:p w14:paraId="3750940A" w14:textId="077EC6AA" w:rsidR="00C118BA" w:rsidRDefault="00A94918" w:rsidP="00386C2D">
      <w:pPr>
        <w:jc w:val="both"/>
        <w:rPr>
          <w:noProof/>
        </w:rPr>
      </w:pPr>
      <w:r w:rsidRPr="000A47C0">
        <w:rPr>
          <w:rFonts w:eastAsia="Calibri" w:cs="Times New Roman"/>
          <w:noProof/>
          <w:szCs w:val="24"/>
          <w:lang w:eastAsia="en-GB"/>
        </w:rPr>
        <mc:AlternateContent>
          <mc:Choice Requires="wps">
            <w:drawing>
              <wp:anchor distT="45720" distB="45720" distL="114300" distR="114300" simplePos="0" relativeHeight="251586048" behindDoc="0" locked="0" layoutInCell="1" allowOverlap="1" wp14:anchorId="4B0A0C66" wp14:editId="33A478D3">
                <wp:simplePos x="0" y="0"/>
                <wp:positionH relativeFrom="column">
                  <wp:posOffset>8833</wp:posOffset>
                </wp:positionH>
                <wp:positionV relativeFrom="paragraph">
                  <wp:posOffset>2002270</wp:posOffset>
                </wp:positionV>
                <wp:extent cx="5549900" cy="5441950"/>
                <wp:effectExtent l="0" t="0" r="12700" b="254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5441950"/>
                        </a:xfrm>
                        <a:prstGeom prst="rect">
                          <a:avLst/>
                        </a:prstGeom>
                        <a:solidFill>
                          <a:srgbClr val="FFFFFF"/>
                        </a:solidFill>
                        <a:ln w="9525">
                          <a:solidFill>
                            <a:srgbClr val="000000"/>
                          </a:solidFill>
                          <a:miter lim="800000"/>
                          <a:headEnd/>
                          <a:tailEnd/>
                        </a:ln>
                      </wps:spPr>
                      <wps:txbx>
                        <w:txbxContent>
                          <w:p w14:paraId="5207E1D7" w14:textId="77777777" w:rsidR="00EA7989" w:rsidRPr="000A47C0" w:rsidRDefault="00EA7989" w:rsidP="000A47C0">
                            <w:pPr>
                              <w:jc w:val="both"/>
                              <w:rPr>
                                <w:b/>
                                <w:i/>
                                <w:sz w:val="22"/>
                                <w:lang w:val="en-US"/>
                              </w:rPr>
                            </w:pPr>
                            <w:r w:rsidRPr="000A47C0">
                              <w:rPr>
                                <w:b/>
                                <w:i/>
                                <w:sz w:val="22"/>
                                <w:lang w:val="en-US"/>
                              </w:rPr>
                              <w:t>Box 3. Interplay between the due diligence requirements in the Sustainable Corporate Governance (SCG) initiative and those established in the legislative initiative on deforestation</w:t>
                            </w:r>
                          </w:p>
                          <w:p w14:paraId="136FE773" w14:textId="74CD7B07" w:rsidR="00EA7989" w:rsidRPr="00362EF8" w:rsidRDefault="00EA7989" w:rsidP="000A47C0">
                            <w:pPr>
                              <w:widowControl w:val="0"/>
                              <w:spacing w:after="0" w:line="240" w:lineRule="auto"/>
                              <w:jc w:val="both"/>
                              <w:rPr>
                                <w:sz w:val="22"/>
                              </w:rPr>
                            </w:pPr>
                            <w:r w:rsidRPr="00362EF8">
                              <w:rPr>
                                <w:sz w:val="22"/>
                              </w:rPr>
                              <w:t xml:space="preserve">The SCG initiative is a company law initiative fostering behavioural change </w:t>
                            </w:r>
                            <w:r w:rsidRPr="00386C2D">
                              <w:rPr>
                                <w:sz w:val="22"/>
                              </w:rPr>
                              <w:t>aiming at embedding sustainability firmly in the Member States corporate governance systems. It foresees a general due diligence obligation applying to EU limited liability companies (with a lighter regime for SMEs), while non-EU companies would only be covered above a certain turnover in the EU. The due diligence process under the SCG initiative would not include the risk of</w:t>
                            </w:r>
                            <w:r w:rsidRPr="00386C2D">
                              <w:rPr>
                                <w:sz w:val="22"/>
                                <w:lang w:val="en-IE"/>
                              </w:rPr>
                              <w:t xml:space="preserve"> </w:t>
                            </w:r>
                            <w:r w:rsidRPr="00386C2D">
                              <w:rPr>
                                <w:sz w:val="22"/>
                              </w:rPr>
                              <w:t>illegal production and harvest</w:t>
                            </w:r>
                            <w:r>
                              <w:rPr>
                                <w:sz w:val="22"/>
                              </w:rPr>
                              <w:t>.</w:t>
                            </w:r>
                            <w:r w:rsidRPr="00362EF8">
                              <w:rPr>
                                <w:sz w:val="22"/>
                              </w:rPr>
                              <w:t xml:space="preserve"> </w:t>
                            </w:r>
                          </w:p>
                          <w:p w14:paraId="470EE14C" w14:textId="77777777" w:rsidR="00EA7989" w:rsidRPr="00386C2D" w:rsidRDefault="00EA7989" w:rsidP="000A47C0">
                            <w:pPr>
                              <w:spacing w:after="0" w:line="240" w:lineRule="auto"/>
                              <w:jc w:val="both"/>
                              <w:rPr>
                                <w:sz w:val="22"/>
                              </w:rPr>
                            </w:pPr>
                          </w:p>
                          <w:p w14:paraId="20E5F521" w14:textId="77777777" w:rsidR="00EA7989" w:rsidRPr="00386C2D" w:rsidRDefault="00EA7989" w:rsidP="000A47C0">
                            <w:pPr>
                              <w:spacing w:after="0" w:line="240" w:lineRule="auto"/>
                              <w:jc w:val="both"/>
                              <w:rPr>
                                <w:sz w:val="22"/>
                              </w:rPr>
                            </w:pPr>
                            <w:r w:rsidRPr="00386C2D">
                              <w:rPr>
                                <w:sz w:val="22"/>
                              </w:rPr>
                              <w:t>The legislative initiative on deforestation has a very specific objective related to the European Green Deal and its requirements will go beyond the general duties under the SCG initiative. It will establish a more targeted regime for relevant products and commodities that may be associated with deforestation and will set specific conditions for their placing on the EU market. Critically, it will also include a prohibition, which will apply to all operators placing the relevant products on the market, including EU and non-EU companies, irrespective of their legal form and size.</w:t>
                            </w:r>
                          </w:p>
                          <w:p w14:paraId="30F9C8A2" w14:textId="77777777" w:rsidR="00EA7989" w:rsidRPr="00386C2D" w:rsidRDefault="00EA7989" w:rsidP="000A47C0">
                            <w:pPr>
                              <w:spacing w:after="0" w:line="240" w:lineRule="auto"/>
                              <w:jc w:val="both"/>
                              <w:rPr>
                                <w:sz w:val="22"/>
                              </w:rPr>
                            </w:pPr>
                          </w:p>
                          <w:p w14:paraId="7992B9ED" w14:textId="77777777" w:rsidR="00EA7989" w:rsidRPr="00386C2D" w:rsidRDefault="00EA7989" w:rsidP="000A47C0">
                            <w:pPr>
                              <w:spacing w:after="0" w:line="240" w:lineRule="auto"/>
                              <w:jc w:val="both"/>
                              <w:rPr>
                                <w:sz w:val="22"/>
                              </w:rPr>
                            </w:pPr>
                            <w:r w:rsidRPr="00386C2D">
                              <w:rPr>
                                <w:sz w:val="22"/>
                              </w:rPr>
                              <w:t>The due diligence system set by the legislative initiative on deforestation will apply to operators that are the first to place relevant commodities/products on the EU market in relation to the risk that those commodities may pose as regards deforestation and forest degradation and illegal production and harvest. Conversely, the SCG due diligence duty would apply to all other products of that company and in relation to all other adverse impacts</w:t>
                            </w:r>
                          </w:p>
                          <w:p w14:paraId="0CF3B974" w14:textId="77777777" w:rsidR="00EA7989" w:rsidRPr="00386C2D" w:rsidRDefault="00EA7989" w:rsidP="000A47C0">
                            <w:pPr>
                              <w:spacing w:after="0" w:line="240" w:lineRule="auto"/>
                              <w:jc w:val="both"/>
                              <w:rPr>
                                <w:sz w:val="22"/>
                              </w:rPr>
                            </w:pPr>
                          </w:p>
                          <w:p w14:paraId="7D1E5075" w14:textId="77777777" w:rsidR="00EA7989" w:rsidRPr="00386C2D" w:rsidRDefault="00EA7989" w:rsidP="000A47C0">
                            <w:pPr>
                              <w:widowControl w:val="0"/>
                              <w:spacing w:after="0" w:line="240" w:lineRule="auto"/>
                              <w:jc w:val="both"/>
                              <w:rPr>
                                <w:sz w:val="22"/>
                              </w:rPr>
                            </w:pPr>
                            <w:r w:rsidRPr="00386C2D">
                              <w:rPr>
                                <w:sz w:val="22"/>
                              </w:rPr>
                              <w:t xml:space="preserve">Like other EU product-specific legal instruments containing a due diligence duty, the deforestation due diligence regime will act as </w:t>
                            </w:r>
                            <w:r w:rsidRPr="00386C2D">
                              <w:rPr>
                                <w:i/>
                                <w:sz w:val="22"/>
                              </w:rPr>
                              <w:t>lex specialis</w:t>
                            </w:r>
                            <w:r w:rsidRPr="00386C2D">
                              <w:rPr>
                                <w:sz w:val="22"/>
                              </w:rPr>
                              <w:t xml:space="preserve">. This will entail that the SCG due diligence could apply </w:t>
                            </w:r>
                            <w:r w:rsidRPr="00386C2D">
                              <w:rPr>
                                <w:b/>
                                <w:sz w:val="22"/>
                              </w:rPr>
                              <w:t>in</w:t>
                            </w:r>
                            <w:r w:rsidRPr="00386C2D">
                              <w:rPr>
                                <w:i/>
                                <w:sz w:val="22"/>
                              </w:rPr>
                              <w:t xml:space="preserve"> </w:t>
                            </w:r>
                            <w:r w:rsidRPr="00386C2D">
                              <w:rPr>
                                <w:b/>
                                <w:sz w:val="22"/>
                              </w:rPr>
                              <w:t>so far as there are no specific provisions with the same objective, nature and effect</w:t>
                            </w:r>
                            <w:r w:rsidRPr="00386C2D">
                              <w:rPr>
                                <w:sz w:val="22"/>
                              </w:rPr>
                              <w:t xml:space="preserve"> in the framework established by the legislative initiative on deforestation. However, the mere existence of specific deforestation rules should not exclude the application of the SCG. Where SCG provides for more specific provisions or adds requirements to the provisions laid down in the deforestation regulation, the two initiatives should be applied in conjunction.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0A0C66" id="_x0000_s1028" type="#_x0000_t202" style="position:absolute;left:0;text-align:left;margin-left:.7pt;margin-top:157.65pt;width:437pt;height:428.5pt;z-index:251586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">
                <v:textbox>
                  <w:txbxContent>
                    <w:p w14:paraId="5207E1D7" w14:textId="77777777" w:rsidR="00EA7989" w:rsidRPr="000A47C0" w:rsidRDefault="00EA7989" w:rsidP="000A47C0">
                      <w:pPr>
                        <w:jc w:val="both"/>
                        <w:rPr>
                          <w:b/>
                          <w:i/>
                          <w:sz w:val="22"/>
                          <w:lang w:val="en-US"/>
                        </w:rPr>
                      </w:pPr>
                      <w:r w:rsidRPr="000A47C0">
                        <w:rPr>
                          <w:b/>
                          <w:i/>
                          <w:sz w:val="22"/>
                          <w:lang w:val="en-US"/>
                        </w:rPr>
                        <w:t>Box 3. Interplay between the due diligence requirements in the Sustainable Corporate Governance (SCG) initiative and those established in the legislative initiative on deforestation</w:t>
                      </w:r>
                    </w:p>
                    <w:p w14:paraId="136FE773" w14:textId="74CD7B07" w:rsidR="00EA7989" w:rsidRPr="00362EF8" w:rsidRDefault="00EA7989" w:rsidP="000A47C0">
                      <w:pPr>
                        <w:widowControl w:val="0"/>
                        <w:spacing w:after="0" w:line="240" w:lineRule="auto"/>
                        <w:jc w:val="both"/>
                        <w:rPr>
                          <w:sz w:val="22"/>
                        </w:rPr>
                      </w:pPr>
                      <w:r w:rsidRPr="00362EF8">
                        <w:rPr>
                          <w:sz w:val="22"/>
                        </w:rPr>
                        <w:t xml:space="preserve">The SCG initiative is a company law initiative fostering behavioural change </w:t>
                      </w:r>
                      <w:r w:rsidRPr="00386C2D">
                        <w:rPr>
                          <w:sz w:val="22"/>
                        </w:rPr>
                        <w:t>aiming at embedding sustainability firmly in the Member States corporate governance systems. It foresees a general due diligence obligation applying to EU limited liability companies (with a lighter regime for SMEs), while non-EU companies would only be covered above a certain turnover in the EU. The due diligence process under the SCG initiative would not include the risk of</w:t>
                      </w:r>
                      <w:r w:rsidRPr="00386C2D">
                        <w:rPr>
                          <w:sz w:val="22"/>
                          <w:lang w:val="en-IE"/>
                        </w:rPr>
                        <w:t xml:space="preserve"> </w:t>
                      </w:r>
                      <w:r w:rsidRPr="00386C2D">
                        <w:rPr>
                          <w:sz w:val="22"/>
                        </w:rPr>
                        <w:t>illegal production and harvest</w:t>
                      </w:r>
                      <w:r>
                        <w:rPr>
                          <w:sz w:val="22"/>
                        </w:rPr>
                        <w:t>.</w:t>
                      </w:r>
                      <w:r w:rsidRPr="00362EF8">
                        <w:rPr>
                          <w:sz w:val="22"/>
                        </w:rPr>
                        <w:t xml:space="preserve"> </w:t>
                      </w:r>
                    </w:p>
                    <w:p w14:paraId="470EE14C" w14:textId="77777777" w:rsidR="00EA7989" w:rsidRPr="00386C2D" w:rsidRDefault="00EA7989" w:rsidP="000A47C0">
                      <w:pPr>
                        <w:spacing w:after="0" w:line="240" w:lineRule="auto"/>
                        <w:jc w:val="both"/>
                        <w:rPr>
                          <w:sz w:val="22"/>
                        </w:rPr>
                      </w:pPr>
                    </w:p>
                    <w:p w14:paraId="20E5F521" w14:textId="77777777" w:rsidR="00EA7989" w:rsidRPr="00386C2D" w:rsidRDefault="00EA7989" w:rsidP="000A47C0">
                      <w:pPr>
                        <w:spacing w:after="0" w:line="240" w:lineRule="auto"/>
                        <w:jc w:val="both"/>
                        <w:rPr>
                          <w:sz w:val="22"/>
                        </w:rPr>
                      </w:pPr>
                      <w:r w:rsidRPr="00386C2D">
                        <w:rPr>
                          <w:sz w:val="22"/>
                        </w:rPr>
                        <w:t>The legislative initiative on deforestation has a very specific objective related to the European Green Deal and its requirements will go beyond the general duties under the SCG initiative. It will establish a more targeted regime for relevant products and commodities that may be associated with deforestation and will set specific conditions for their placing on the EU market. Critically, it will also include a prohibition, which will apply to all operators placing the relevant products on the market, including EU and non-EU companies, irrespective of their legal form and size.</w:t>
                      </w:r>
                    </w:p>
                    <w:p w14:paraId="30F9C8A2" w14:textId="77777777" w:rsidR="00EA7989" w:rsidRPr="00386C2D" w:rsidRDefault="00EA7989" w:rsidP="000A47C0">
                      <w:pPr>
                        <w:spacing w:after="0" w:line="240" w:lineRule="auto"/>
                        <w:jc w:val="both"/>
                        <w:rPr>
                          <w:sz w:val="22"/>
                        </w:rPr>
                      </w:pPr>
                    </w:p>
                    <w:p w14:paraId="7992B9ED" w14:textId="77777777" w:rsidR="00EA7989" w:rsidRPr="00386C2D" w:rsidRDefault="00EA7989" w:rsidP="000A47C0">
                      <w:pPr>
                        <w:spacing w:after="0" w:line="240" w:lineRule="auto"/>
                        <w:jc w:val="both"/>
                        <w:rPr>
                          <w:sz w:val="22"/>
                        </w:rPr>
                      </w:pPr>
                      <w:r w:rsidRPr="00386C2D">
                        <w:rPr>
                          <w:sz w:val="22"/>
                        </w:rPr>
                        <w:t>The due diligence system set by the legislative initiative on deforestation will apply to operators that are the first to place relevant commodities/products on the EU market in relation to the risk that those commodities may pose as regards deforestation and forest degradation and illegal production and harvest. Conversely, the SCG due diligence duty would apply to all other products of that company and in relation to all other adverse impacts</w:t>
                      </w:r>
                    </w:p>
                    <w:p w14:paraId="0CF3B974" w14:textId="77777777" w:rsidR="00EA7989" w:rsidRPr="00386C2D" w:rsidRDefault="00EA7989" w:rsidP="000A47C0">
                      <w:pPr>
                        <w:spacing w:after="0" w:line="240" w:lineRule="auto"/>
                        <w:jc w:val="both"/>
                        <w:rPr>
                          <w:sz w:val="22"/>
                        </w:rPr>
                      </w:pPr>
                    </w:p>
                    <w:p w14:paraId="7D1E5075" w14:textId="77777777" w:rsidR="00EA7989" w:rsidRPr="00386C2D" w:rsidRDefault="00EA7989" w:rsidP="000A47C0">
                      <w:pPr>
                        <w:widowControl w:val="0"/>
                        <w:spacing w:after="0" w:line="240" w:lineRule="auto"/>
                        <w:jc w:val="both"/>
                        <w:rPr>
                          <w:sz w:val="22"/>
                        </w:rPr>
                      </w:pPr>
                      <w:r w:rsidRPr="00386C2D">
                        <w:rPr>
                          <w:sz w:val="22"/>
                        </w:rPr>
                        <w:t xml:space="preserve">Like other EU product-specific legal instruments containing a due diligence duty, the deforestation due diligence regime will act as </w:t>
                      </w:r>
                      <w:r w:rsidRPr="00386C2D">
                        <w:rPr>
                          <w:i/>
                          <w:sz w:val="22"/>
                        </w:rPr>
                        <w:t>lex specialis</w:t>
                      </w:r>
                      <w:r w:rsidRPr="00386C2D">
                        <w:rPr>
                          <w:sz w:val="22"/>
                        </w:rPr>
                        <w:t xml:space="preserve">. This will entail that the SCG due diligence could apply </w:t>
                      </w:r>
                      <w:r w:rsidRPr="00386C2D">
                        <w:rPr>
                          <w:b/>
                          <w:sz w:val="22"/>
                        </w:rPr>
                        <w:t>in</w:t>
                      </w:r>
                      <w:r w:rsidRPr="00386C2D">
                        <w:rPr>
                          <w:i/>
                          <w:sz w:val="22"/>
                        </w:rPr>
                        <w:t xml:space="preserve"> </w:t>
                      </w:r>
                      <w:r w:rsidRPr="00386C2D">
                        <w:rPr>
                          <w:b/>
                          <w:sz w:val="22"/>
                        </w:rPr>
                        <w:t>so far as there are no specific provisions with the same objective, nature and effect</w:t>
                      </w:r>
                      <w:r w:rsidRPr="00386C2D">
                        <w:rPr>
                          <w:sz w:val="22"/>
                        </w:rPr>
                        <w:t xml:space="preserve"> in the framework established by the legislative initiative on deforestation. However, the mere existence of specific deforestation rules should not exclude the application of the SCG. Where SCG provides for more specific provisions or adds requirements to the provisions laid down in the deforestation regulation, the two initiatives should be applied in conjunction.   </w:t>
                      </w:r>
                    </w:p>
                  </w:txbxContent>
                </v:textbox>
                <w10:wrap type="square"/>
              </v:shape>
            </w:pict>
          </mc:Fallback>
        </mc:AlternateContent>
      </w:r>
      <w:r w:rsidR="00A86900" w:rsidRPr="00362EF8">
        <w:rPr>
          <w:rFonts w:cs="Times New Roman"/>
          <w:noProof/>
          <w:szCs w:val="24"/>
        </w:rPr>
        <w:t xml:space="preserve">Whilst smallholder </w:t>
      </w:r>
      <w:r w:rsidR="00A86900" w:rsidRPr="000D2C2D">
        <w:rPr>
          <w:rFonts w:cs="Times New Roman"/>
          <w:noProof/>
          <w:szCs w:val="24"/>
        </w:rPr>
        <w:t>producers and rural communities will ultimately benefit from the policy options</w:t>
      </w:r>
      <w:r w:rsidR="00357BCF" w:rsidRPr="000D2C2D">
        <w:rPr>
          <w:rFonts w:cs="Times New Roman"/>
          <w:noProof/>
          <w:szCs w:val="24"/>
        </w:rPr>
        <w:t xml:space="preserve"> (through benefits of healthy ecosystems, nature underpinning wellbeing and growth, and others)</w:t>
      </w:r>
      <w:r w:rsidR="00A86900" w:rsidRPr="000D2C2D">
        <w:rPr>
          <w:rFonts w:cs="Times New Roman"/>
          <w:noProof/>
          <w:szCs w:val="24"/>
        </w:rPr>
        <w:t xml:space="preserve">, mitigation measures such as enhanced EU support to partner countries and operator support within their supply chains will be important from the outset, to ensure support the transition to sustainable production by smallholders in EU commodity supply chains. To maximise positive impacts and mitigate against any potential challenges, within the EU and third countries and for all types of actor, the identified options must be accompanied with other measures identified in the </w:t>
      </w:r>
      <w:r w:rsidR="00D761F9" w:rsidRPr="000D2C2D">
        <w:rPr>
          <w:rFonts w:cs="Times New Roman"/>
          <w:noProof/>
          <w:szCs w:val="24"/>
        </w:rPr>
        <w:t>2019</w:t>
      </w:r>
      <w:r w:rsidR="00D761F9">
        <w:rPr>
          <w:rFonts w:cs="Times New Roman"/>
          <w:noProof/>
          <w:szCs w:val="24"/>
        </w:rPr>
        <w:t xml:space="preserve"> </w:t>
      </w:r>
      <w:r w:rsidR="00A86900" w:rsidRPr="00362EF8">
        <w:rPr>
          <w:rFonts w:cs="Times New Roman"/>
          <w:noProof/>
          <w:szCs w:val="24"/>
        </w:rPr>
        <w:t xml:space="preserve">Communication. </w:t>
      </w:r>
    </w:p>
    <w:p w14:paraId="7A022C3A" w14:textId="2DC0B3BA" w:rsidR="00576770" w:rsidRDefault="00335526" w:rsidP="00335526">
      <w:pPr>
        <w:pStyle w:val="Heading3"/>
        <w:rPr>
          <w:noProof/>
        </w:rPr>
      </w:pPr>
      <w:bookmarkStart w:id="177" w:name="_Toc84591919"/>
      <w:bookmarkStart w:id="178" w:name="_Toc75542198"/>
      <w:bookmarkStart w:id="179" w:name="_Toc75543231"/>
      <w:r w:rsidRPr="00335526">
        <w:t>6.1.4</w:t>
      </w:r>
      <w:r w:rsidRPr="00335526">
        <w:tab/>
      </w:r>
      <w:r w:rsidR="00576770">
        <w:rPr>
          <w:noProof/>
        </w:rPr>
        <w:t>Coherence with other EU policy objectives</w:t>
      </w:r>
      <w:bookmarkEnd w:id="177"/>
    </w:p>
    <w:p w14:paraId="0E1E6E14" w14:textId="4F9B106B" w:rsidR="00576770" w:rsidRDefault="00576770" w:rsidP="00841C68">
      <w:pPr>
        <w:jc w:val="both"/>
        <w:rPr>
          <w:noProof/>
          <w:szCs w:val="24"/>
        </w:rPr>
      </w:pPr>
      <w:r w:rsidRPr="006460D0">
        <w:rPr>
          <w:rFonts w:cs="Times New Roman"/>
          <w:noProof/>
          <w:szCs w:val="24"/>
        </w:rPr>
        <w:t>The policy options proposed are coherent with the overall objectives of the European Green Deal and all the initiatives developed thereunder</w:t>
      </w:r>
      <w:r w:rsidR="006460D0">
        <w:rPr>
          <w:rFonts w:cs="Times New Roman"/>
          <w:noProof/>
          <w:szCs w:val="24"/>
        </w:rPr>
        <w:t>. B</w:t>
      </w:r>
      <w:r w:rsidRPr="006460D0">
        <w:rPr>
          <w:rFonts w:cs="Times New Roman"/>
          <w:noProof/>
          <w:szCs w:val="24"/>
        </w:rPr>
        <w:t>oth the EU Biodiversity Strategy for 2030 and the Farm to Fork Initiative identify the legislative proposal and other measures to avoid or minimise the placing of products coming from supply chains associated with deforestation or fore</w:t>
      </w:r>
      <w:r w:rsidR="006460D0">
        <w:rPr>
          <w:rFonts w:cs="Times New Roman"/>
          <w:noProof/>
          <w:szCs w:val="24"/>
        </w:rPr>
        <w:t>st degradation on the EU market</w:t>
      </w:r>
      <w:r w:rsidRPr="006460D0">
        <w:rPr>
          <w:rFonts w:cs="Times New Roman"/>
          <w:noProof/>
          <w:szCs w:val="24"/>
        </w:rPr>
        <w:t xml:space="preserve"> as important for the achievement of their objectives.</w:t>
      </w:r>
    </w:p>
    <w:p w14:paraId="005A68D9" w14:textId="14BE6F0D" w:rsidR="006460D0" w:rsidRDefault="007C0F7A" w:rsidP="00841C68">
      <w:pPr>
        <w:jc w:val="both"/>
        <w:rPr>
          <w:noProof/>
          <w:szCs w:val="24"/>
        </w:rPr>
      </w:pPr>
      <w:r>
        <w:rPr>
          <w:rFonts w:cs="Times New Roman"/>
          <w:noProof/>
          <w:szCs w:val="24"/>
        </w:rPr>
        <w:t xml:space="preserve">The initiative is also part of the actions foreseen in the </w:t>
      </w:r>
      <w:r w:rsidR="006460D0" w:rsidRPr="00612914">
        <w:rPr>
          <w:rFonts w:cs="Times New Roman"/>
          <w:noProof/>
          <w:szCs w:val="24"/>
        </w:rPr>
        <w:t xml:space="preserve">2019 Communication </w:t>
      </w:r>
      <w:r w:rsidR="006460D0">
        <w:rPr>
          <w:rFonts w:cs="Times New Roman"/>
          <w:noProof/>
          <w:szCs w:val="24"/>
        </w:rPr>
        <w:t>on Deforestation</w:t>
      </w:r>
      <w:r>
        <w:rPr>
          <w:rFonts w:cs="Times New Roman"/>
          <w:noProof/>
          <w:szCs w:val="24"/>
        </w:rPr>
        <w:t>, which</w:t>
      </w:r>
      <w:r w:rsidR="006460D0">
        <w:rPr>
          <w:rFonts w:cs="Times New Roman"/>
          <w:noProof/>
          <w:szCs w:val="24"/>
        </w:rPr>
        <w:t xml:space="preserve"> </w:t>
      </w:r>
      <w:r w:rsidR="006460D0" w:rsidRPr="00612914">
        <w:rPr>
          <w:rFonts w:cs="Times New Roman"/>
          <w:noProof/>
          <w:szCs w:val="24"/>
        </w:rPr>
        <w:t>sets out the overall objective of protecting and improving the health of existing forests, in particular primary forests and to increase sustainable, biodiverse forest coverage worldwide.</w:t>
      </w:r>
      <w:r w:rsidR="006460D0">
        <w:rPr>
          <w:rFonts w:cs="Times New Roman"/>
          <w:noProof/>
          <w:szCs w:val="24"/>
        </w:rPr>
        <w:t xml:space="preserve"> </w:t>
      </w:r>
      <w:r>
        <w:rPr>
          <w:rFonts w:cs="Times New Roman"/>
          <w:noProof/>
          <w:szCs w:val="24"/>
        </w:rPr>
        <w:t>Other relevant related initiatives foreseen in the Communication that are complementary with the proposed initiative are:</w:t>
      </w:r>
      <w:r w:rsidR="006460D0" w:rsidRPr="00612914">
        <w:rPr>
          <w:rFonts w:cs="Times New Roman"/>
          <w:noProof/>
          <w:szCs w:val="24"/>
        </w:rPr>
        <w:t xml:space="preserve"> 1) </w:t>
      </w:r>
      <w:r>
        <w:rPr>
          <w:rFonts w:cs="Times New Roman"/>
          <w:noProof/>
          <w:szCs w:val="24"/>
        </w:rPr>
        <w:t>W</w:t>
      </w:r>
      <w:r w:rsidR="006460D0" w:rsidRPr="00612914">
        <w:rPr>
          <w:rFonts w:cs="Times New Roman"/>
          <w:noProof/>
          <w:szCs w:val="24"/>
        </w:rPr>
        <w:t>ork in partnership with producer countries, to address root causes of deforestation, and to promot</w:t>
      </w:r>
      <w:r>
        <w:rPr>
          <w:rFonts w:cs="Times New Roman"/>
          <w:noProof/>
          <w:szCs w:val="24"/>
        </w:rPr>
        <w:t>e sustainable forest management;</w:t>
      </w:r>
      <w:r w:rsidR="006460D0" w:rsidRPr="00612914">
        <w:rPr>
          <w:rFonts w:cs="Times New Roman"/>
          <w:noProof/>
          <w:szCs w:val="24"/>
        </w:rPr>
        <w:t xml:space="preserve"> 2) international cooperation with major consumer countries, to minimise leakage and to promote the adoption of similar measures to avoid products coming from supply chains associated with deforestation and forest degradation being placed on the market.</w:t>
      </w:r>
    </w:p>
    <w:p w14:paraId="695FD3E1" w14:textId="15C900E8" w:rsidR="006460D0" w:rsidRDefault="006460D0" w:rsidP="00841C68">
      <w:pPr>
        <w:jc w:val="both"/>
        <w:rPr>
          <w:noProof/>
          <w:szCs w:val="24"/>
        </w:rPr>
      </w:pPr>
      <w:r>
        <w:rPr>
          <w:rFonts w:cs="Times New Roman"/>
          <w:noProof/>
          <w:szCs w:val="24"/>
        </w:rPr>
        <w:t xml:space="preserve">The proposed policy options are also coherent with the international instruments backed by the EU, specifically the Paris Agreement and the </w:t>
      </w:r>
      <w:r w:rsidRPr="006460D0">
        <w:rPr>
          <w:rFonts w:cs="Times New Roman"/>
          <w:noProof/>
          <w:szCs w:val="24"/>
        </w:rPr>
        <w:t>UN's 2030 Agenda</w:t>
      </w:r>
      <w:r>
        <w:rPr>
          <w:rFonts w:cs="Times New Roman"/>
          <w:noProof/>
          <w:szCs w:val="24"/>
        </w:rPr>
        <w:t>.</w:t>
      </w:r>
    </w:p>
    <w:p w14:paraId="0449286C" w14:textId="1666C856" w:rsidR="007C0F7A" w:rsidRDefault="006460D0" w:rsidP="00841C68">
      <w:pPr>
        <w:jc w:val="both"/>
        <w:rPr>
          <w:noProof/>
          <w:szCs w:val="24"/>
        </w:rPr>
      </w:pPr>
      <w:r>
        <w:rPr>
          <w:rFonts w:cs="Times New Roman"/>
          <w:noProof/>
          <w:szCs w:val="24"/>
        </w:rPr>
        <w:t>A</w:t>
      </w:r>
      <w:r w:rsidR="007C0F7A">
        <w:rPr>
          <w:rFonts w:cs="Times New Roman"/>
          <w:noProof/>
          <w:szCs w:val="24"/>
        </w:rPr>
        <w:t xml:space="preserve">ll policy options include </w:t>
      </w:r>
      <w:r>
        <w:rPr>
          <w:rFonts w:cs="Times New Roman"/>
          <w:noProof/>
          <w:szCs w:val="24"/>
        </w:rPr>
        <w:t>measures</w:t>
      </w:r>
      <w:r w:rsidR="00225AA6">
        <w:rPr>
          <w:rFonts w:cs="Times New Roman"/>
          <w:noProof/>
          <w:szCs w:val="24"/>
        </w:rPr>
        <w:t xml:space="preserve"> that also may impact trade</w:t>
      </w:r>
      <w:r>
        <w:rPr>
          <w:rFonts w:cs="Times New Roman"/>
          <w:noProof/>
          <w:szCs w:val="24"/>
        </w:rPr>
        <w:t xml:space="preserve">, which could have an impact on EU foreign policy and also on the EU’s </w:t>
      </w:r>
      <w:r w:rsidRPr="006460D0">
        <w:rPr>
          <w:rFonts w:cs="Times New Roman"/>
          <w:noProof/>
          <w:szCs w:val="24"/>
        </w:rPr>
        <w:t>development cooperation</w:t>
      </w:r>
      <w:r w:rsidR="007C0F7A">
        <w:rPr>
          <w:rFonts w:cs="Times New Roman"/>
          <w:noProof/>
          <w:szCs w:val="24"/>
        </w:rPr>
        <w:t xml:space="preserve">. The goal of all proposed policy options is to </w:t>
      </w:r>
      <w:r w:rsidR="00225AA6">
        <w:rPr>
          <w:rFonts w:cs="Times New Roman"/>
          <w:noProof/>
          <w:szCs w:val="24"/>
        </w:rPr>
        <w:t>provide an incentive for 3</w:t>
      </w:r>
      <w:r w:rsidR="00225AA6" w:rsidRPr="00841C68">
        <w:rPr>
          <w:rFonts w:cs="Times New Roman"/>
          <w:noProof/>
          <w:szCs w:val="24"/>
          <w:vertAlign w:val="superscript"/>
        </w:rPr>
        <w:t>rd</w:t>
      </w:r>
      <w:r w:rsidR="00225AA6">
        <w:rPr>
          <w:rFonts w:cs="Times New Roman"/>
          <w:noProof/>
          <w:szCs w:val="24"/>
        </w:rPr>
        <w:t xml:space="preserve"> </w:t>
      </w:r>
      <w:r w:rsidR="007C0F7A">
        <w:rPr>
          <w:rFonts w:cs="Times New Roman"/>
          <w:noProof/>
          <w:szCs w:val="24"/>
        </w:rPr>
        <w:t xml:space="preserve"> countries </w:t>
      </w:r>
      <w:r w:rsidR="00225AA6">
        <w:rPr>
          <w:rFonts w:cs="Times New Roman"/>
          <w:noProof/>
          <w:szCs w:val="24"/>
        </w:rPr>
        <w:t xml:space="preserve">to take action to </w:t>
      </w:r>
      <w:r w:rsidR="007C0F7A">
        <w:rPr>
          <w:rFonts w:cs="Times New Roman"/>
          <w:noProof/>
          <w:szCs w:val="24"/>
        </w:rPr>
        <w:t>achieve the sustainability milestones to which they also have committed</w:t>
      </w:r>
      <w:r w:rsidR="00225AA6">
        <w:rPr>
          <w:rFonts w:cs="Times New Roman"/>
          <w:noProof/>
          <w:szCs w:val="24"/>
        </w:rPr>
        <w:t>. This is to be achi</w:t>
      </w:r>
      <w:r w:rsidR="00A56F48">
        <w:rPr>
          <w:rFonts w:cs="Times New Roman"/>
          <w:noProof/>
          <w:szCs w:val="24"/>
        </w:rPr>
        <w:t>e</w:t>
      </w:r>
      <w:r w:rsidR="00225AA6">
        <w:rPr>
          <w:rFonts w:cs="Times New Roman"/>
          <w:noProof/>
          <w:szCs w:val="24"/>
        </w:rPr>
        <w:t>ved</w:t>
      </w:r>
      <w:r w:rsidR="007C0F7A">
        <w:rPr>
          <w:rFonts w:cs="Times New Roman"/>
          <w:noProof/>
          <w:szCs w:val="24"/>
        </w:rPr>
        <w:t xml:space="preserve"> by favouring sustainable supply chains and the </w:t>
      </w:r>
      <w:r w:rsidR="00225AA6">
        <w:rPr>
          <w:rFonts w:cs="Times New Roman"/>
          <w:noProof/>
          <w:szCs w:val="24"/>
        </w:rPr>
        <w:t xml:space="preserve">consumption </w:t>
      </w:r>
      <w:r w:rsidR="007C0F7A">
        <w:rPr>
          <w:rFonts w:cs="Times New Roman"/>
          <w:noProof/>
          <w:szCs w:val="24"/>
        </w:rPr>
        <w:t xml:space="preserve">of deforestation-free commodities and products </w:t>
      </w:r>
      <w:r w:rsidR="00225AA6">
        <w:rPr>
          <w:rFonts w:cs="Times New Roman"/>
          <w:noProof/>
          <w:szCs w:val="24"/>
        </w:rPr>
        <w:t>in</w:t>
      </w:r>
      <w:r w:rsidR="007C0F7A">
        <w:rPr>
          <w:rFonts w:cs="Times New Roman"/>
          <w:noProof/>
          <w:szCs w:val="24"/>
        </w:rPr>
        <w:t xml:space="preserve"> the EU, there</w:t>
      </w:r>
      <w:r w:rsidR="00225AA6">
        <w:rPr>
          <w:rFonts w:cs="Times New Roman"/>
          <w:noProof/>
          <w:szCs w:val="24"/>
        </w:rPr>
        <w:t>by</w:t>
      </w:r>
      <w:r w:rsidR="007C0F7A">
        <w:rPr>
          <w:rFonts w:cs="Times New Roman"/>
          <w:noProof/>
          <w:szCs w:val="24"/>
        </w:rPr>
        <w:t xml:space="preserve"> curbing the EU’s negative impact on those countries’ environment. In addition, some common features of the policy measures — namely the deforestation-free definition and the cut-off date — have been designed with the aim of minimising any </w:t>
      </w:r>
      <w:r w:rsidR="00225AA6">
        <w:rPr>
          <w:rFonts w:cs="Times New Roman"/>
          <w:noProof/>
          <w:szCs w:val="24"/>
        </w:rPr>
        <w:t>sudden</w:t>
      </w:r>
      <w:r w:rsidR="007C0F7A">
        <w:rPr>
          <w:rFonts w:cs="Times New Roman"/>
          <w:noProof/>
          <w:szCs w:val="24"/>
        </w:rPr>
        <w:t xml:space="preserve"> impact on </w:t>
      </w:r>
      <w:r w:rsidR="00225AA6">
        <w:rPr>
          <w:rFonts w:cs="Times New Roman"/>
          <w:noProof/>
          <w:szCs w:val="24"/>
        </w:rPr>
        <w:t>3</w:t>
      </w:r>
      <w:r w:rsidR="00225AA6" w:rsidRPr="00841C68">
        <w:rPr>
          <w:rFonts w:cs="Times New Roman"/>
          <w:noProof/>
          <w:szCs w:val="24"/>
          <w:vertAlign w:val="superscript"/>
        </w:rPr>
        <w:t>rd</w:t>
      </w:r>
      <w:r w:rsidR="00225AA6">
        <w:rPr>
          <w:rFonts w:cs="Times New Roman"/>
          <w:noProof/>
          <w:szCs w:val="24"/>
        </w:rPr>
        <w:t xml:space="preserve"> </w:t>
      </w:r>
      <w:r w:rsidR="007C0F7A">
        <w:rPr>
          <w:rFonts w:cs="Times New Roman"/>
          <w:noProof/>
          <w:szCs w:val="24"/>
        </w:rPr>
        <w:t xml:space="preserve">countries. </w:t>
      </w:r>
    </w:p>
    <w:p w14:paraId="462737F9" w14:textId="32747E4B" w:rsidR="007C0F7A" w:rsidRPr="006460D0" w:rsidRDefault="007C0F7A" w:rsidP="00841C68">
      <w:pPr>
        <w:jc w:val="both"/>
        <w:rPr>
          <w:noProof/>
          <w:szCs w:val="24"/>
        </w:rPr>
      </w:pPr>
      <w:r>
        <w:rPr>
          <w:rFonts w:cs="Times New Roman"/>
          <w:noProof/>
          <w:szCs w:val="24"/>
        </w:rPr>
        <w:t xml:space="preserve">Precisely in view of the potential impacts on </w:t>
      </w:r>
      <w:r w:rsidR="00225AA6">
        <w:rPr>
          <w:rFonts w:cs="Times New Roman"/>
          <w:noProof/>
          <w:szCs w:val="24"/>
        </w:rPr>
        <w:t>3</w:t>
      </w:r>
      <w:r w:rsidR="00225AA6" w:rsidRPr="00841C68">
        <w:rPr>
          <w:rFonts w:cs="Times New Roman"/>
          <w:noProof/>
          <w:szCs w:val="24"/>
          <w:vertAlign w:val="superscript"/>
        </w:rPr>
        <w:t>rd</w:t>
      </w:r>
      <w:r w:rsidR="00225AA6">
        <w:rPr>
          <w:rFonts w:cs="Times New Roman"/>
          <w:noProof/>
          <w:szCs w:val="24"/>
        </w:rPr>
        <w:t xml:space="preserve"> </w:t>
      </w:r>
      <w:r>
        <w:rPr>
          <w:rFonts w:cs="Times New Roman"/>
          <w:noProof/>
          <w:szCs w:val="24"/>
        </w:rPr>
        <w:t xml:space="preserve">countries, policy options 1 to 4, which are based on due diligence, are considered to be coherent with EU policy objectives. </w:t>
      </w:r>
      <w:r w:rsidR="006776E9">
        <w:rPr>
          <w:rFonts w:cs="Times New Roman"/>
          <w:noProof/>
          <w:szCs w:val="24"/>
        </w:rPr>
        <w:t>Policy options 2 and 3, which allow better performing countries to enjoy improved market access to their commodities and products, are considered more coherent than policy options 1 and 4. In contrast, p</w:t>
      </w:r>
      <w:r>
        <w:rPr>
          <w:rFonts w:cs="Times New Roman"/>
          <w:noProof/>
          <w:szCs w:val="24"/>
        </w:rPr>
        <w:t xml:space="preserve">olicy option 5, which could result in extreme cases </w:t>
      </w:r>
      <w:r w:rsidR="00225AA6">
        <w:rPr>
          <w:rFonts w:cs="Times New Roman"/>
          <w:noProof/>
          <w:szCs w:val="24"/>
        </w:rPr>
        <w:t>i</w:t>
      </w:r>
      <w:r>
        <w:rPr>
          <w:rFonts w:cs="Times New Roman"/>
          <w:noProof/>
          <w:szCs w:val="24"/>
        </w:rPr>
        <w:t xml:space="preserve">n an import ban against the commodities or products from </w:t>
      </w:r>
      <w:r w:rsidR="00225AA6">
        <w:rPr>
          <w:rFonts w:cs="Times New Roman"/>
          <w:noProof/>
          <w:szCs w:val="24"/>
        </w:rPr>
        <w:t>3</w:t>
      </w:r>
      <w:r w:rsidR="00225AA6" w:rsidRPr="00841C68">
        <w:rPr>
          <w:rFonts w:cs="Times New Roman"/>
          <w:noProof/>
          <w:szCs w:val="24"/>
          <w:vertAlign w:val="superscript"/>
        </w:rPr>
        <w:t>rd</w:t>
      </w:r>
      <w:r w:rsidR="00225AA6">
        <w:rPr>
          <w:rFonts w:cs="Times New Roman"/>
          <w:noProof/>
          <w:szCs w:val="24"/>
        </w:rPr>
        <w:t xml:space="preserve"> </w:t>
      </w:r>
      <w:r>
        <w:rPr>
          <w:rFonts w:cs="Times New Roman"/>
          <w:noProof/>
          <w:szCs w:val="24"/>
        </w:rPr>
        <w:t xml:space="preserve">countries, , is considered to be less coherent, as this could have a </w:t>
      </w:r>
      <w:r w:rsidR="00225AA6">
        <w:rPr>
          <w:rFonts w:cs="Times New Roman"/>
          <w:noProof/>
          <w:szCs w:val="24"/>
        </w:rPr>
        <w:t>stronger</w:t>
      </w:r>
      <w:r>
        <w:rPr>
          <w:rFonts w:cs="Times New Roman"/>
          <w:noProof/>
          <w:szCs w:val="24"/>
        </w:rPr>
        <w:t xml:space="preserve"> economic impact on </w:t>
      </w:r>
      <w:r w:rsidR="00225AA6">
        <w:rPr>
          <w:rFonts w:cs="Times New Roman"/>
          <w:noProof/>
          <w:szCs w:val="24"/>
        </w:rPr>
        <w:t>3</w:t>
      </w:r>
      <w:r w:rsidR="00225AA6" w:rsidRPr="00841C68">
        <w:rPr>
          <w:rFonts w:cs="Times New Roman"/>
          <w:noProof/>
          <w:szCs w:val="24"/>
          <w:vertAlign w:val="superscript"/>
        </w:rPr>
        <w:t>rd</w:t>
      </w:r>
      <w:r w:rsidR="00225AA6">
        <w:rPr>
          <w:rFonts w:cs="Times New Roman"/>
          <w:noProof/>
          <w:szCs w:val="24"/>
        </w:rPr>
        <w:t xml:space="preserve"> </w:t>
      </w:r>
      <w:r>
        <w:rPr>
          <w:rFonts w:cs="Times New Roman"/>
          <w:noProof/>
          <w:szCs w:val="24"/>
        </w:rPr>
        <w:t>countries. These differences can be observed in table 8.</w:t>
      </w:r>
    </w:p>
    <w:p w14:paraId="2D0271AB" w14:textId="11776DEC" w:rsidR="00C118BA" w:rsidRDefault="00335526" w:rsidP="00335526">
      <w:pPr>
        <w:pStyle w:val="Heading3"/>
        <w:rPr>
          <w:noProof/>
        </w:rPr>
      </w:pPr>
      <w:bookmarkStart w:id="180" w:name="_Toc84591920"/>
      <w:r w:rsidRPr="00335526">
        <w:t>6.1.5</w:t>
      </w:r>
      <w:r w:rsidRPr="00335526">
        <w:tab/>
      </w:r>
      <w:r w:rsidR="00C118BA">
        <w:rPr>
          <w:noProof/>
        </w:rPr>
        <w:t>Leakage problems</w:t>
      </w:r>
      <w:bookmarkEnd w:id="178"/>
      <w:bookmarkEnd w:id="179"/>
      <w:bookmarkEnd w:id="180"/>
    </w:p>
    <w:p w14:paraId="145ABB49" w14:textId="57E48695" w:rsidR="0035437D" w:rsidRPr="0094679F" w:rsidRDefault="009564DC" w:rsidP="00362EF8">
      <w:pPr>
        <w:jc w:val="both"/>
        <w:rPr>
          <w:rFonts w:cs="Times New Roman"/>
          <w:noProof/>
          <w:szCs w:val="24"/>
        </w:rPr>
      </w:pPr>
      <w:r>
        <w:rPr>
          <w:rFonts w:cs="Segoe UI"/>
          <w:noProof/>
        </w:rPr>
        <w:t>T</w:t>
      </w:r>
      <w:r w:rsidR="007B01F9">
        <w:rPr>
          <w:rFonts w:cs="Segoe UI"/>
          <w:noProof/>
        </w:rPr>
        <w:t xml:space="preserve">he main objective of the initiative is </w:t>
      </w:r>
      <w:r w:rsidR="00C46D26">
        <w:rPr>
          <w:rFonts w:cs="Segoe UI"/>
          <w:noProof/>
        </w:rPr>
        <w:t>the</w:t>
      </w:r>
      <w:r w:rsidR="007B01F9">
        <w:rPr>
          <w:rFonts w:cs="Segoe UI"/>
          <w:noProof/>
        </w:rPr>
        <w:t xml:space="preserve"> elimination of the EU contribution to global deforestation, with the reduction of overall global deforestation as a</w:t>
      </w:r>
      <w:r>
        <w:rPr>
          <w:rFonts w:cs="Segoe UI"/>
          <w:noProof/>
        </w:rPr>
        <w:t>n</w:t>
      </w:r>
      <w:r w:rsidR="007B01F9">
        <w:rPr>
          <w:rFonts w:cs="Segoe UI"/>
          <w:noProof/>
        </w:rPr>
        <w:t xml:space="preserve"> additional effect. That additional effect could of course be reduced by </w:t>
      </w:r>
      <w:r w:rsidR="004F410B">
        <w:rPr>
          <w:rFonts w:cs="Segoe UI"/>
          <w:noProof/>
        </w:rPr>
        <w:t xml:space="preserve">the </w:t>
      </w:r>
      <w:r w:rsidR="004F410B" w:rsidRPr="0099299F">
        <w:rPr>
          <w:rFonts w:cs="Times New Roman"/>
          <w:noProof/>
          <w:szCs w:val="24"/>
        </w:rPr>
        <w:t>leakage</w:t>
      </w:r>
      <w:r w:rsidR="0035437D" w:rsidRPr="0099299F">
        <w:rPr>
          <w:rFonts w:cs="Times New Roman"/>
          <w:noProof/>
          <w:szCs w:val="24"/>
        </w:rPr>
        <w:t xml:space="preserve"> or spill-over effects. </w:t>
      </w:r>
      <w:r w:rsidR="00FA6A74">
        <w:rPr>
          <w:rFonts w:cs="Times New Roman"/>
          <w:noProof/>
          <w:szCs w:val="24"/>
        </w:rPr>
        <w:t xml:space="preserve">This means that </w:t>
      </w:r>
      <w:r w:rsidR="0035437D" w:rsidRPr="0099299F">
        <w:rPr>
          <w:rFonts w:cs="Times New Roman"/>
          <w:noProof/>
          <w:szCs w:val="24"/>
        </w:rPr>
        <w:t xml:space="preserve">deforestation </w:t>
      </w:r>
      <w:r w:rsidR="00FA6A74">
        <w:rPr>
          <w:rFonts w:cs="Times New Roman"/>
          <w:noProof/>
          <w:szCs w:val="24"/>
        </w:rPr>
        <w:t xml:space="preserve">or degradation </w:t>
      </w:r>
      <w:r w:rsidR="00542FD4">
        <w:rPr>
          <w:rFonts w:cs="Times New Roman"/>
          <w:noProof/>
          <w:szCs w:val="24"/>
        </w:rPr>
        <w:t>embedded in EU consumption may be reduced or eliminated</w:t>
      </w:r>
      <w:r w:rsidR="00FA6A74">
        <w:rPr>
          <w:rFonts w:cs="Times New Roman"/>
          <w:noProof/>
          <w:szCs w:val="24"/>
        </w:rPr>
        <w:t xml:space="preserve">, but at the same time </w:t>
      </w:r>
      <w:r w:rsidR="0035437D" w:rsidRPr="0099299F">
        <w:rPr>
          <w:rFonts w:cs="Times New Roman"/>
          <w:noProof/>
          <w:szCs w:val="24"/>
        </w:rPr>
        <w:t xml:space="preserve">unsustainable production activities </w:t>
      </w:r>
      <w:r w:rsidR="00542FD4">
        <w:rPr>
          <w:rFonts w:cs="Times New Roman"/>
          <w:noProof/>
          <w:szCs w:val="24"/>
        </w:rPr>
        <w:t xml:space="preserve">would either be transferred to other </w:t>
      </w:r>
      <w:r w:rsidR="00FA6A74">
        <w:rPr>
          <w:rFonts w:cs="Times New Roman"/>
          <w:noProof/>
          <w:szCs w:val="24"/>
        </w:rPr>
        <w:t>commodit</w:t>
      </w:r>
      <w:r w:rsidR="00542FD4">
        <w:rPr>
          <w:rFonts w:cs="Times New Roman"/>
          <w:noProof/>
          <w:szCs w:val="24"/>
        </w:rPr>
        <w:t xml:space="preserve">ies not in scope of the regulation or by switching to less discerning </w:t>
      </w:r>
      <w:r w:rsidR="004F410B">
        <w:rPr>
          <w:rFonts w:cs="Times New Roman"/>
          <w:noProof/>
          <w:szCs w:val="24"/>
        </w:rPr>
        <w:t>markets</w:t>
      </w:r>
      <w:r w:rsidR="0035437D" w:rsidRPr="00362EF8">
        <w:rPr>
          <w:rFonts w:cs="Times New Roman"/>
          <w:noProof/>
          <w:szCs w:val="24"/>
        </w:rPr>
        <w:footnoteReference w:id="192"/>
      </w:r>
      <w:r w:rsidR="00932109">
        <w:rPr>
          <w:rFonts w:cs="Times New Roman"/>
          <w:noProof/>
          <w:szCs w:val="24"/>
        </w:rPr>
        <w:t>, potentially reducing the overall impact of the EU intervention</w:t>
      </w:r>
      <w:r w:rsidR="0035437D" w:rsidRPr="0099299F">
        <w:rPr>
          <w:rFonts w:cs="Times New Roman"/>
          <w:noProof/>
          <w:szCs w:val="24"/>
        </w:rPr>
        <w:t xml:space="preserve">. </w:t>
      </w:r>
    </w:p>
    <w:p w14:paraId="73D954B1" w14:textId="3A1DBEF7" w:rsidR="0035437D" w:rsidRDefault="0035437D" w:rsidP="00386C2D">
      <w:pPr>
        <w:jc w:val="both"/>
        <w:rPr>
          <w:rFonts w:cs="Times New Roman"/>
          <w:noProof/>
          <w:szCs w:val="24"/>
        </w:rPr>
      </w:pPr>
      <w:r w:rsidRPr="00FB0059">
        <w:rPr>
          <w:rFonts w:cs="Times New Roman"/>
          <w:noProof/>
          <w:szCs w:val="24"/>
        </w:rPr>
        <w:t xml:space="preserve">Various stakeholders indicated that they expect that </w:t>
      </w:r>
      <w:r w:rsidR="00FA6A74" w:rsidRPr="00FB0059">
        <w:rPr>
          <w:rFonts w:cs="Times New Roman"/>
          <w:noProof/>
          <w:szCs w:val="24"/>
        </w:rPr>
        <w:t xml:space="preserve">the EU </w:t>
      </w:r>
      <w:r w:rsidR="00FA6A74">
        <w:rPr>
          <w:rFonts w:cs="Times New Roman"/>
          <w:noProof/>
          <w:szCs w:val="24"/>
        </w:rPr>
        <w:t xml:space="preserve">intervention </w:t>
      </w:r>
      <w:r w:rsidR="0038489B">
        <w:rPr>
          <w:rFonts w:cs="Times New Roman"/>
          <w:noProof/>
          <w:szCs w:val="24"/>
        </w:rPr>
        <w:t>will</w:t>
      </w:r>
      <w:r w:rsidRPr="00FB0059">
        <w:rPr>
          <w:rFonts w:cs="Times New Roman"/>
          <w:noProof/>
          <w:szCs w:val="24"/>
        </w:rPr>
        <w:t xml:space="preserve"> entail leakage</w:t>
      </w:r>
      <w:r w:rsidR="006F57D3">
        <w:rPr>
          <w:rFonts w:cs="Times New Roman"/>
          <w:noProof/>
          <w:szCs w:val="24"/>
        </w:rPr>
        <w:t xml:space="preserve"> risk</w:t>
      </w:r>
      <w:r w:rsidR="00C46D26">
        <w:rPr>
          <w:rFonts w:cs="Times New Roman"/>
          <w:noProof/>
          <w:szCs w:val="24"/>
        </w:rPr>
        <w:t>s</w:t>
      </w:r>
      <w:r w:rsidRPr="00FB0059">
        <w:rPr>
          <w:rFonts w:cs="Times New Roman"/>
          <w:noProof/>
          <w:szCs w:val="24"/>
        </w:rPr>
        <w:t xml:space="preserve">. Nevertheless, </w:t>
      </w:r>
      <w:r w:rsidR="0038489B">
        <w:rPr>
          <w:rFonts w:cs="Times New Roman"/>
          <w:noProof/>
          <w:szCs w:val="24"/>
        </w:rPr>
        <w:t xml:space="preserve">many </w:t>
      </w:r>
      <w:r w:rsidRPr="00FB0059">
        <w:rPr>
          <w:rFonts w:cs="Times New Roman"/>
          <w:noProof/>
          <w:szCs w:val="24"/>
        </w:rPr>
        <w:t xml:space="preserve">also agree that this is an acceptable risk if additional measures </w:t>
      </w:r>
      <w:r w:rsidR="00542FD4">
        <w:rPr>
          <w:rFonts w:cs="Times New Roman"/>
          <w:noProof/>
          <w:szCs w:val="24"/>
        </w:rPr>
        <w:t xml:space="preserve">– as described and identified in the 2019 Communication - </w:t>
      </w:r>
      <w:r w:rsidRPr="00FB0059">
        <w:rPr>
          <w:rFonts w:cs="Times New Roman"/>
          <w:noProof/>
          <w:szCs w:val="24"/>
        </w:rPr>
        <w:t>are taken to mitigate this risk as much as possible.</w:t>
      </w:r>
      <w:r w:rsidR="00FA6A74" w:rsidRPr="00FB0059">
        <w:rPr>
          <w:rFonts w:cs="Times New Roman"/>
          <w:noProof/>
          <w:szCs w:val="24"/>
        </w:rPr>
        <w:t xml:space="preserve"> </w:t>
      </w:r>
      <w:r w:rsidR="00542FD4">
        <w:rPr>
          <w:rFonts w:cs="Times New Roman"/>
          <w:noProof/>
          <w:szCs w:val="24"/>
        </w:rPr>
        <w:t>B</w:t>
      </w:r>
      <w:r w:rsidRPr="0099299F">
        <w:rPr>
          <w:rFonts w:cs="Times New Roman"/>
          <w:noProof/>
          <w:szCs w:val="24"/>
        </w:rPr>
        <w:t>ased on the insights and additional inputs from consulted stakeholders, some precautionary measures can be identified to mitigate the</w:t>
      </w:r>
      <w:r w:rsidR="00FA6A74">
        <w:rPr>
          <w:rFonts w:cs="Times New Roman"/>
          <w:noProof/>
          <w:szCs w:val="24"/>
        </w:rPr>
        <w:t>se</w:t>
      </w:r>
      <w:r w:rsidRPr="0099299F">
        <w:rPr>
          <w:rFonts w:cs="Times New Roman"/>
          <w:noProof/>
          <w:szCs w:val="24"/>
        </w:rPr>
        <w:t xml:space="preserve"> risk</w:t>
      </w:r>
      <w:r w:rsidR="00FA6A74">
        <w:rPr>
          <w:rFonts w:cs="Times New Roman"/>
          <w:noProof/>
          <w:szCs w:val="24"/>
        </w:rPr>
        <w:t>s</w:t>
      </w:r>
      <w:r w:rsidRPr="0099299F">
        <w:rPr>
          <w:rFonts w:cs="Times New Roman"/>
          <w:noProof/>
          <w:szCs w:val="24"/>
        </w:rPr>
        <w:t>.</w:t>
      </w:r>
      <w:r w:rsidR="00634089">
        <w:rPr>
          <w:rFonts w:cs="Times New Roman"/>
          <w:noProof/>
          <w:szCs w:val="24"/>
        </w:rPr>
        <w:t xml:space="preserve"> </w:t>
      </w:r>
      <w:r w:rsidR="00D038D0">
        <w:rPr>
          <w:rFonts w:cs="Times New Roman"/>
          <w:noProof/>
          <w:szCs w:val="24"/>
        </w:rPr>
        <w:t xml:space="preserve">The preferred policy option contains many of these mitigating measures. </w:t>
      </w:r>
      <w:r w:rsidR="00634089">
        <w:rPr>
          <w:rFonts w:cs="Times New Roman"/>
          <w:noProof/>
          <w:szCs w:val="24"/>
        </w:rPr>
        <w:t>The results are shown in table 7.3 below.</w:t>
      </w:r>
    </w:p>
    <w:p w14:paraId="76A38FFC" w14:textId="42808B77" w:rsidR="00634089" w:rsidRPr="007C1494" w:rsidRDefault="00C03274" w:rsidP="00634089">
      <w:pPr>
        <w:keepNext/>
        <w:keepLines/>
        <w:tabs>
          <w:tab w:val="left" w:pos="1134"/>
        </w:tabs>
        <w:spacing w:before="360" w:after="160" w:line="240" w:lineRule="auto"/>
        <w:outlineLvl w:val="3"/>
        <w:rPr>
          <w:rFonts w:eastAsia="Times New Roman" w:cs="Times New Roman"/>
          <w:noProof/>
          <w:szCs w:val="24"/>
          <w:lang w:eastAsia="en-GB"/>
        </w:rPr>
      </w:pPr>
      <w:r>
        <w:rPr>
          <w:rFonts w:eastAsia="Times New Roman" w:cs="Times New Roman"/>
          <w:noProof/>
          <w:szCs w:val="24"/>
          <w:lang w:eastAsia="en-GB"/>
        </w:rPr>
        <w:t>Figure 1</w:t>
      </w:r>
      <w:r w:rsidR="00E0344B">
        <w:rPr>
          <w:rFonts w:eastAsia="Times New Roman" w:cs="Times New Roman"/>
          <w:noProof/>
          <w:szCs w:val="24"/>
          <w:lang w:eastAsia="en-GB"/>
        </w:rPr>
        <w:t>3</w:t>
      </w:r>
      <w:r>
        <w:rPr>
          <w:rFonts w:eastAsia="Times New Roman" w:cs="Times New Roman"/>
          <w:noProof/>
          <w:szCs w:val="24"/>
          <w:lang w:eastAsia="en-GB"/>
        </w:rPr>
        <w:t>:</w:t>
      </w:r>
      <w:r w:rsidR="00634089">
        <w:rPr>
          <w:rFonts w:eastAsia="Times New Roman" w:cs="Times New Roman"/>
          <w:noProof/>
          <w:szCs w:val="24"/>
          <w:lang w:eastAsia="en-GB"/>
        </w:rPr>
        <w:tab/>
      </w:r>
      <w:r w:rsidR="00634089" w:rsidRPr="00634089">
        <w:rPr>
          <w:rFonts w:eastAsia="Times New Roman" w:cs="Times New Roman"/>
          <w:noProof/>
          <w:szCs w:val="24"/>
          <w:lang w:eastAsia="en-GB"/>
        </w:rPr>
        <w:t>Examples of risks of leakages and mitigation measures</w:t>
      </w:r>
    </w:p>
    <w:tbl>
      <w:tblPr>
        <w:tblStyle w:val="WoodEISUKReportTable"/>
        <w:tblW w:w="5000" w:type="pct"/>
        <w:tblLook w:val="04A0" w:firstRow="1" w:lastRow="0" w:firstColumn="1" w:lastColumn="0" w:noHBand="0" w:noVBand="1"/>
      </w:tblPr>
      <w:tblGrid>
        <w:gridCol w:w="1946"/>
        <w:gridCol w:w="3443"/>
        <w:gridCol w:w="3445"/>
      </w:tblGrid>
      <w:tr w:rsidR="00634089" w14:paraId="4603F364" w14:textId="77777777" w:rsidTr="006340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1" w:type="pct"/>
            <w:hideMark/>
          </w:tcPr>
          <w:p w14:paraId="2EC01BE8" w14:textId="77777777" w:rsidR="00634089" w:rsidRDefault="00634089">
            <w:pPr>
              <w:pStyle w:val="WDTable"/>
              <w:rPr>
                <w:rFonts w:cs="Segoe UI"/>
                <w:noProof/>
              </w:rPr>
            </w:pPr>
            <w:r>
              <w:rPr>
                <w:rFonts w:cs="Segoe UI"/>
                <w:noProof/>
              </w:rPr>
              <w:t>Unintended effect</w:t>
            </w:r>
          </w:p>
        </w:tc>
        <w:tc>
          <w:tcPr>
            <w:tcW w:w="1949" w:type="pct"/>
            <w:hideMark/>
          </w:tcPr>
          <w:p w14:paraId="1AFB5871" w14:textId="77777777" w:rsidR="00634089" w:rsidRDefault="00634089">
            <w:pPr>
              <w:pStyle w:val="WDTable"/>
              <w:cnfStyle w:val="100000000000" w:firstRow="1" w:lastRow="0" w:firstColumn="0" w:lastColumn="0" w:oddVBand="0" w:evenVBand="0" w:oddHBand="0" w:evenHBand="0" w:firstRowFirstColumn="0" w:firstRowLastColumn="0" w:lastRowFirstColumn="0" w:lastRowLastColumn="0"/>
              <w:rPr>
                <w:rFonts w:cs="Segoe UI"/>
                <w:noProof/>
              </w:rPr>
            </w:pPr>
            <w:r>
              <w:rPr>
                <w:rFonts w:cs="Segoe UI"/>
                <w:noProof/>
              </w:rPr>
              <w:t>Mechanism</w:t>
            </w:r>
          </w:p>
        </w:tc>
        <w:tc>
          <w:tcPr>
            <w:tcW w:w="1950" w:type="pct"/>
            <w:hideMark/>
          </w:tcPr>
          <w:p w14:paraId="377CB3A1" w14:textId="77777777" w:rsidR="00634089" w:rsidRDefault="00634089">
            <w:pPr>
              <w:pStyle w:val="WDTable"/>
              <w:cnfStyle w:val="100000000000" w:firstRow="1" w:lastRow="0" w:firstColumn="0" w:lastColumn="0" w:oddVBand="0" w:evenVBand="0" w:oddHBand="0" w:evenHBand="0" w:firstRowFirstColumn="0" w:firstRowLastColumn="0" w:lastRowFirstColumn="0" w:lastRowLastColumn="0"/>
              <w:rPr>
                <w:rFonts w:cs="Segoe UI"/>
                <w:noProof/>
              </w:rPr>
            </w:pPr>
            <w:r>
              <w:rPr>
                <w:rFonts w:cs="Segoe UI"/>
                <w:noProof/>
              </w:rPr>
              <w:t>Potential mitigation measures</w:t>
            </w:r>
          </w:p>
        </w:tc>
      </w:tr>
      <w:tr w:rsidR="00634089" w14:paraId="72C893F1" w14:textId="77777777" w:rsidTr="00634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tcBorders>
              <w:top w:val="nil"/>
              <w:bottom w:val="nil"/>
            </w:tcBorders>
            <w:hideMark/>
          </w:tcPr>
          <w:p w14:paraId="209D1D3F" w14:textId="0A673574" w:rsidR="00634089" w:rsidRDefault="00634089">
            <w:pPr>
              <w:pStyle w:val="WDTable"/>
              <w:rPr>
                <w:rFonts w:cs="Segoe UI"/>
                <w:noProof/>
              </w:rPr>
            </w:pPr>
            <w:r>
              <w:rPr>
                <w:rFonts w:cs="Segoe UI"/>
                <w:noProof/>
              </w:rPr>
              <w:t>Shift to other commodities or products not under the scope of the measures.</w:t>
            </w:r>
          </w:p>
        </w:tc>
        <w:tc>
          <w:tcPr>
            <w:tcW w:w="1949" w:type="pct"/>
            <w:tcBorders>
              <w:top w:val="nil"/>
              <w:bottom w:val="nil"/>
            </w:tcBorders>
            <w:hideMark/>
          </w:tcPr>
          <w:p w14:paraId="78149C86" w14:textId="214F0ED6" w:rsidR="00634089" w:rsidRDefault="00634089">
            <w:pPr>
              <w:pStyle w:val="WDTable"/>
              <w:cnfStyle w:val="000000100000" w:firstRow="0" w:lastRow="0" w:firstColumn="0" w:lastColumn="0" w:oddVBand="0" w:evenVBand="0" w:oddHBand="1" w:evenHBand="0" w:firstRowFirstColumn="0" w:firstRowLastColumn="0" w:lastRowFirstColumn="0" w:lastRowLastColumn="0"/>
              <w:rPr>
                <w:rFonts w:cs="Segoe UI"/>
                <w:noProof/>
              </w:rPr>
            </w:pPr>
            <w:r>
              <w:rPr>
                <w:rFonts w:cs="Segoe UI"/>
                <w:noProof/>
              </w:rPr>
              <w:t>Substitution of commodities or products that are included in the scope with commodities or products that are not covered by the scope of the measures. This could happen</w:t>
            </w:r>
            <w:r w:rsidR="00B72A84">
              <w:rPr>
                <w:rFonts w:cs="Segoe UI"/>
                <w:noProof/>
              </w:rPr>
              <w:t>,</w:t>
            </w:r>
            <w:r>
              <w:rPr>
                <w:rFonts w:cs="Segoe UI"/>
                <w:noProof/>
              </w:rPr>
              <w:t xml:space="preserve"> for instance, </w:t>
            </w:r>
            <w:r w:rsidR="006E2F1A">
              <w:rPr>
                <w:rFonts w:cs="Segoe UI"/>
                <w:noProof/>
              </w:rPr>
              <w:t xml:space="preserve">if </w:t>
            </w:r>
            <w:r>
              <w:rPr>
                <w:rFonts w:cs="Segoe UI"/>
                <w:noProof/>
              </w:rPr>
              <w:t>palm oil in products is substituted by other vegetable oils that are not covered</w:t>
            </w:r>
            <w:r w:rsidR="00B72A84">
              <w:rPr>
                <w:rFonts w:cs="Segoe UI"/>
                <w:noProof/>
              </w:rPr>
              <w:t xml:space="preserve"> by the scope of the measures, triggering deforestation that is outside the reach of the EU intervention.</w:t>
            </w:r>
          </w:p>
        </w:tc>
        <w:tc>
          <w:tcPr>
            <w:tcW w:w="1950" w:type="pct"/>
            <w:tcBorders>
              <w:top w:val="nil"/>
              <w:bottom w:val="nil"/>
            </w:tcBorders>
          </w:tcPr>
          <w:p w14:paraId="6CDD4AAD" w14:textId="1D40963E" w:rsidR="00634089" w:rsidRDefault="00634089">
            <w:pPr>
              <w:pStyle w:val="WDTable"/>
              <w:cnfStyle w:val="000000100000" w:firstRow="0" w:lastRow="0" w:firstColumn="0" w:lastColumn="0" w:oddVBand="0" w:evenVBand="0" w:oddHBand="1" w:evenHBand="0" w:firstRowFirstColumn="0" w:firstRowLastColumn="0" w:lastRowFirstColumn="0" w:lastRowLastColumn="0"/>
              <w:rPr>
                <w:rFonts w:cs="Segoe UI"/>
                <w:noProof/>
              </w:rPr>
            </w:pPr>
            <w:r>
              <w:rPr>
                <w:rFonts w:cs="Segoe UI"/>
                <w:noProof/>
              </w:rPr>
              <w:t>The progressive scope (section 5.1) advocated for in this impact assessment aims at being able to deal with changing trends in commodities and products involved in deforestation.</w:t>
            </w:r>
            <w:r w:rsidR="005219C5">
              <w:rPr>
                <w:rFonts w:cs="Segoe UI"/>
                <w:noProof/>
              </w:rPr>
              <w:t xml:space="preserve"> There was strong support among stakeholders, as well as the </w:t>
            </w:r>
            <w:r w:rsidR="00060B02">
              <w:rPr>
                <w:rFonts w:cs="Segoe UI"/>
                <w:noProof/>
              </w:rPr>
              <w:t>E</w:t>
            </w:r>
            <w:r w:rsidR="0038489B">
              <w:rPr>
                <w:rFonts w:cs="Segoe UI"/>
                <w:noProof/>
              </w:rPr>
              <w:t xml:space="preserve">uropean </w:t>
            </w:r>
            <w:r w:rsidR="00060B02">
              <w:rPr>
                <w:rFonts w:cs="Segoe UI"/>
                <w:noProof/>
              </w:rPr>
              <w:t>P</w:t>
            </w:r>
            <w:r w:rsidR="0038489B">
              <w:rPr>
                <w:rFonts w:cs="Segoe UI"/>
                <w:noProof/>
              </w:rPr>
              <w:t>arliament</w:t>
            </w:r>
            <w:r w:rsidR="005219C5">
              <w:rPr>
                <w:rFonts w:cs="Segoe UI"/>
                <w:noProof/>
              </w:rPr>
              <w:t>, for having the scope revised regularly as a mitigation measure.</w:t>
            </w:r>
          </w:p>
          <w:p w14:paraId="2F08D7DE" w14:textId="77777777" w:rsidR="006B1ACB" w:rsidRDefault="006B1ACB">
            <w:pPr>
              <w:pStyle w:val="WDTable"/>
              <w:cnfStyle w:val="000000100000" w:firstRow="0" w:lastRow="0" w:firstColumn="0" w:lastColumn="0" w:oddVBand="0" w:evenVBand="0" w:oddHBand="1" w:evenHBand="0" w:firstRowFirstColumn="0" w:firstRowLastColumn="0" w:lastRowFirstColumn="0" w:lastRowLastColumn="0"/>
              <w:rPr>
                <w:rFonts w:cs="Segoe UI"/>
                <w:noProof/>
              </w:rPr>
            </w:pPr>
          </w:p>
          <w:p w14:paraId="50578E37" w14:textId="636EDC5D" w:rsidR="00A951E0" w:rsidRDefault="00A951E0">
            <w:pPr>
              <w:pStyle w:val="WDTable"/>
              <w:cnfStyle w:val="000000100000" w:firstRow="0" w:lastRow="0" w:firstColumn="0" w:lastColumn="0" w:oddVBand="0" w:evenVBand="0" w:oddHBand="1" w:evenHBand="0" w:firstRowFirstColumn="0" w:firstRowLastColumn="0" w:lastRowFirstColumn="0" w:lastRowLastColumn="0"/>
              <w:rPr>
                <w:rFonts w:cs="Segoe UI"/>
                <w:noProof/>
              </w:rPr>
            </w:pPr>
            <w:r>
              <w:rPr>
                <w:rFonts w:cs="Segoe UI"/>
                <w:noProof/>
              </w:rPr>
              <w:t>The so-called Brussels effect could</w:t>
            </w:r>
            <w:r w:rsidR="00B72A84">
              <w:rPr>
                <w:rFonts w:cs="Segoe UI"/>
                <w:noProof/>
              </w:rPr>
              <w:t xml:space="preserve"> also</w:t>
            </w:r>
            <w:r>
              <w:rPr>
                <w:rFonts w:cs="Segoe UI"/>
                <w:noProof/>
              </w:rPr>
              <w:t xml:space="preserve"> play a positive role to extend the reach of the EU intervention beyond its scope. </w:t>
            </w:r>
            <w:r w:rsidR="00B72A84">
              <w:rPr>
                <w:rFonts w:cs="Segoe UI"/>
                <w:noProof/>
              </w:rPr>
              <w:t>“E</w:t>
            </w:r>
            <w:r w:rsidR="00B72A84" w:rsidRPr="00B72A84">
              <w:rPr>
                <w:rFonts w:cs="Segoe UI"/>
                <w:noProof/>
              </w:rPr>
              <w:t>nvironmental regulation is often non-divisible. After an investment in compliance with the EU’s stringent environmental rules is made, the company typically extends those same sustainability practices across its global conduct or production</w:t>
            </w:r>
            <w:r w:rsidR="00B72A84">
              <w:rPr>
                <w:rFonts w:cs="Segoe UI"/>
                <w:noProof/>
              </w:rPr>
              <w:t>,” argues Anu Bradford in The Brussels Effect</w:t>
            </w:r>
            <w:r w:rsidR="00B72A84">
              <w:rPr>
                <w:rStyle w:val="FootnoteReference"/>
                <w:rFonts w:cs="Segoe UI"/>
                <w:noProof/>
              </w:rPr>
              <w:footnoteReference w:id="193"/>
            </w:r>
            <w:r w:rsidR="00B72A84">
              <w:rPr>
                <w:rFonts w:cs="Segoe UI"/>
                <w:noProof/>
              </w:rPr>
              <w:t>.</w:t>
            </w:r>
          </w:p>
          <w:p w14:paraId="1BA3D3F9" w14:textId="77777777" w:rsidR="006B1ACB" w:rsidRDefault="006B1ACB">
            <w:pPr>
              <w:pStyle w:val="WDTable"/>
              <w:cnfStyle w:val="000000100000" w:firstRow="0" w:lastRow="0" w:firstColumn="0" w:lastColumn="0" w:oddVBand="0" w:evenVBand="0" w:oddHBand="1" w:evenHBand="0" w:firstRowFirstColumn="0" w:firstRowLastColumn="0" w:lastRowFirstColumn="0" w:lastRowLastColumn="0"/>
              <w:rPr>
                <w:rFonts w:cs="Segoe UI"/>
                <w:noProof/>
              </w:rPr>
            </w:pPr>
          </w:p>
          <w:p w14:paraId="6D41FD1E" w14:textId="11050814" w:rsidR="00A951E0" w:rsidRDefault="00A951E0">
            <w:pPr>
              <w:pStyle w:val="WDTable"/>
              <w:cnfStyle w:val="000000100000" w:firstRow="0" w:lastRow="0" w:firstColumn="0" w:lastColumn="0" w:oddVBand="0" w:evenVBand="0" w:oddHBand="1" w:evenHBand="0" w:firstRowFirstColumn="0" w:firstRowLastColumn="0" w:lastRowFirstColumn="0" w:lastRowLastColumn="0"/>
              <w:rPr>
                <w:rFonts w:cs="Segoe UI"/>
                <w:noProof/>
              </w:rPr>
            </w:pPr>
            <w:r>
              <w:rPr>
                <w:rFonts w:cs="Segoe UI"/>
                <w:noProof/>
              </w:rPr>
              <w:t xml:space="preserve">Also relevant is the fact that companies working with products outside the scope of this EU intervention may be obliged to conduct horizontal </w:t>
            </w:r>
            <w:r w:rsidDel="003844A5">
              <w:rPr>
                <w:rFonts w:cs="Segoe UI"/>
                <w:noProof/>
              </w:rPr>
              <w:t xml:space="preserve">due </w:t>
            </w:r>
            <w:r w:rsidR="0038489B">
              <w:rPr>
                <w:rFonts w:cs="Segoe UI"/>
                <w:noProof/>
              </w:rPr>
              <w:t>diligence</w:t>
            </w:r>
            <w:r>
              <w:rPr>
                <w:rFonts w:cs="Segoe UI"/>
                <w:noProof/>
              </w:rPr>
              <w:t xml:space="preserve"> duties due to the initiative on Sustainable Corporate Governance (see EU context on section 1.1)</w:t>
            </w:r>
          </w:p>
          <w:p w14:paraId="796A0180" w14:textId="3E2D90F3" w:rsidR="00A951E0" w:rsidRDefault="00A951E0">
            <w:pPr>
              <w:pStyle w:val="WDTable"/>
              <w:cnfStyle w:val="000000100000" w:firstRow="0" w:lastRow="0" w:firstColumn="0" w:lastColumn="0" w:oddVBand="0" w:evenVBand="0" w:oddHBand="1" w:evenHBand="0" w:firstRowFirstColumn="0" w:firstRowLastColumn="0" w:lastRowFirstColumn="0" w:lastRowLastColumn="0"/>
              <w:rPr>
                <w:rFonts w:cs="Segoe UI"/>
                <w:noProof/>
              </w:rPr>
            </w:pPr>
          </w:p>
        </w:tc>
      </w:tr>
      <w:tr w:rsidR="00634089" w14:paraId="35D361ED" w14:textId="77777777" w:rsidTr="00386C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tcBorders>
              <w:top w:val="nil"/>
              <w:left w:val="nil"/>
              <w:bottom w:val="nil"/>
              <w:right w:val="nil"/>
            </w:tcBorders>
          </w:tcPr>
          <w:p w14:paraId="13E07BEA" w14:textId="010AC772" w:rsidR="00634089" w:rsidRDefault="00634089">
            <w:pPr>
              <w:pStyle w:val="WDTable"/>
              <w:rPr>
                <w:rFonts w:cs="Segoe UI"/>
                <w:noProof/>
              </w:rPr>
            </w:pPr>
            <w:r>
              <w:rPr>
                <w:rFonts w:cs="Segoe UI"/>
                <w:noProof/>
              </w:rPr>
              <w:t xml:space="preserve">Shift of non-deforestation-free exports to other markets </w:t>
            </w:r>
            <w:r w:rsidR="00523819">
              <w:rPr>
                <w:rFonts w:cs="Segoe UI"/>
                <w:noProof/>
              </w:rPr>
              <w:t xml:space="preserve">outside the EU </w:t>
            </w:r>
            <w:r>
              <w:rPr>
                <w:rFonts w:cs="Segoe UI"/>
                <w:noProof/>
              </w:rPr>
              <w:t>with laxer regulation, to avoid the burden of the measures.</w:t>
            </w:r>
          </w:p>
        </w:tc>
        <w:tc>
          <w:tcPr>
            <w:tcW w:w="1949" w:type="pct"/>
            <w:tcBorders>
              <w:top w:val="nil"/>
              <w:left w:val="nil"/>
              <w:bottom w:val="nil"/>
              <w:right w:val="nil"/>
            </w:tcBorders>
          </w:tcPr>
          <w:p w14:paraId="5B4C1D8E" w14:textId="77777777" w:rsidR="00301EA3" w:rsidRPr="00386C2D" w:rsidRDefault="00301EA3" w:rsidP="00362EF8">
            <w:pPr>
              <w:pStyle w:val="WDTable"/>
              <w:cnfStyle w:val="000000010000" w:firstRow="0" w:lastRow="0" w:firstColumn="0" w:lastColumn="0" w:oddVBand="0" w:evenVBand="0" w:oddHBand="0" w:evenHBand="1" w:firstRowFirstColumn="0" w:firstRowLastColumn="0" w:lastRowFirstColumn="0" w:lastRowLastColumn="0"/>
              <w:rPr>
                <w:rFonts w:cs="Segoe UI"/>
                <w:noProof/>
              </w:rPr>
            </w:pPr>
            <w:r w:rsidRPr="00362EF8">
              <w:rPr>
                <w:rFonts w:cs="Segoe UI"/>
                <w:noProof/>
              </w:rPr>
              <w:t>Rather than fully shifting to sustainable agriculture and halt deforestation, producers may be tempted to separate their supply chain</w:t>
            </w:r>
            <w:r w:rsidRPr="00386C2D">
              <w:rPr>
                <w:rFonts w:cs="Segoe UI"/>
                <w:noProof/>
              </w:rPr>
              <w:t>s, selling deforestation-free products to the EU, while they continue to sell non-deforestation-free products to other markets. This could significantly reduce the overall impact of the EU intervention.</w:t>
            </w:r>
          </w:p>
          <w:p w14:paraId="6072F535" w14:textId="3D254EC8" w:rsidR="00634089" w:rsidRPr="00362EF8" w:rsidRDefault="00634089" w:rsidP="00362EF8">
            <w:pPr>
              <w:pStyle w:val="WDTable"/>
              <w:cnfStyle w:val="000000010000" w:firstRow="0" w:lastRow="0" w:firstColumn="0" w:lastColumn="0" w:oddVBand="0" w:evenVBand="0" w:oddHBand="0" w:evenHBand="1" w:firstRowFirstColumn="0" w:firstRowLastColumn="0" w:lastRowFirstColumn="0" w:lastRowLastColumn="0"/>
              <w:rPr>
                <w:rFonts w:cs="Segoe UI"/>
                <w:noProof/>
              </w:rPr>
            </w:pPr>
            <w:r w:rsidRPr="00706CD1">
              <w:rPr>
                <w:rFonts w:cs="Segoe UI"/>
                <w:noProof/>
              </w:rPr>
              <w:t xml:space="preserve"> </w:t>
            </w:r>
          </w:p>
          <w:p w14:paraId="3535E006" w14:textId="77777777" w:rsidR="00634089" w:rsidRDefault="00634089" w:rsidP="00634089">
            <w:pPr>
              <w:pStyle w:val="WDTable"/>
              <w:cnfStyle w:val="000000010000" w:firstRow="0" w:lastRow="0" w:firstColumn="0" w:lastColumn="0" w:oddVBand="0" w:evenVBand="0" w:oddHBand="0" w:evenHBand="1" w:firstRowFirstColumn="0" w:firstRowLastColumn="0" w:lastRowFirstColumn="0" w:lastRowLastColumn="0"/>
              <w:rPr>
                <w:rFonts w:ascii="Segoe UI" w:hAnsi="Segoe UI" w:cs="Segoe UI"/>
                <w:noProof/>
              </w:rPr>
            </w:pPr>
            <w:r>
              <w:rPr>
                <w:rFonts w:cs="Segoe UI"/>
                <w:noProof/>
              </w:rPr>
              <w:t xml:space="preserve"> </w:t>
            </w:r>
          </w:p>
          <w:p w14:paraId="25FE811F" w14:textId="03096D89" w:rsidR="00634089" w:rsidRDefault="00634089" w:rsidP="00634089">
            <w:pPr>
              <w:pStyle w:val="WDTable"/>
              <w:cnfStyle w:val="000000010000" w:firstRow="0" w:lastRow="0" w:firstColumn="0" w:lastColumn="0" w:oddVBand="0" w:evenVBand="0" w:oddHBand="0" w:evenHBand="1" w:firstRowFirstColumn="0" w:firstRowLastColumn="0" w:lastRowFirstColumn="0" w:lastRowLastColumn="0"/>
              <w:rPr>
                <w:rFonts w:cs="Segoe UI"/>
                <w:noProof/>
              </w:rPr>
            </w:pPr>
          </w:p>
        </w:tc>
        <w:tc>
          <w:tcPr>
            <w:tcW w:w="1950" w:type="pct"/>
            <w:tcBorders>
              <w:top w:val="nil"/>
              <w:left w:val="nil"/>
              <w:bottom w:val="nil"/>
              <w:right w:val="nil"/>
            </w:tcBorders>
          </w:tcPr>
          <w:p w14:paraId="4CC23BE6" w14:textId="07B88D21" w:rsidR="009D4F62" w:rsidRDefault="009D4F62" w:rsidP="00362EF8">
            <w:pPr>
              <w:cnfStyle w:val="000000010000" w:firstRow="0" w:lastRow="0" w:firstColumn="0" w:lastColumn="0" w:oddVBand="0" w:evenVBand="0" w:oddHBand="0" w:evenHBand="1" w:firstRowFirstColumn="0" w:firstRowLastColumn="0" w:lastRowFirstColumn="0" w:lastRowLastColumn="0"/>
              <w:rPr>
                <w:rFonts w:cs="Segoe UI"/>
                <w:noProof/>
              </w:rPr>
            </w:pPr>
            <w:r>
              <w:rPr>
                <w:rFonts w:cs="Segoe UI"/>
                <w:noProof/>
                <w:color w:val="000000"/>
                <w:sz w:val="16"/>
              </w:rPr>
              <w:t>The benchmarking system of the preferred policy option</w:t>
            </w:r>
            <w:r w:rsidR="00603941">
              <w:rPr>
                <w:rFonts w:cs="Segoe UI"/>
                <w:noProof/>
                <w:color w:val="000000"/>
                <w:sz w:val="16"/>
              </w:rPr>
              <w:t xml:space="preserve"> is one potential mitigation tool that tries to address this risk (see section 5.3.2.) The system is meant to </w:t>
            </w:r>
            <w:r w:rsidR="001E108F">
              <w:rPr>
                <w:rFonts w:cs="Segoe UI"/>
                <w:noProof/>
                <w:color w:val="000000"/>
                <w:sz w:val="16"/>
              </w:rPr>
              <w:t xml:space="preserve">assess </w:t>
            </w:r>
            <w:r w:rsidR="00603941">
              <w:rPr>
                <w:rFonts w:cs="Segoe UI"/>
                <w:noProof/>
                <w:color w:val="000000"/>
                <w:sz w:val="16"/>
              </w:rPr>
              <w:t xml:space="preserve">countries </w:t>
            </w:r>
            <w:r w:rsidR="001E108F">
              <w:rPr>
                <w:rFonts w:cs="Segoe UI"/>
                <w:noProof/>
                <w:color w:val="000000"/>
                <w:sz w:val="16"/>
              </w:rPr>
              <w:t xml:space="preserve">in terms of </w:t>
            </w:r>
            <w:r w:rsidR="00603941">
              <w:rPr>
                <w:rFonts w:cs="Segoe UI"/>
                <w:noProof/>
                <w:color w:val="000000"/>
                <w:sz w:val="16"/>
              </w:rPr>
              <w:t>deforestation linked to the production of the commodities covered in the scope</w:t>
            </w:r>
            <w:r w:rsidR="00A324C4">
              <w:rPr>
                <w:rFonts w:cs="Segoe UI"/>
                <w:noProof/>
                <w:color w:val="000000"/>
                <w:sz w:val="16"/>
              </w:rPr>
              <w:t xml:space="preserve">. </w:t>
            </w:r>
            <w:r w:rsidR="001E108F">
              <w:rPr>
                <w:rFonts w:cs="Segoe UI"/>
                <w:noProof/>
                <w:color w:val="000000"/>
                <w:sz w:val="16"/>
              </w:rPr>
              <w:t>As such,</w:t>
            </w:r>
            <w:r w:rsidR="006E2F1A">
              <w:rPr>
                <w:rFonts w:cs="Segoe UI"/>
                <w:noProof/>
                <w:color w:val="000000"/>
                <w:sz w:val="16"/>
              </w:rPr>
              <w:t xml:space="preserve"> it could create incentives </w:t>
            </w:r>
            <w:r w:rsidR="001E108F">
              <w:rPr>
                <w:rFonts w:cs="Segoe UI"/>
                <w:noProof/>
                <w:color w:val="000000"/>
                <w:sz w:val="16"/>
              </w:rPr>
              <w:t xml:space="preserve">for countries </w:t>
            </w:r>
            <w:r w:rsidR="006E2F1A">
              <w:rPr>
                <w:rFonts w:cs="Segoe UI"/>
                <w:noProof/>
                <w:color w:val="000000"/>
                <w:sz w:val="16"/>
              </w:rPr>
              <w:t>to curb deforestat</w:t>
            </w:r>
            <w:r w:rsidR="00300D8C">
              <w:rPr>
                <w:rFonts w:cs="Segoe UI"/>
                <w:noProof/>
                <w:color w:val="000000"/>
                <w:sz w:val="16"/>
              </w:rPr>
              <w:t xml:space="preserve">ion </w:t>
            </w:r>
            <w:r w:rsidR="006E2F1A">
              <w:rPr>
                <w:rFonts w:cs="Segoe UI"/>
                <w:noProof/>
                <w:color w:val="000000"/>
                <w:sz w:val="16"/>
              </w:rPr>
              <w:t xml:space="preserve">regardless of the final destiny of </w:t>
            </w:r>
            <w:r w:rsidR="001E108F">
              <w:rPr>
                <w:rFonts w:cs="Segoe UI"/>
                <w:noProof/>
                <w:color w:val="000000"/>
                <w:sz w:val="16"/>
              </w:rPr>
              <w:t xml:space="preserve">their </w:t>
            </w:r>
            <w:r w:rsidR="006E2F1A">
              <w:rPr>
                <w:rFonts w:cs="Segoe UI"/>
                <w:noProof/>
                <w:color w:val="000000"/>
                <w:sz w:val="16"/>
              </w:rPr>
              <w:t>production (internal, EU or other extra-EU markets.)</w:t>
            </w:r>
          </w:p>
          <w:p w14:paraId="7F8887D2" w14:textId="77777777" w:rsidR="006B1ACB" w:rsidRDefault="006B1ACB" w:rsidP="00386C2D">
            <w:pPr>
              <w:cnfStyle w:val="000000010000" w:firstRow="0" w:lastRow="0" w:firstColumn="0" w:lastColumn="0" w:oddVBand="0" w:evenVBand="0" w:oddHBand="0" w:evenHBand="1" w:firstRowFirstColumn="0" w:firstRowLastColumn="0" w:lastRowFirstColumn="0" w:lastRowLastColumn="0"/>
              <w:rPr>
                <w:rFonts w:cs="Segoe UI"/>
                <w:noProof/>
              </w:rPr>
            </w:pPr>
          </w:p>
          <w:p w14:paraId="3C7D95CF" w14:textId="48FBD0DD" w:rsidR="00634089" w:rsidRPr="006E2F1A" w:rsidRDefault="00F57D75" w:rsidP="00386C2D">
            <w:pPr>
              <w:cnfStyle w:val="000000010000" w:firstRow="0" w:lastRow="0" w:firstColumn="0" w:lastColumn="0" w:oddVBand="0" w:evenVBand="0" w:oddHBand="0" w:evenHBand="1" w:firstRowFirstColumn="0" w:firstRowLastColumn="0" w:lastRowFirstColumn="0" w:lastRowLastColumn="0"/>
              <w:rPr>
                <w:rFonts w:cs="Segoe UI"/>
                <w:noProof/>
              </w:rPr>
            </w:pPr>
            <w:r w:rsidRPr="00362EF8">
              <w:rPr>
                <w:rFonts w:cs="Segoe UI"/>
                <w:noProof/>
                <w:color w:val="000000"/>
                <w:sz w:val="16"/>
              </w:rPr>
              <w:t>This type of risk is higher in those commodities where EU market share is lower (see trade impacts on section</w:t>
            </w:r>
            <w:r w:rsidRPr="00386C2D">
              <w:rPr>
                <w:rFonts w:cs="Segoe UI"/>
                <w:noProof/>
                <w:color w:val="000000"/>
                <w:sz w:val="16"/>
              </w:rPr>
              <w:t xml:space="preserve"> 6.1.2.) For instance, for cocoa and coffee, the EU is such a substantial global buyer that </w:t>
            </w:r>
            <w:r w:rsidR="009D4F62" w:rsidRPr="00386C2D">
              <w:rPr>
                <w:rFonts w:cs="Segoe UI"/>
                <w:noProof/>
                <w:color w:val="000000"/>
                <w:sz w:val="16"/>
              </w:rPr>
              <w:t>the effect of potential leakage is less likely to meaningfully undermine the overall impact of the EU intervention</w:t>
            </w:r>
            <w:r w:rsidR="00634089" w:rsidRPr="00386C2D">
              <w:rPr>
                <w:rFonts w:cs="Segoe UI"/>
                <w:noProof/>
                <w:color w:val="000000"/>
                <w:sz w:val="16"/>
              </w:rPr>
              <w:t xml:space="preserve">. </w:t>
            </w:r>
          </w:p>
          <w:p w14:paraId="38E9001D" w14:textId="77777777" w:rsidR="00634089" w:rsidRDefault="00634089" w:rsidP="00634089">
            <w:pPr>
              <w:pStyle w:val="WDTable"/>
              <w:cnfStyle w:val="000000010000" w:firstRow="0" w:lastRow="0" w:firstColumn="0" w:lastColumn="0" w:oddVBand="0" w:evenVBand="0" w:oddHBand="0" w:evenHBand="1" w:firstRowFirstColumn="0" w:firstRowLastColumn="0" w:lastRowFirstColumn="0" w:lastRowLastColumn="0"/>
              <w:rPr>
                <w:rFonts w:cs="Segoe UI"/>
                <w:noProof/>
                <w:sz w:val="15"/>
                <w:szCs w:val="15"/>
              </w:rPr>
            </w:pPr>
          </w:p>
          <w:p w14:paraId="23A01BC1" w14:textId="49CF7407" w:rsidR="00634089" w:rsidRDefault="00300D8C">
            <w:pPr>
              <w:pStyle w:val="WDTable"/>
              <w:cnfStyle w:val="000000010000" w:firstRow="0" w:lastRow="0" w:firstColumn="0" w:lastColumn="0" w:oddVBand="0" w:evenVBand="0" w:oddHBand="0" w:evenHBand="1" w:firstRowFirstColumn="0" w:firstRowLastColumn="0" w:lastRowFirstColumn="0" w:lastRowLastColumn="0"/>
              <w:rPr>
                <w:rFonts w:cs="Segoe UI"/>
                <w:noProof/>
              </w:rPr>
            </w:pPr>
            <w:r w:rsidRPr="000D2C2D">
              <w:rPr>
                <w:rFonts w:cs="Segoe UI"/>
                <w:noProof/>
              </w:rPr>
              <w:t xml:space="preserve">The additional measures identified in the </w:t>
            </w:r>
            <w:r w:rsidR="00D761F9" w:rsidRPr="000D2C2D">
              <w:rPr>
                <w:rFonts w:cs="Segoe UI"/>
                <w:noProof/>
              </w:rPr>
              <w:t xml:space="preserve">2019 </w:t>
            </w:r>
            <w:r w:rsidRPr="000D2C2D">
              <w:rPr>
                <w:rFonts w:cs="Segoe UI"/>
                <w:noProof/>
              </w:rPr>
              <w:t>Communication should also help tackle this</w:t>
            </w:r>
            <w:r>
              <w:rPr>
                <w:rFonts w:cs="Segoe UI"/>
                <w:noProof/>
              </w:rPr>
              <w:t xml:space="preserve"> kind of leakage</w:t>
            </w:r>
            <w:r w:rsidRPr="00300D8C">
              <w:rPr>
                <w:rFonts w:cs="Segoe UI"/>
                <w:noProof/>
              </w:rPr>
              <w:t>, in particular</w:t>
            </w:r>
            <w:r>
              <w:rPr>
                <w:rFonts w:cs="Segoe UI"/>
                <w:noProof/>
              </w:rPr>
              <w:t xml:space="preserve"> by </w:t>
            </w:r>
            <w:r w:rsidRPr="00300D8C">
              <w:rPr>
                <w:rFonts w:cs="Segoe UI"/>
                <w:noProof/>
              </w:rPr>
              <w:t>working in partnership with producer countries</w:t>
            </w:r>
            <w:r>
              <w:rPr>
                <w:rFonts w:cs="Segoe UI"/>
                <w:noProof/>
              </w:rPr>
              <w:t xml:space="preserve"> offer</w:t>
            </w:r>
            <w:r w:rsidR="009A4D1A">
              <w:rPr>
                <w:rFonts w:cs="Segoe UI"/>
                <w:noProof/>
              </w:rPr>
              <w:t>ing</w:t>
            </w:r>
            <w:r w:rsidRPr="00300D8C">
              <w:rPr>
                <w:rFonts w:cs="Segoe UI"/>
                <w:noProof/>
              </w:rPr>
              <w:t xml:space="preserve"> adequate packages of support</w:t>
            </w:r>
            <w:r>
              <w:rPr>
                <w:rFonts w:cs="Segoe UI"/>
                <w:noProof/>
              </w:rPr>
              <w:t xml:space="preserve">, </w:t>
            </w:r>
            <w:r w:rsidRPr="00300D8C">
              <w:rPr>
                <w:rFonts w:cs="Segoe UI"/>
                <w:noProof/>
              </w:rPr>
              <w:t xml:space="preserve">and </w:t>
            </w:r>
            <w:r>
              <w:rPr>
                <w:rFonts w:cs="Segoe UI"/>
                <w:noProof/>
              </w:rPr>
              <w:t xml:space="preserve">by </w:t>
            </w:r>
            <w:r w:rsidRPr="00300D8C">
              <w:rPr>
                <w:rFonts w:cs="Segoe UI"/>
                <w:noProof/>
              </w:rPr>
              <w:t>strengthening international cooperation with</w:t>
            </w:r>
            <w:r>
              <w:rPr>
                <w:rFonts w:cs="Segoe UI"/>
                <w:noProof/>
              </w:rPr>
              <w:t xml:space="preserve"> other major consumer countries</w:t>
            </w:r>
            <w:r w:rsidRPr="00300D8C">
              <w:rPr>
                <w:rFonts w:cs="Segoe UI"/>
                <w:noProof/>
              </w:rPr>
              <w:t xml:space="preserve"> to ensure adoption of similar measures to </w:t>
            </w:r>
            <w:r>
              <w:rPr>
                <w:rFonts w:cs="Segoe UI"/>
                <w:noProof/>
              </w:rPr>
              <w:t>curb</w:t>
            </w:r>
            <w:r w:rsidRPr="00300D8C">
              <w:rPr>
                <w:rFonts w:cs="Segoe UI"/>
                <w:noProof/>
              </w:rPr>
              <w:t xml:space="preserve"> deforestation and forest degradation.</w:t>
            </w:r>
          </w:p>
          <w:p w14:paraId="10B64C69" w14:textId="77777777" w:rsidR="006B1ACB" w:rsidRDefault="006B1ACB">
            <w:pPr>
              <w:pStyle w:val="WDTable"/>
              <w:cnfStyle w:val="000000010000" w:firstRow="0" w:lastRow="0" w:firstColumn="0" w:lastColumn="0" w:oddVBand="0" w:evenVBand="0" w:oddHBand="0" w:evenHBand="1" w:firstRowFirstColumn="0" w:firstRowLastColumn="0" w:lastRowFirstColumn="0" w:lastRowLastColumn="0"/>
              <w:rPr>
                <w:rFonts w:cs="Segoe UI"/>
                <w:noProof/>
              </w:rPr>
            </w:pPr>
          </w:p>
          <w:p w14:paraId="01730D57" w14:textId="43575319" w:rsidR="006B1ACB" w:rsidRDefault="006B1ACB">
            <w:pPr>
              <w:pStyle w:val="WDTable"/>
              <w:cnfStyle w:val="000000010000" w:firstRow="0" w:lastRow="0" w:firstColumn="0" w:lastColumn="0" w:oddVBand="0" w:evenVBand="0" w:oddHBand="0" w:evenHBand="1" w:firstRowFirstColumn="0" w:firstRowLastColumn="0" w:lastRowFirstColumn="0" w:lastRowLastColumn="0"/>
              <w:rPr>
                <w:rFonts w:cs="Segoe UI"/>
                <w:noProof/>
                <w:szCs w:val="16"/>
              </w:rPr>
            </w:pPr>
            <w:r>
              <w:rPr>
                <w:rFonts w:cs="Segoe UI"/>
                <w:noProof/>
                <w:szCs w:val="16"/>
              </w:rPr>
              <w:t>Also relevant to address this type of risk is a potential Brussels effect</w:t>
            </w:r>
            <w:r w:rsidR="001355F1">
              <w:rPr>
                <w:rFonts w:cs="Segoe UI"/>
                <w:noProof/>
                <w:szCs w:val="16"/>
              </w:rPr>
              <w:t>, as mentioned above</w:t>
            </w:r>
            <w:r>
              <w:rPr>
                <w:rFonts w:cs="Segoe UI"/>
                <w:noProof/>
                <w:szCs w:val="16"/>
              </w:rPr>
              <w:t>.</w:t>
            </w:r>
          </w:p>
        </w:tc>
      </w:tr>
      <w:tr w:rsidR="00634089" w14:paraId="7D04496E" w14:textId="77777777" w:rsidTr="00386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tcBorders>
              <w:top w:val="nil"/>
              <w:bottom w:val="nil"/>
            </w:tcBorders>
          </w:tcPr>
          <w:p w14:paraId="09609818" w14:textId="701FE770" w:rsidR="00634089" w:rsidRDefault="00634089" w:rsidP="00634089">
            <w:pPr>
              <w:pStyle w:val="WDTable"/>
              <w:rPr>
                <w:rFonts w:cs="Segoe UI"/>
                <w:noProof/>
              </w:rPr>
            </w:pPr>
            <w:r>
              <w:rPr>
                <w:rFonts w:cs="Segoe UI"/>
                <w:noProof/>
              </w:rPr>
              <w:t>Shift to other ecosystems not covered under the ‘deforestation-free’ definition</w:t>
            </w:r>
          </w:p>
        </w:tc>
        <w:tc>
          <w:tcPr>
            <w:tcW w:w="1949" w:type="pct"/>
            <w:tcBorders>
              <w:top w:val="nil"/>
              <w:bottom w:val="nil"/>
            </w:tcBorders>
          </w:tcPr>
          <w:p w14:paraId="41250A8A" w14:textId="265538C5" w:rsidR="00634089" w:rsidRDefault="00634089" w:rsidP="00ED64FE">
            <w:pPr>
              <w:pStyle w:val="WDTable"/>
              <w:cnfStyle w:val="000000100000" w:firstRow="0" w:lastRow="0" w:firstColumn="0" w:lastColumn="0" w:oddVBand="0" w:evenVBand="0" w:oddHBand="1" w:evenHBand="0" w:firstRowFirstColumn="0" w:firstRowLastColumn="0" w:lastRowFirstColumn="0" w:lastRowLastColumn="0"/>
              <w:rPr>
                <w:rFonts w:cs="Segoe UI"/>
                <w:noProof/>
                <w:szCs w:val="16"/>
              </w:rPr>
            </w:pPr>
            <w:r>
              <w:rPr>
                <w:rFonts w:cs="Segoe UI"/>
                <w:noProof/>
              </w:rPr>
              <w:t xml:space="preserve">Expansion of agricultural production into natural non-forest ecosystem with high nature values, like natural savannah, grassland or wetland ecosystems, which are not under the scope of the </w:t>
            </w:r>
            <w:r w:rsidR="001355F1">
              <w:rPr>
                <w:rFonts w:cs="Segoe UI"/>
                <w:noProof/>
              </w:rPr>
              <w:t>EU intervention</w:t>
            </w:r>
            <w:r>
              <w:rPr>
                <w:rFonts w:cs="Segoe UI"/>
                <w:noProof/>
              </w:rPr>
              <w:t xml:space="preserve">. </w:t>
            </w:r>
            <w:r w:rsidR="001355F1" w:rsidRPr="00450D8D">
              <w:rPr>
                <w:rFonts w:cs="Segoe UI"/>
                <w:noProof/>
              </w:rPr>
              <w:t>S</w:t>
            </w:r>
            <w:r w:rsidRPr="00450D8D">
              <w:rPr>
                <w:rFonts w:cs="Segoe UI"/>
                <w:noProof/>
              </w:rPr>
              <w:t>tricter rules aiming to protect Amazon forest has already been shown to accelerate conversion of Cerrado savannah and Pantanal wetlands for agricultural production</w:t>
            </w:r>
            <w:r w:rsidR="00450D8D">
              <w:rPr>
                <w:rFonts w:cs="Segoe UI"/>
                <w:noProof/>
              </w:rPr>
              <w:t>.</w:t>
            </w:r>
          </w:p>
        </w:tc>
        <w:tc>
          <w:tcPr>
            <w:tcW w:w="1950" w:type="pct"/>
            <w:tcBorders>
              <w:top w:val="nil"/>
              <w:bottom w:val="nil"/>
            </w:tcBorders>
          </w:tcPr>
          <w:p w14:paraId="23CD0B4E" w14:textId="77777777" w:rsidR="009A4D1A" w:rsidRDefault="009A4D1A" w:rsidP="00634089">
            <w:pPr>
              <w:pStyle w:val="WDTable"/>
              <w:cnfStyle w:val="000000100000" w:firstRow="0" w:lastRow="0" w:firstColumn="0" w:lastColumn="0" w:oddVBand="0" w:evenVBand="0" w:oddHBand="1" w:evenHBand="0" w:firstRowFirstColumn="0" w:firstRowLastColumn="0" w:lastRowFirstColumn="0" w:lastRowLastColumn="0"/>
              <w:rPr>
                <w:rFonts w:cs="Segoe UI"/>
                <w:noProof/>
              </w:rPr>
            </w:pPr>
            <w:r>
              <w:rPr>
                <w:rFonts w:cs="Segoe UI"/>
                <w:noProof/>
              </w:rPr>
              <w:t xml:space="preserve">The EU intervention contemplated in this impact assessment focuses on the protection of forests. Enlarging the coverage to other ecosystems would jeopardise implementability by making monitoring of deforestation and forest degradation criteria more difficult. Also, the policy options are based on an assessment of the relevance of forest from the perspective of climate change and biodiversity loss. A different assessment of different ecosystems would entail a different policy intervention proposal. </w:t>
            </w:r>
          </w:p>
          <w:p w14:paraId="647F2456" w14:textId="77777777" w:rsidR="009A4D1A" w:rsidRDefault="009A4D1A" w:rsidP="00634089">
            <w:pPr>
              <w:pStyle w:val="WDTable"/>
              <w:cnfStyle w:val="000000100000" w:firstRow="0" w:lastRow="0" w:firstColumn="0" w:lastColumn="0" w:oddVBand="0" w:evenVBand="0" w:oddHBand="1" w:evenHBand="0" w:firstRowFirstColumn="0" w:firstRowLastColumn="0" w:lastRowFirstColumn="0" w:lastRowLastColumn="0"/>
              <w:rPr>
                <w:rFonts w:cs="Segoe UI"/>
                <w:noProof/>
              </w:rPr>
            </w:pPr>
          </w:p>
          <w:p w14:paraId="0F9C5F64" w14:textId="36A319AB" w:rsidR="00634089" w:rsidRPr="00362EF8" w:rsidRDefault="00C07699">
            <w:pPr>
              <w:pStyle w:val="WDTable"/>
              <w:cnfStyle w:val="000000100000" w:firstRow="0" w:lastRow="0" w:firstColumn="0" w:lastColumn="0" w:oddVBand="0" w:evenVBand="0" w:oddHBand="1" w:evenHBand="0" w:firstRowFirstColumn="0" w:firstRowLastColumn="0" w:lastRowFirstColumn="0" w:lastRowLastColumn="0"/>
              <w:rPr>
                <w:rFonts w:cs="Segoe UI"/>
                <w:b/>
                <w:noProof/>
              </w:rPr>
            </w:pPr>
            <w:r>
              <w:rPr>
                <w:rFonts w:cs="Segoe UI"/>
                <w:noProof/>
              </w:rPr>
              <w:t>C</w:t>
            </w:r>
            <w:r w:rsidRPr="00C07699">
              <w:rPr>
                <w:rFonts w:cs="Segoe UI"/>
                <w:noProof/>
              </w:rPr>
              <w:t xml:space="preserve">ompanies may be obliged to conduct horizontal </w:t>
            </w:r>
            <w:r w:rsidRPr="00C07699" w:rsidDel="003844A5">
              <w:rPr>
                <w:rFonts w:cs="Segoe UI"/>
                <w:noProof/>
              </w:rPr>
              <w:t>due diligence</w:t>
            </w:r>
            <w:r w:rsidR="00EC11FD">
              <w:rPr>
                <w:rFonts w:cs="Segoe UI"/>
                <w:noProof/>
              </w:rPr>
              <w:t xml:space="preserve"> </w:t>
            </w:r>
            <w:r w:rsidRPr="00C07699">
              <w:rPr>
                <w:rFonts w:cs="Segoe UI"/>
                <w:noProof/>
              </w:rPr>
              <w:t xml:space="preserve"> duties due to the initiative on Sustainable Corporate Governance (see EU context on section 1.1)</w:t>
            </w:r>
            <w:r w:rsidR="005700F8">
              <w:rPr>
                <w:rFonts w:cs="Segoe UI"/>
                <w:noProof/>
              </w:rPr>
              <w:t xml:space="preserve">, meaning impacts on ecosystems other than forests are </w:t>
            </w:r>
            <w:r w:rsidR="009A4D1A">
              <w:rPr>
                <w:rFonts w:cs="Segoe UI"/>
                <w:noProof/>
              </w:rPr>
              <w:t>expected</w:t>
            </w:r>
            <w:r w:rsidR="005700F8">
              <w:rPr>
                <w:rFonts w:cs="Segoe UI"/>
                <w:noProof/>
              </w:rPr>
              <w:t xml:space="preserve"> to be covered by that proposal.</w:t>
            </w:r>
          </w:p>
        </w:tc>
      </w:tr>
      <w:tr w:rsidR="005700F8" w14:paraId="7B9D1301" w14:textId="77777777" w:rsidTr="006340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tcBorders>
              <w:top w:val="nil"/>
              <w:bottom w:val="single" w:sz="2" w:space="0" w:color="000000" w:themeColor="text1"/>
            </w:tcBorders>
          </w:tcPr>
          <w:p w14:paraId="792A346B" w14:textId="18D59C0E" w:rsidR="005700F8" w:rsidRDefault="005700F8" w:rsidP="007A1B9B">
            <w:pPr>
              <w:pStyle w:val="WDTable"/>
              <w:rPr>
                <w:rFonts w:cs="Segoe UI"/>
                <w:noProof/>
              </w:rPr>
            </w:pPr>
            <w:r>
              <w:rPr>
                <w:rFonts w:cs="Segoe UI"/>
                <w:noProof/>
              </w:rPr>
              <w:t>Indirect land use change</w:t>
            </w:r>
          </w:p>
        </w:tc>
        <w:tc>
          <w:tcPr>
            <w:tcW w:w="1949" w:type="pct"/>
            <w:tcBorders>
              <w:top w:val="nil"/>
              <w:bottom w:val="single" w:sz="2" w:space="0" w:color="000000" w:themeColor="text1"/>
            </w:tcBorders>
          </w:tcPr>
          <w:p w14:paraId="6329ED85" w14:textId="30828DFF" w:rsidR="005700F8" w:rsidRDefault="005700F8" w:rsidP="007A1B9B">
            <w:pPr>
              <w:pStyle w:val="WDTable"/>
              <w:cnfStyle w:val="000000010000" w:firstRow="0" w:lastRow="0" w:firstColumn="0" w:lastColumn="0" w:oddVBand="0" w:evenVBand="0" w:oddHBand="0" w:evenHBand="1" w:firstRowFirstColumn="0" w:firstRowLastColumn="0" w:lastRowFirstColumn="0" w:lastRowLastColumn="0"/>
              <w:rPr>
                <w:rFonts w:cs="Segoe UI"/>
                <w:noProof/>
              </w:rPr>
            </w:pPr>
            <w:r w:rsidRPr="005700F8">
              <w:rPr>
                <w:rFonts w:cs="Segoe UI"/>
                <w:noProof/>
              </w:rPr>
              <w:t xml:space="preserve">When </w:t>
            </w:r>
            <w:r>
              <w:rPr>
                <w:rFonts w:cs="Segoe UI"/>
                <w:noProof/>
              </w:rPr>
              <w:t>commodities</w:t>
            </w:r>
            <w:r w:rsidRPr="005700F8">
              <w:rPr>
                <w:rFonts w:cs="Segoe UI"/>
                <w:noProof/>
              </w:rPr>
              <w:t xml:space="preserve"> </w:t>
            </w:r>
            <w:r>
              <w:rPr>
                <w:rFonts w:cs="Segoe UI"/>
                <w:noProof/>
              </w:rPr>
              <w:t xml:space="preserve">covered in the scope replace other crops </w:t>
            </w:r>
            <w:r w:rsidRPr="005700F8">
              <w:rPr>
                <w:rFonts w:cs="Segoe UI"/>
                <w:noProof/>
              </w:rPr>
              <w:t xml:space="preserve">on existing agricultural land, </w:t>
            </w:r>
            <w:r>
              <w:rPr>
                <w:rFonts w:cs="Segoe UI"/>
                <w:noProof/>
              </w:rPr>
              <w:t xml:space="preserve">this </w:t>
            </w:r>
            <w:r w:rsidRPr="005700F8">
              <w:rPr>
                <w:rFonts w:cs="Segoe UI"/>
                <w:noProof/>
              </w:rPr>
              <w:t xml:space="preserve">may lead to </w:t>
            </w:r>
            <w:r>
              <w:rPr>
                <w:rFonts w:cs="Segoe UI"/>
                <w:noProof/>
              </w:rPr>
              <w:t>producers engaging on deforestation or forest degradation to maintain production of crops and commodities not covered by the EU intervention. This problem is abundantly documented in the field of biofuels</w:t>
            </w:r>
            <w:r>
              <w:rPr>
                <w:rStyle w:val="FootnoteReference"/>
                <w:rFonts w:cs="Segoe UI"/>
                <w:noProof/>
              </w:rPr>
              <w:footnoteReference w:id="194"/>
            </w:r>
            <w:r>
              <w:rPr>
                <w:rFonts w:cs="Segoe UI"/>
                <w:noProof/>
              </w:rPr>
              <w:t>.</w:t>
            </w:r>
          </w:p>
        </w:tc>
        <w:tc>
          <w:tcPr>
            <w:tcW w:w="1950" w:type="pct"/>
            <w:tcBorders>
              <w:top w:val="nil"/>
              <w:bottom w:val="single" w:sz="2" w:space="0" w:color="000000" w:themeColor="text1"/>
            </w:tcBorders>
          </w:tcPr>
          <w:p w14:paraId="5A8A02DF" w14:textId="410A8FC4" w:rsidR="005700F8" w:rsidRDefault="00CA3809" w:rsidP="00634089">
            <w:pPr>
              <w:pStyle w:val="WDTable"/>
              <w:cnfStyle w:val="000000010000" w:firstRow="0" w:lastRow="0" w:firstColumn="0" w:lastColumn="0" w:oddVBand="0" w:evenVBand="0" w:oddHBand="0" w:evenHBand="1" w:firstRowFirstColumn="0" w:firstRowLastColumn="0" w:lastRowFirstColumn="0" w:lastRowLastColumn="0"/>
              <w:rPr>
                <w:rFonts w:cs="Segoe UI"/>
                <w:noProof/>
              </w:rPr>
            </w:pPr>
            <w:r>
              <w:rPr>
                <w:rFonts w:cs="Segoe UI"/>
                <w:noProof/>
              </w:rPr>
              <w:t xml:space="preserve">Potential mitigation tools to this risk have already been explained above: a) The progressive product scope that is regularly updated; b) </w:t>
            </w:r>
            <w:r w:rsidR="00051DBF">
              <w:rPr>
                <w:rFonts w:cs="Segoe UI"/>
                <w:noProof/>
              </w:rPr>
              <w:t xml:space="preserve">working in partnership with producing countries; c) </w:t>
            </w:r>
            <w:r>
              <w:rPr>
                <w:rFonts w:cs="Segoe UI"/>
                <w:noProof/>
              </w:rPr>
              <w:t xml:space="preserve">the benchmarking system; </w:t>
            </w:r>
            <w:r w:rsidR="00051DBF">
              <w:rPr>
                <w:rFonts w:cs="Segoe UI"/>
                <w:noProof/>
              </w:rPr>
              <w:t>d</w:t>
            </w:r>
            <w:r>
              <w:rPr>
                <w:rFonts w:cs="Segoe UI"/>
                <w:noProof/>
              </w:rPr>
              <w:t xml:space="preserve">) the potential Brussels effect; </w:t>
            </w:r>
            <w:r w:rsidR="00051DBF">
              <w:rPr>
                <w:rFonts w:cs="Segoe UI"/>
                <w:noProof/>
              </w:rPr>
              <w:t>e</w:t>
            </w:r>
            <w:r>
              <w:rPr>
                <w:rFonts w:cs="Segoe UI"/>
                <w:noProof/>
              </w:rPr>
              <w:t xml:space="preserve">) the broader coverage </w:t>
            </w:r>
            <w:r w:rsidR="00051DBF">
              <w:rPr>
                <w:rFonts w:cs="Segoe UI"/>
                <w:noProof/>
              </w:rPr>
              <w:t xml:space="preserve">of the </w:t>
            </w:r>
            <w:r>
              <w:rPr>
                <w:rFonts w:cs="Segoe UI"/>
                <w:noProof/>
              </w:rPr>
              <w:t>initiative on Sustainable Corporate Governance.</w:t>
            </w:r>
          </w:p>
        </w:tc>
      </w:tr>
    </w:tbl>
    <w:p w14:paraId="4A2D81A7" w14:textId="77777777" w:rsidR="00634089" w:rsidRDefault="00634089" w:rsidP="00362EF8">
      <w:pPr>
        <w:jc w:val="both"/>
        <w:rPr>
          <w:rFonts w:cs="Times New Roman"/>
          <w:noProof/>
          <w:szCs w:val="24"/>
        </w:rPr>
      </w:pPr>
    </w:p>
    <w:p w14:paraId="61474BD7" w14:textId="62131772" w:rsidR="00244E6A" w:rsidRPr="007C1494" w:rsidRDefault="00335526" w:rsidP="00335526">
      <w:pPr>
        <w:pStyle w:val="Heading2"/>
        <w:rPr>
          <w:noProof/>
        </w:rPr>
      </w:pPr>
      <w:bookmarkStart w:id="181" w:name="_Toc75542199"/>
      <w:bookmarkStart w:id="182" w:name="_Toc75543232"/>
      <w:bookmarkStart w:id="183" w:name="_Toc84591921"/>
      <w:r w:rsidRPr="00335526">
        <w:t>6.2</w:t>
      </w:r>
      <w:r w:rsidRPr="00335526">
        <w:tab/>
      </w:r>
      <w:r w:rsidR="00C73308" w:rsidRPr="007C1494">
        <w:rPr>
          <w:noProof/>
        </w:rPr>
        <w:t xml:space="preserve">Policy </w:t>
      </w:r>
      <w:r w:rsidR="0004391D" w:rsidRPr="007C1494">
        <w:rPr>
          <w:noProof/>
        </w:rPr>
        <w:t xml:space="preserve">Option 1 – </w:t>
      </w:r>
      <w:bookmarkEnd w:id="174"/>
      <w:bookmarkEnd w:id="175"/>
      <w:r w:rsidR="00E44E68" w:rsidRPr="007C1494">
        <w:rPr>
          <w:noProof/>
        </w:rPr>
        <w:t>Mandatory due diligence system, relying on a deforestation free definition</w:t>
      </w:r>
      <w:bookmarkEnd w:id="181"/>
      <w:bookmarkEnd w:id="182"/>
      <w:bookmarkEnd w:id="183"/>
      <w:r w:rsidR="00C73308" w:rsidRPr="007C1494" w:rsidDel="0004391D">
        <w:rPr>
          <w:noProof/>
        </w:rPr>
        <w:t xml:space="preserve"> </w:t>
      </w:r>
      <w:bookmarkEnd w:id="176"/>
    </w:p>
    <w:p w14:paraId="3CC0525F" w14:textId="3AA4FDEE" w:rsidR="00F74EEB" w:rsidRPr="007C1494" w:rsidRDefault="00F74EEB" w:rsidP="30CC34C4">
      <w:pPr>
        <w:jc w:val="both"/>
        <w:rPr>
          <w:rFonts w:cs="Times New Roman"/>
          <w:b/>
          <w:noProof/>
          <w:szCs w:val="24"/>
        </w:rPr>
      </w:pPr>
      <w:r w:rsidRPr="007C1494">
        <w:rPr>
          <w:rFonts w:cs="Times New Roman"/>
          <w:b/>
          <w:noProof/>
          <w:szCs w:val="24"/>
        </w:rPr>
        <w:t>Benefits</w:t>
      </w:r>
    </w:p>
    <w:p w14:paraId="710F6FBF" w14:textId="528F3CCB" w:rsidR="005020F6" w:rsidRDefault="005020F6" w:rsidP="005020F6">
      <w:pPr>
        <w:jc w:val="both"/>
        <w:rPr>
          <w:noProof/>
          <w:szCs w:val="24"/>
        </w:rPr>
      </w:pPr>
      <w:r>
        <w:rPr>
          <w:rFonts w:cs="Times New Roman"/>
          <w:noProof/>
          <w:szCs w:val="24"/>
        </w:rPr>
        <w:t xml:space="preserve">Due to the similarities and improvements with regards to the EUTR, option 1 is expected to provide benefits at the middle-low end above the minimum described in section 6.1.1, that is at least 29% of deforestation driven by consumption and production of the six commodities included in the scope by 2030, and therefore a minimum of 71,920 hectares of forest less affected by EU-driven deforestation and forest degradation </w:t>
      </w:r>
      <w:r w:rsidRPr="007C1494">
        <w:rPr>
          <w:rFonts w:cs="Times New Roman"/>
          <w:noProof/>
          <w:szCs w:val="24"/>
        </w:rPr>
        <w:t>starting in 2030</w:t>
      </w:r>
      <w:r w:rsidRPr="007C1494">
        <w:rPr>
          <w:rStyle w:val="FootnoteReference"/>
          <w:noProof/>
        </w:rPr>
        <w:footnoteReference w:id="195"/>
      </w:r>
      <w:r w:rsidRPr="007C1494">
        <w:rPr>
          <w:rFonts w:cs="Times New Roman"/>
          <w:noProof/>
          <w:szCs w:val="24"/>
        </w:rPr>
        <w:t xml:space="preserve">. </w:t>
      </w:r>
      <w:r>
        <w:rPr>
          <w:rFonts w:cs="Times New Roman"/>
          <w:noProof/>
          <w:szCs w:val="24"/>
        </w:rPr>
        <w:t xml:space="preserve">This would also mean a minimum of </w:t>
      </w:r>
      <w:r w:rsidRPr="00C03274">
        <w:rPr>
          <w:rFonts w:cs="Times New Roman"/>
          <w:noProof/>
          <w:szCs w:val="24"/>
        </w:rPr>
        <w:t>31.9</w:t>
      </w:r>
      <w:r>
        <w:rPr>
          <w:rFonts w:cs="Times New Roman"/>
          <w:noProof/>
          <w:szCs w:val="24"/>
        </w:rPr>
        <w:t xml:space="preserve"> million metric tons of carbon fewer emitted to the atmosphere every year due to EU consumption and production of the relevant commodities, which could be translated into economic savings of at least 3.2 billion EUR annually.</w:t>
      </w:r>
    </w:p>
    <w:p w14:paraId="042154BC" w14:textId="0C8B9D5D" w:rsidR="00C03274" w:rsidRDefault="00546D02" w:rsidP="30CC34C4">
      <w:pPr>
        <w:jc w:val="both"/>
        <w:rPr>
          <w:rFonts w:cs="Times New Roman"/>
          <w:noProof/>
          <w:szCs w:val="24"/>
        </w:rPr>
      </w:pPr>
      <w:r>
        <w:rPr>
          <w:rFonts w:cs="Times New Roman"/>
          <w:noProof/>
          <w:szCs w:val="24"/>
        </w:rPr>
        <w:t>Option 1 would also contribute to preserving biodiversity by reducing activities that are proven to threat</w:t>
      </w:r>
      <w:r w:rsidR="00A96B6B">
        <w:rPr>
          <w:rFonts w:cs="Times New Roman"/>
          <w:noProof/>
          <w:szCs w:val="24"/>
        </w:rPr>
        <w:t>en</w:t>
      </w:r>
      <w:r>
        <w:rPr>
          <w:rFonts w:cs="Times New Roman"/>
          <w:noProof/>
          <w:szCs w:val="24"/>
        </w:rPr>
        <w:t xml:space="preserve"> the survival of numerous species.</w:t>
      </w:r>
    </w:p>
    <w:p w14:paraId="0EBE456C" w14:textId="13DF1B8F" w:rsidR="000016B0" w:rsidRDefault="000016B0" w:rsidP="000016B0">
      <w:pPr>
        <w:jc w:val="both"/>
        <w:rPr>
          <w:rFonts w:cs="Times New Roman"/>
          <w:noProof/>
          <w:szCs w:val="24"/>
        </w:rPr>
      </w:pPr>
      <w:r>
        <w:rPr>
          <w:rFonts w:cs="Times New Roman"/>
          <w:noProof/>
          <w:szCs w:val="24"/>
        </w:rPr>
        <w:t xml:space="preserve">Option 1 </w:t>
      </w:r>
      <w:r w:rsidR="002B038B">
        <w:rPr>
          <w:rFonts w:cs="Times New Roman"/>
          <w:noProof/>
          <w:szCs w:val="24"/>
        </w:rPr>
        <w:t>is also expected to contribute to achieving the specific objectives of the EU intervention, namely minimising the</w:t>
      </w:r>
      <w:r w:rsidR="002B038B" w:rsidRPr="000016B0">
        <w:rPr>
          <w:rFonts w:cs="Times New Roman"/>
          <w:noProof/>
          <w:szCs w:val="24"/>
        </w:rPr>
        <w:t xml:space="preserve"> consumption of products coming from supply chains associated with defo</w:t>
      </w:r>
      <w:r w:rsidR="002B038B">
        <w:rPr>
          <w:rFonts w:cs="Times New Roman"/>
          <w:noProof/>
          <w:szCs w:val="24"/>
        </w:rPr>
        <w:t>restation or forest degradation, and increasing</w:t>
      </w:r>
      <w:r w:rsidR="002B038B" w:rsidRPr="000016B0">
        <w:rPr>
          <w:rFonts w:cs="Times New Roman"/>
          <w:noProof/>
          <w:szCs w:val="24"/>
        </w:rPr>
        <w:t xml:space="preserve"> EU demand for and tr</w:t>
      </w:r>
      <w:r w:rsidR="002B038B">
        <w:rPr>
          <w:rFonts w:cs="Times New Roman"/>
          <w:noProof/>
          <w:szCs w:val="24"/>
        </w:rPr>
        <w:t>ade in legal and ‘deforestation-</w:t>
      </w:r>
      <w:r w:rsidR="002B038B" w:rsidRPr="000016B0">
        <w:rPr>
          <w:rFonts w:cs="Times New Roman"/>
          <w:noProof/>
          <w:szCs w:val="24"/>
        </w:rPr>
        <w:t>free’ commodities and products</w:t>
      </w:r>
      <w:r w:rsidR="002B038B">
        <w:rPr>
          <w:rFonts w:cs="Times New Roman"/>
          <w:noProof/>
          <w:szCs w:val="24"/>
        </w:rPr>
        <w:t xml:space="preserve">. It would also contribute to </w:t>
      </w:r>
      <w:r w:rsidR="002B038B" w:rsidRPr="00A852D0">
        <w:rPr>
          <w:rFonts w:cs="Times New Roman"/>
          <w:noProof/>
          <w:szCs w:val="24"/>
        </w:rPr>
        <w:t>creating a level playing field for companies operating in the EU market</w:t>
      </w:r>
      <w:r w:rsidR="00A56F48" w:rsidRPr="00A56F48">
        <w:rPr>
          <w:rFonts w:cs="Times New Roman"/>
          <w:noProof/>
          <w:szCs w:val="24"/>
        </w:rPr>
        <w:t xml:space="preserve"> </w:t>
      </w:r>
      <w:r w:rsidR="00A56F48">
        <w:rPr>
          <w:rFonts w:cs="Times New Roman"/>
          <w:noProof/>
          <w:szCs w:val="24"/>
        </w:rPr>
        <w:t>and benefit ‘lower-risk’ third countries, who are likely to experience increased EU demand for their commodities</w:t>
      </w:r>
      <w:r w:rsidR="002B038B">
        <w:rPr>
          <w:rFonts w:cs="Times New Roman"/>
          <w:noProof/>
          <w:szCs w:val="24"/>
        </w:rPr>
        <w:t>.</w:t>
      </w:r>
      <w:r>
        <w:rPr>
          <w:rFonts w:cs="Times New Roman"/>
          <w:noProof/>
          <w:szCs w:val="24"/>
        </w:rPr>
        <w:t xml:space="preserve"> </w:t>
      </w:r>
    </w:p>
    <w:p w14:paraId="327D2410" w14:textId="066C4BA8" w:rsidR="00F74EEB" w:rsidRPr="007C1494" w:rsidRDefault="00F74EEB" w:rsidP="30CC34C4">
      <w:pPr>
        <w:jc w:val="both"/>
        <w:rPr>
          <w:rFonts w:cs="Times New Roman"/>
          <w:b/>
          <w:noProof/>
          <w:szCs w:val="24"/>
        </w:rPr>
      </w:pPr>
      <w:r w:rsidRPr="007C1494">
        <w:rPr>
          <w:rFonts w:cs="Times New Roman"/>
          <w:b/>
          <w:noProof/>
          <w:szCs w:val="24"/>
        </w:rPr>
        <w:t>Costs</w:t>
      </w:r>
    </w:p>
    <w:p w14:paraId="69F36908" w14:textId="6C4EABDC" w:rsidR="00391A87" w:rsidRPr="007C1494" w:rsidRDefault="00764C4E" w:rsidP="30CC34C4">
      <w:pPr>
        <w:jc w:val="both"/>
        <w:rPr>
          <w:rFonts w:cs="Times New Roman"/>
          <w:noProof/>
          <w:szCs w:val="24"/>
        </w:rPr>
      </w:pPr>
      <w:r w:rsidRPr="007C1494">
        <w:rPr>
          <w:rFonts w:cs="Times New Roman"/>
          <w:noProof/>
          <w:szCs w:val="24"/>
        </w:rPr>
        <w:t>A</w:t>
      </w:r>
      <w:r w:rsidR="00D602C9" w:rsidRPr="007C1494">
        <w:rPr>
          <w:rFonts w:cs="Times New Roman"/>
          <w:noProof/>
          <w:szCs w:val="24"/>
        </w:rPr>
        <w:t xml:space="preserve">part from the cost addressed under Section 6.1, </w:t>
      </w:r>
      <w:r w:rsidR="00243119">
        <w:rPr>
          <w:rFonts w:cs="Times New Roman"/>
          <w:noProof/>
          <w:szCs w:val="24"/>
        </w:rPr>
        <w:t>o</w:t>
      </w:r>
      <w:r w:rsidR="00D602C9" w:rsidRPr="007C1494">
        <w:rPr>
          <w:rFonts w:cs="Times New Roman"/>
          <w:noProof/>
          <w:szCs w:val="24"/>
        </w:rPr>
        <w:t xml:space="preserve">ption 1 </w:t>
      </w:r>
      <w:r w:rsidR="00391A87" w:rsidRPr="007C1494">
        <w:rPr>
          <w:rFonts w:cs="Times New Roman"/>
          <w:noProof/>
          <w:szCs w:val="24"/>
        </w:rPr>
        <w:t>will</w:t>
      </w:r>
      <w:r w:rsidR="00D602C9" w:rsidRPr="007C1494">
        <w:rPr>
          <w:rFonts w:cs="Times New Roman"/>
          <w:noProof/>
          <w:szCs w:val="24"/>
        </w:rPr>
        <w:t xml:space="preserve"> lead to costs </w:t>
      </w:r>
      <w:r w:rsidR="00471D43" w:rsidRPr="007C1494">
        <w:rPr>
          <w:rFonts w:cs="Times New Roman"/>
          <w:noProof/>
          <w:szCs w:val="24"/>
        </w:rPr>
        <w:t xml:space="preserve">for operators </w:t>
      </w:r>
      <w:r w:rsidR="00D602C9" w:rsidRPr="007C1494">
        <w:rPr>
          <w:rFonts w:cs="Times New Roman"/>
          <w:noProof/>
          <w:szCs w:val="24"/>
        </w:rPr>
        <w:t xml:space="preserve">related to </w:t>
      </w:r>
      <w:r w:rsidR="00E069E1" w:rsidRPr="007C1494">
        <w:rPr>
          <w:rFonts w:cs="Times New Roman"/>
          <w:noProof/>
          <w:szCs w:val="24"/>
        </w:rPr>
        <w:t>establishing and maintaining appropriate</w:t>
      </w:r>
      <w:r w:rsidR="00D602C9" w:rsidRPr="007C1494">
        <w:rPr>
          <w:rFonts w:cs="Times New Roman"/>
          <w:noProof/>
          <w:szCs w:val="24"/>
        </w:rPr>
        <w:t xml:space="preserve"> </w:t>
      </w:r>
      <w:r w:rsidR="00062B34" w:rsidRPr="007C1494" w:rsidDel="003844A5">
        <w:rPr>
          <w:rFonts w:cs="Times New Roman"/>
          <w:noProof/>
          <w:szCs w:val="24"/>
        </w:rPr>
        <w:t xml:space="preserve">due diligence </w:t>
      </w:r>
      <w:r w:rsidR="00062B34" w:rsidRPr="007C1494">
        <w:rPr>
          <w:rFonts w:cs="Times New Roman"/>
          <w:noProof/>
          <w:szCs w:val="24"/>
        </w:rPr>
        <w:t>systems</w:t>
      </w:r>
      <w:r w:rsidR="00A56F48" w:rsidRPr="00A56F48">
        <w:rPr>
          <w:rFonts w:cs="Times New Roman"/>
          <w:noProof/>
          <w:szCs w:val="24"/>
        </w:rPr>
        <w:t xml:space="preserve"> </w:t>
      </w:r>
      <w:r w:rsidR="00A56F48">
        <w:rPr>
          <w:rFonts w:cs="Times New Roman"/>
          <w:noProof/>
          <w:szCs w:val="24"/>
        </w:rPr>
        <w:t>and conducting risk mitigation</w:t>
      </w:r>
      <w:r w:rsidR="00D602C9" w:rsidRPr="007C1494">
        <w:rPr>
          <w:rFonts w:cs="Times New Roman"/>
          <w:noProof/>
          <w:szCs w:val="24"/>
        </w:rPr>
        <w:t xml:space="preserve">. The proposed </w:t>
      </w:r>
      <w:r w:rsidR="00243119">
        <w:rPr>
          <w:rFonts w:cs="Times New Roman"/>
          <w:noProof/>
          <w:szCs w:val="24"/>
        </w:rPr>
        <w:t>improved</w:t>
      </w:r>
      <w:r w:rsidR="00243119" w:rsidRPr="007C1494">
        <w:rPr>
          <w:rFonts w:cs="Times New Roman"/>
          <w:noProof/>
          <w:szCs w:val="24"/>
        </w:rPr>
        <w:t xml:space="preserve"> </w:t>
      </w:r>
      <w:r w:rsidR="00062B34" w:rsidRPr="007C1494" w:rsidDel="003844A5">
        <w:rPr>
          <w:rFonts w:cs="Times New Roman"/>
          <w:noProof/>
          <w:szCs w:val="24"/>
        </w:rPr>
        <w:t xml:space="preserve">due diligence </w:t>
      </w:r>
      <w:r w:rsidR="00062B34" w:rsidRPr="007C1494">
        <w:rPr>
          <w:rFonts w:cs="Times New Roman"/>
          <w:noProof/>
          <w:szCs w:val="24"/>
        </w:rPr>
        <w:t xml:space="preserve">systems </w:t>
      </w:r>
      <w:r w:rsidR="00D602C9" w:rsidRPr="007C1494">
        <w:rPr>
          <w:rFonts w:cs="Times New Roman"/>
          <w:noProof/>
          <w:szCs w:val="24"/>
        </w:rPr>
        <w:t xml:space="preserve">would require operators to </w:t>
      </w:r>
      <w:r w:rsidRPr="007C1494">
        <w:rPr>
          <w:rFonts w:cs="Times New Roman"/>
          <w:noProof/>
          <w:szCs w:val="24"/>
        </w:rPr>
        <w:t>take action to ensure</w:t>
      </w:r>
      <w:r w:rsidR="00D602C9" w:rsidRPr="007C1494">
        <w:rPr>
          <w:rFonts w:cs="Times New Roman"/>
          <w:noProof/>
          <w:szCs w:val="24"/>
        </w:rPr>
        <w:t xml:space="preserve"> traceability and transparency. In addition, there are likely to be administrative costs associated with the need to </w:t>
      </w:r>
      <w:r w:rsidRPr="007C1494">
        <w:rPr>
          <w:rFonts w:cs="Times New Roman"/>
          <w:noProof/>
          <w:szCs w:val="24"/>
        </w:rPr>
        <w:t>identify and analyse</w:t>
      </w:r>
      <w:r w:rsidR="00D602C9" w:rsidRPr="007C1494">
        <w:rPr>
          <w:rFonts w:cs="Times New Roman"/>
          <w:noProof/>
          <w:szCs w:val="24"/>
        </w:rPr>
        <w:t xml:space="preserve"> </w:t>
      </w:r>
      <w:r w:rsidRPr="007C1494">
        <w:rPr>
          <w:rFonts w:cs="Times New Roman"/>
          <w:noProof/>
          <w:szCs w:val="24"/>
        </w:rPr>
        <w:t xml:space="preserve">the </w:t>
      </w:r>
      <w:r w:rsidR="00D602C9" w:rsidRPr="007C1494">
        <w:rPr>
          <w:rFonts w:cs="Times New Roman"/>
          <w:noProof/>
          <w:szCs w:val="24"/>
        </w:rPr>
        <w:t>possib</w:t>
      </w:r>
      <w:r w:rsidRPr="007C1494">
        <w:rPr>
          <w:rFonts w:cs="Times New Roman"/>
          <w:noProof/>
          <w:szCs w:val="24"/>
        </w:rPr>
        <w:t>i</w:t>
      </w:r>
      <w:r w:rsidR="00D602C9" w:rsidRPr="007C1494">
        <w:rPr>
          <w:rFonts w:cs="Times New Roman"/>
          <w:noProof/>
          <w:szCs w:val="24"/>
        </w:rPr>
        <w:t>l</w:t>
      </w:r>
      <w:r w:rsidRPr="007C1494">
        <w:rPr>
          <w:rFonts w:cs="Times New Roman"/>
          <w:noProof/>
          <w:szCs w:val="24"/>
        </w:rPr>
        <w:t>ity that commodities</w:t>
      </w:r>
      <w:r w:rsidR="00D602C9" w:rsidRPr="007C1494">
        <w:rPr>
          <w:rFonts w:cs="Times New Roman"/>
          <w:noProof/>
          <w:szCs w:val="24"/>
        </w:rPr>
        <w:t xml:space="preserve"> or products </w:t>
      </w:r>
      <w:r w:rsidRPr="007C1494">
        <w:rPr>
          <w:rFonts w:cs="Times New Roman"/>
          <w:noProof/>
          <w:szCs w:val="24"/>
        </w:rPr>
        <w:t xml:space="preserve">in the supply chain </w:t>
      </w:r>
      <w:r w:rsidR="00D602C9" w:rsidRPr="007C1494">
        <w:rPr>
          <w:rFonts w:cs="Times New Roman"/>
          <w:noProof/>
          <w:szCs w:val="24"/>
        </w:rPr>
        <w:t xml:space="preserve">could </w:t>
      </w:r>
      <w:r w:rsidRPr="007C1494">
        <w:rPr>
          <w:rFonts w:cs="Times New Roman"/>
          <w:noProof/>
          <w:szCs w:val="24"/>
        </w:rPr>
        <w:t xml:space="preserve">be associated </w:t>
      </w:r>
      <w:r w:rsidR="00A56F48">
        <w:rPr>
          <w:rFonts w:cs="Times New Roman"/>
          <w:noProof/>
          <w:szCs w:val="24"/>
        </w:rPr>
        <w:t>with</w:t>
      </w:r>
      <w:r w:rsidR="00A56F48" w:rsidRPr="007C1494">
        <w:rPr>
          <w:rFonts w:cs="Times New Roman"/>
          <w:noProof/>
          <w:szCs w:val="24"/>
        </w:rPr>
        <w:t xml:space="preserve"> </w:t>
      </w:r>
      <w:r w:rsidR="00D602C9" w:rsidRPr="007C1494">
        <w:rPr>
          <w:rFonts w:cs="Times New Roman"/>
          <w:noProof/>
          <w:szCs w:val="24"/>
        </w:rPr>
        <w:t>deforestation</w:t>
      </w:r>
      <w:r w:rsidR="0061526F" w:rsidRPr="007C1494">
        <w:rPr>
          <w:rFonts w:cs="Times New Roman"/>
          <w:noProof/>
          <w:szCs w:val="24"/>
        </w:rPr>
        <w:t xml:space="preserve"> and </w:t>
      </w:r>
      <w:r w:rsidR="00D602C9" w:rsidRPr="007C1494">
        <w:rPr>
          <w:rFonts w:cs="Times New Roman"/>
          <w:noProof/>
          <w:szCs w:val="24"/>
        </w:rPr>
        <w:t xml:space="preserve">forest degradation. </w:t>
      </w:r>
    </w:p>
    <w:p w14:paraId="00478081" w14:textId="212405D1" w:rsidR="00FC250F" w:rsidRPr="007C1494" w:rsidRDefault="00FC250F" w:rsidP="30CC34C4">
      <w:pPr>
        <w:jc w:val="both"/>
        <w:rPr>
          <w:rFonts w:cs="Times New Roman"/>
          <w:noProof/>
          <w:szCs w:val="24"/>
        </w:rPr>
      </w:pPr>
      <w:r w:rsidRPr="007C1494">
        <w:rPr>
          <w:rFonts w:cs="Times New Roman"/>
          <w:noProof/>
          <w:szCs w:val="24"/>
        </w:rPr>
        <w:t xml:space="preserve">As is the case with the EUTR, </w:t>
      </w:r>
      <w:r w:rsidR="002E550E" w:rsidRPr="007C1494">
        <w:rPr>
          <w:rFonts w:cs="Times New Roman"/>
          <w:noProof/>
          <w:szCs w:val="24"/>
        </w:rPr>
        <w:t>operators that place imported products on the EU market</w:t>
      </w:r>
      <w:r w:rsidRPr="007C1494">
        <w:rPr>
          <w:rFonts w:cs="Times New Roman"/>
          <w:noProof/>
          <w:szCs w:val="24"/>
        </w:rPr>
        <w:t xml:space="preserve"> will be the most impacted by </w:t>
      </w:r>
      <w:r w:rsidR="002E550E" w:rsidRPr="007C1494">
        <w:rPr>
          <w:rFonts w:cs="Times New Roman"/>
          <w:noProof/>
          <w:szCs w:val="24"/>
        </w:rPr>
        <w:t>compliance</w:t>
      </w:r>
      <w:r w:rsidRPr="007C1494">
        <w:rPr>
          <w:rFonts w:cs="Times New Roman"/>
          <w:noProof/>
          <w:szCs w:val="24"/>
        </w:rPr>
        <w:t xml:space="preserve"> costs. </w:t>
      </w:r>
      <w:r w:rsidR="002E550E" w:rsidRPr="007C1494">
        <w:rPr>
          <w:rFonts w:cs="Times New Roman"/>
          <w:noProof/>
          <w:szCs w:val="24"/>
        </w:rPr>
        <w:t>Operators that place</w:t>
      </w:r>
      <w:r w:rsidRPr="007C1494">
        <w:rPr>
          <w:rFonts w:cs="Times New Roman"/>
          <w:noProof/>
          <w:szCs w:val="24"/>
        </w:rPr>
        <w:t xml:space="preserve"> relevant commodities</w:t>
      </w:r>
      <w:r w:rsidR="002E550E" w:rsidRPr="007C1494">
        <w:rPr>
          <w:rFonts w:cs="Times New Roman"/>
          <w:noProof/>
          <w:szCs w:val="24"/>
        </w:rPr>
        <w:t xml:space="preserve"> produced in the EU on the market</w:t>
      </w:r>
      <w:r w:rsidRPr="007C1494">
        <w:rPr>
          <w:rFonts w:cs="Times New Roman"/>
          <w:noProof/>
          <w:szCs w:val="24"/>
        </w:rPr>
        <w:t xml:space="preserve"> are already under the obligation to apply national and EU laws, which</w:t>
      </w:r>
      <w:r w:rsidR="007F2536" w:rsidRPr="007C1494">
        <w:rPr>
          <w:rFonts w:cs="Times New Roman"/>
          <w:noProof/>
          <w:szCs w:val="24"/>
        </w:rPr>
        <w:t xml:space="preserve"> comprehensively</w:t>
      </w:r>
      <w:r w:rsidRPr="007C1494">
        <w:rPr>
          <w:rFonts w:cs="Times New Roman"/>
          <w:noProof/>
          <w:szCs w:val="24"/>
        </w:rPr>
        <w:t xml:space="preserve"> cover a wide range of legal and sustainability aspects</w:t>
      </w:r>
      <w:r w:rsidR="007F2536" w:rsidRPr="007C1494">
        <w:rPr>
          <w:rFonts w:cs="Times New Roman"/>
          <w:noProof/>
          <w:szCs w:val="24"/>
        </w:rPr>
        <w:t xml:space="preserve"> (e.g. existing nature legislation as well as planned legislation under the Biodiversity Strategy)</w:t>
      </w:r>
      <w:r w:rsidRPr="007C1494">
        <w:rPr>
          <w:rFonts w:cs="Times New Roman"/>
          <w:noProof/>
          <w:szCs w:val="24"/>
        </w:rPr>
        <w:t xml:space="preserve">, and therefore the additional burden that the new initiative would place on them is expected to be </w:t>
      </w:r>
      <w:r w:rsidR="007F05E8">
        <w:rPr>
          <w:rFonts w:cs="Times New Roman"/>
          <w:noProof/>
          <w:szCs w:val="24"/>
        </w:rPr>
        <w:t>limited</w:t>
      </w:r>
      <w:r w:rsidR="007F2536" w:rsidRPr="007C1494">
        <w:rPr>
          <w:rFonts w:cs="Times New Roman"/>
          <w:noProof/>
          <w:szCs w:val="24"/>
        </w:rPr>
        <w:t xml:space="preserve">. </w:t>
      </w:r>
    </w:p>
    <w:p w14:paraId="3E21F44C" w14:textId="7DFFF62B" w:rsidR="009105D5" w:rsidRPr="007C1494" w:rsidRDefault="009105D5" w:rsidP="30CC34C4">
      <w:pPr>
        <w:jc w:val="both"/>
        <w:rPr>
          <w:rFonts w:cs="Times New Roman"/>
          <w:noProof/>
          <w:szCs w:val="24"/>
        </w:rPr>
      </w:pPr>
      <w:r w:rsidRPr="007C1494">
        <w:rPr>
          <w:rFonts w:cs="Times New Roman"/>
          <w:noProof/>
          <w:szCs w:val="24"/>
        </w:rPr>
        <w:t xml:space="preserve">EU operators are expected to incur both one-off costs to set up the </w:t>
      </w:r>
      <w:r w:rsidRPr="007C1494" w:rsidDel="003844A5">
        <w:rPr>
          <w:rFonts w:cs="Times New Roman"/>
          <w:noProof/>
          <w:szCs w:val="24"/>
        </w:rPr>
        <w:t>due diligence system</w:t>
      </w:r>
      <w:r w:rsidRPr="007C1494">
        <w:rPr>
          <w:rFonts w:cs="Times New Roman"/>
          <w:noProof/>
          <w:szCs w:val="24"/>
        </w:rPr>
        <w:t xml:space="preserve"> and recurrent costs to maintain and operate the system. </w:t>
      </w:r>
    </w:p>
    <w:p w14:paraId="4DCB7B2E" w14:textId="41795703" w:rsidR="009105D5" w:rsidRPr="007C1494" w:rsidRDefault="009105D5" w:rsidP="30CC34C4">
      <w:pPr>
        <w:jc w:val="both"/>
        <w:rPr>
          <w:rFonts w:cs="Times New Roman"/>
          <w:noProof/>
          <w:sz w:val="28"/>
          <w:szCs w:val="24"/>
        </w:rPr>
      </w:pPr>
      <w:r w:rsidRPr="007C1494">
        <w:rPr>
          <w:rFonts w:cs="Times New Roman"/>
          <w:noProof/>
          <w:szCs w:val="24"/>
        </w:rPr>
        <w:t xml:space="preserve">One-off costs may include components such as </w:t>
      </w:r>
      <w:r w:rsidRPr="007C1494">
        <w:rPr>
          <w:noProof/>
        </w:rPr>
        <w:t xml:space="preserve">developing and instituting a </w:t>
      </w:r>
      <w:r w:rsidRPr="007C1494" w:rsidDel="003844A5">
        <w:rPr>
          <w:noProof/>
        </w:rPr>
        <w:t>due diligence</w:t>
      </w:r>
      <w:r w:rsidRPr="007C1494">
        <w:rPr>
          <w:noProof/>
        </w:rPr>
        <w:t xml:space="preserve"> policy, procuring and installing necessary IT systems, informing and training staff and supply chain partners. Recurring costs include the costs of employees dedicated for the task, maintenance of systems, and costs related to the collation, aggregation and analysis of the data</w:t>
      </w:r>
      <w:r w:rsidR="003C7163" w:rsidRPr="007C1494">
        <w:rPr>
          <w:noProof/>
        </w:rPr>
        <w:t>, including in some cases professional services for 3rd party audit costs and surveys</w:t>
      </w:r>
      <w:r w:rsidRPr="007C1494">
        <w:rPr>
          <w:noProof/>
        </w:rPr>
        <w:t xml:space="preserve">. </w:t>
      </w:r>
    </w:p>
    <w:p w14:paraId="090EBBDF" w14:textId="2CFC7954" w:rsidR="009105D5" w:rsidRPr="007C1494" w:rsidRDefault="003417A1" w:rsidP="30CC34C4">
      <w:pPr>
        <w:jc w:val="both"/>
        <w:rPr>
          <w:rFonts w:cs="Times New Roman"/>
          <w:noProof/>
          <w:szCs w:val="24"/>
        </w:rPr>
      </w:pPr>
      <w:r w:rsidRPr="007C1494">
        <w:rPr>
          <w:rFonts w:cs="Times New Roman"/>
          <w:noProof/>
          <w:szCs w:val="24"/>
        </w:rPr>
        <w:t xml:space="preserve">The </w:t>
      </w:r>
      <w:r w:rsidR="00391A87" w:rsidRPr="007C1494">
        <w:rPr>
          <w:rFonts w:cs="Times New Roman"/>
          <w:noProof/>
          <w:szCs w:val="24"/>
        </w:rPr>
        <w:t xml:space="preserve">approach to estimate the costs for </w:t>
      </w:r>
      <w:r w:rsidR="00FC250F" w:rsidRPr="007C1494">
        <w:rPr>
          <w:rFonts w:cs="Times New Roman"/>
          <w:noProof/>
          <w:szCs w:val="24"/>
        </w:rPr>
        <w:t xml:space="preserve">operators </w:t>
      </w:r>
      <w:r w:rsidR="00391A87" w:rsidRPr="007C1494">
        <w:rPr>
          <w:rFonts w:cs="Times New Roman"/>
          <w:noProof/>
          <w:szCs w:val="24"/>
        </w:rPr>
        <w:t xml:space="preserve">of establishing and maintaining </w:t>
      </w:r>
      <w:r w:rsidR="009105D5" w:rsidRPr="007C1494" w:rsidDel="003844A5">
        <w:rPr>
          <w:rFonts w:cs="Times New Roman"/>
          <w:noProof/>
          <w:szCs w:val="24"/>
        </w:rPr>
        <w:t xml:space="preserve">due diligence </w:t>
      </w:r>
      <w:r w:rsidR="009105D5" w:rsidRPr="007C1494">
        <w:rPr>
          <w:rFonts w:cs="Times New Roman"/>
          <w:noProof/>
          <w:szCs w:val="24"/>
        </w:rPr>
        <w:t xml:space="preserve">systems </w:t>
      </w:r>
      <w:r w:rsidR="007F2536" w:rsidRPr="007C1494">
        <w:rPr>
          <w:rFonts w:cs="Times New Roman"/>
          <w:noProof/>
          <w:szCs w:val="24"/>
        </w:rPr>
        <w:t>is</w:t>
      </w:r>
      <w:r w:rsidRPr="007C1494">
        <w:rPr>
          <w:rFonts w:cs="Times New Roman"/>
          <w:noProof/>
          <w:szCs w:val="24"/>
        </w:rPr>
        <w:t xml:space="preserve"> </w:t>
      </w:r>
      <w:r w:rsidR="00391A87" w:rsidRPr="007C1494">
        <w:rPr>
          <w:rFonts w:cs="Times New Roman"/>
          <w:noProof/>
          <w:szCs w:val="24"/>
        </w:rPr>
        <w:t xml:space="preserve">based on cost estimates for the </w:t>
      </w:r>
      <w:r w:rsidR="002E550E" w:rsidRPr="007C1494">
        <w:rPr>
          <w:rFonts w:cs="Times New Roman"/>
          <w:noProof/>
          <w:szCs w:val="24"/>
        </w:rPr>
        <w:t xml:space="preserve">compliance with the </w:t>
      </w:r>
      <w:r w:rsidR="00391A87" w:rsidRPr="007C1494">
        <w:rPr>
          <w:rFonts w:cs="Times New Roman"/>
          <w:noProof/>
          <w:szCs w:val="24"/>
        </w:rPr>
        <w:t>EUTR.</w:t>
      </w:r>
      <w:r w:rsidR="00F22685" w:rsidRPr="007C1494">
        <w:rPr>
          <w:rFonts w:cs="Times New Roman"/>
          <w:noProof/>
          <w:szCs w:val="24"/>
        </w:rPr>
        <w:t xml:space="preserve"> Although there are other sources </w:t>
      </w:r>
      <w:r w:rsidR="00A56F48">
        <w:rPr>
          <w:rFonts w:cs="Times New Roman"/>
          <w:noProof/>
          <w:szCs w:val="24"/>
        </w:rPr>
        <w:t>for the</w:t>
      </w:r>
      <w:r w:rsidR="00A56F48" w:rsidRPr="007C1494">
        <w:rPr>
          <w:rFonts w:cs="Times New Roman"/>
          <w:noProof/>
          <w:szCs w:val="24"/>
        </w:rPr>
        <w:t xml:space="preserve"> </w:t>
      </w:r>
      <w:r w:rsidR="00F22685" w:rsidRPr="007C1494">
        <w:rPr>
          <w:rFonts w:cs="Times New Roman"/>
          <w:noProof/>
          <w:szCs w:val="24"/>
        </w:rPr>
        <w:t xml:space="preserve">cost of </w:t>
      </w:r>
      <w:r w:rsidR="00F22685" w:rsidRPr="007C1494" w:rsidDel="003844A5">
        <w:rPr>
          <w:rFonts w:cs="Times New Roman"/>
          <w:noProof/>
          <w:szCs w:val="24"/>
        </w:rPr>
        <w:t>due diligence</w:t>
      </w:r>
      <w:r w:rsidR="00F22685" w:rsidRPr="007C1494">
        <w:rPr>
          <w:rFonts w:cs="Times New Roman"/>
          <w:noProof/>
          <w:szCs w:val="24"/>
        </w:rPr>
        <w:t xml:space="preserve"> in the literature and from policy developments in other areas, the EUTR provides the closest example of </w:t>
      </w:r>
      <w:r w:rsidR="00F22685" w:rsidRPr="007C1494" w:rsidDel="003844A5">
        <w:rPr>
          <w:rFonts w:cs="Times New Roman"/>
          <w:noProof/>
          <w:szCs w:val="24"/>
        </w:rPr>
        <w:t>due diligence</w:t>
      </w:r>
      <w:r w:rsidR="003C7163" w:rsidRPr="007C1494">
        <w:rPr>
          <w:rFonts w:cs="Times New Roman"/>
          <w:noProof/>
          <w:szCs w:val="24"/>
        </w:rPr>
        <w:t xml:space="preserve"> of a </w:t>
      </w:r>
      <w:r w:rsidR="00DC592C" w:rsidRPr="007C1494">
        <w:rPr>
          <w:rFonts w:cs="Times New Roman"/>
          <w:noProof/>
          <w:szCs w:val="24"/>
        </w:rPr>
        <w:t xml:space="preserve">forest-related </w:t>
      </w:r>
      <w:r w:rsidR="003C7163" w:rsidRPr="007C1494">
        <w:rPr>
          <w:rFonts w:cs="Times New Roman"/>
          <w:noProof/>
          <w:szCs w:val="24"/>
        </w:rPr>
        <w:t>supply change for the purpose of this initiative.</w:t>
      </w:r>
      <w:r w:rsidR="00F22685" w:rsidRPr="007C1494">
        <w:rPr>
          <w:rFonts w:cs="Times New Roman"/>
          <w:noProof/>
          <w:szCs w:val="24"/>
        </w:rPr>
        <w:t xml:space="preserve"> </w:t>
      </w:r>
    </w:p>
    <w:p w14:paraId="24A0D5B6" w14:textId="082E3065" w:rsidR="00DC592C" w:rsidRPr="007C1494" w:rsidRDefault="00DC592C" w:rsidP="00DC592C">
      <w:pPr>
        <w:jc w:val="both"/>
        <w:rPr>
          <w:rFonts w:cs="Times New Roman"/>
          <w:noProof/>
          <w:szCs w:val="24"/>
        </w:rPr>
      </w:pPr>
      <w:r w:rsidRPr="007C1494">
        <w:rPr>
          <w:rFonts w:cs="Times New Roman"/>
          <w:noProof/>
          <w:szCs w:val="24"/>
        </w:rPr>
        <w:t xml:space="preserve">The cost of a </w:t>
      </w:r>
      <w:r w:rsidRPr="007C1494" w:rsidDel="003844A5">
        <w:rPr>
          <w:rFonts w:cs="Times New Roman"/>
          <w:noProof/>
          <w:szCs w:val="24"/>
        </w:rPr>
        <w:t>due diligence system</w:t>
      </w:r>
      <w:r w:rsidRPr="007C1494">
        <w:rPr>
          <w:rFonts w:cs="Times New Roman"/>
          <w:noProof/>
          <w:szCs w:val="24"/>
        </w:rPr>
        <w:t xml:space="preserve"> </w:t>
      </w:r>
      <w:r w:rsidR="00A56F48">
        <w:rPr>
          <w:rFonts w:cs="Times New Roman"/>
          <w:noProof/>
          <w:szCs w:val="24"/>
        </w:rPr>
        <w:t>varies</w:t>
      </w:r>
      <w:r w:rsidRPr="007C1494">
        <w:rPr>
          <w:rFonts w:cs="Times New Roman"/>
          <w:noProof/>
          <w:szCs w:val="24"/>
        </w:rPr>
        <w:t xml:space="preserve"> across operators. The following key factors influence </w:t>
      </w:r>
      <w:r w:rsidR="00A56F48">
        <w:rPr>
          <w:rFonts w:cs="Times New Roman"/>
          <w:noProof/>
          <w:szCs w:val="24"/>
        </w:rPr>
        <w:t>operator-specific</w:t>
      </w:r>
      <w:r w:rsidRPr="007C1494">
        <w:rPr>
          <w:rFonts w:cs="Times New Roman"/>
          <w:noProof/>
          <w:szCs w:val="24"/>
        </w:rPr>
        <w:t xml:space="preserve"> costs:</w:t>
      </w:r>
    </w:p>
    <w:p w14:paraId="49335C8A" w14:textId="2B54DD9B" w:rsidR="00DC592C" w:rsidRPr="007C1494" w:rsidRDefault="00DC592C" w:rsidP="00961FB0">
      <w:pPr>
        <w:pStyle w:val="ListParagraph"/>
        <w:numPr>
          <w:ilvl w:val="0"/>
          <w:numId w:val="62"/>
        </w:numPr>
        <w:jc w:val="both"/>
        <w:rPr>
          <w:rFonts w:cs="Times New Roman"/>
          <w:noProof/>
          <w:szCs w:val="24"/>
        </w:rPr>
      </w:pPr>
      <w:r w:rsidRPr="007C1494">
        <w:rPr>
          <w:rFonts w:cs="Times New Roman"/>
          <w:noProof/>
          <w:szCs w:val="24"/>
        </w:rPr>
        <w:t>The number of products</w:t>
      </w:r>
    </w:p>
    <w:p w14:paraId="52720787" w14:textId="258D4F9D" w:rsidR="00DC592C" w:rsidRPr="007C1494" w:rsidRDefault="00DC592C" w:rsidP="00961FB0">
      <w:pPr>
        <w:pStyle w:val="ListParagraph"/>
        <w:numPr>
          <w:ilvl w:val="0"/>
          <w:numId w:val="62"/>
        </w:numPr>
        <w:jc w:val="both"/>
        <w:rPr>
          <w:rFonts w:cs="Times New Roman"/>
          <w:noProof/>
          <w:szCs w:val="24"/>
        </w:rPr>
      </w:pPr>
      <w:r w:rsidRPr="007C1494">
        <w:rPr>
          <w:rFonts w:cs="Times New Roman"/>
          <w:noProof/>
          <w:szCs w:val="24"/>
        </w:rPr>
        <w:t>The number of suppliers</w:t>
      </w:r>
    </w:p>
    <w:p w14:paraId="7B97A75F" w14:textId="3BCF0578" w:rsidR="00DC592C" w:rsidRPr="007C1494" w:rsidRDefault="00DC592C" w:rsidP="00961FB0">
      <w:pPr>
        <w:pStyle w:val="ListParagraph"/>
        <w:numPr>
          <w:ilvl w:val="0"/>
          <w:numId w:val="62"/>
        </w:numPr>
        <w:jc w:val="both"/>
        <w:rPr>
          <w:rFonts w:cs="Times New Roman"/>
          <w:noProof/>
          <w:szCs w:val="24"/>
        </w:rPr>
      </w:pPr>
      <w:r w:rsidRPr="007C1494">
        <w:rPr>
          <w:rFonts w:cs="Times New Roman"/>
          <w:noProof/>
          <w:szCs w:val="24"/>
        </w:rPr>
        <w:t>The size of the operator</w:t>
      </w:r>
    </w:p>
    <w:p w14:paraId="03FCE5D8" w14:textId="4C8AA12C" w:rsidR="00DC592C" w:rsidRPr="007C1494" w:rsidRDefault="00DC592C" w:rsidP="00961FB0">
      <w:pPr>
        <w:pStyle w:val="ListParagraph"/>
        <w:numPr>
          <w:ilvl w:val="0"/>
          <w:numId w:val="62"/>
        </w:numPr>
        <w:jc w:val="both"/>
        <w:rPr>
          <w:rFonts w:cs="Times New Roman"/>
          <w:noProof/>
          <w:szCs w:val="24"/>
        </w:rPr>
      </w:pPr>
      <w:r w:rsidRPr="007C1494">
        <w:rPr>
          <w:rFonts w:cs="Times New Roman"/>
          <w:noProof/>
          <w:szCs w:val="24"/>
        </w:rPr>
        <w:t>The length of each supply chain (value chain complexity)</w:t>
      </w:r>
    </w:p>
    <w:p w14:paraId="180A4C8A" w14:textId="76BBC1FF" w:rsidR="00DC592C" w:rsidRPr="007C1494" w:rsidRDefault="00DC592C" w:rsidP="00961FB0">
      <w:pPr>
        <w:pStyle w:val="ListParagraph"/>
        <w:numPr>
          <w:ilvl w:val="0"/>
          <w:numId w:val="62"/>
        </w:numPr>
        <w:jc w:val="both"/>
        <w:rPr>
          <w:rFonts w:cs="Times New Roman"/>
          <w:noProof/>
          <w:szCs w:val="24"/>
        </w:rPr>
      </w:pPr>
      <w:r w:rsidRPr="007C1494">
        <w:rPr>
          <w:rFonts w:cs="Times New Roman"/>
          <w:noProof/>
          <w:szCs w:val="24"/>
        </w:rPr>
        <w:t xml:space="preserve">The country of </w:t>
      </w:r>
      <w:r w:rsidR="00ED4207">
        <w:rPr>
          <w:rFonts w:cs="Times New Roman"/>
          <w:noProof/>
          <w:szCs w:val="24"/>
        </w:rPr>
        <w:t>production</w:t>
      </w:r>
    </w:p>
    <w:p w14:paraId="5E26FF08" w14:textId="7D62C93B" w:rsidR="00DC592C" w:rsidRPr="007C1494" w:rsidRDefault="00DC592C" w:rsidP="00961FB0">
      <w:pPr>
        <w:pStyle w:val="ListParagraph"/>
        <w:numPr>
          <w:ilvl w:val="0"/>
          <w:numId w:val="62"/>
        </w:numPr>
        <w:jc w:val="both"/>
        <w:rPr>
          <w:rFonts w:cs="Times New Roman"/>
          <w:noProof/>
          <w:szCs w:val="24"/>
        </w:rPr>
      </w:pPr>
      <w:r w:rsidRPr="007C1494">
        <w:rPr>
          <w:rFonts w:cs="Times New Roman"/>
          <w:noProof/>
          <w:szCs w:val="24"/>
        </w:rPr>
        <w:t>The availability of existing supplier information systems</w:t>
      </w:r>
    </w:p>
    <w:p w14:paraId="7E4BB447" w14:textId="26AB1D8B" w:rsidR="00DC592C" w:rsidRPr="007C1494" w:rsidRDefault="00DC592C" w:rsidP="00DC592C">
      <w:pPr>
        <w:jc w:val="both"/>
        <w:rPr>
          <w:rFonts w:cs="Times New Roman"/>
          <w:noProof/>
          <w:szCs w:val="24"/>
        </w:rPr>
      </w:pPr>
      <w:r w:rsidRPr="007C1494">
        <w:rPr>
          <w:rFonts w:cs="Times New Roman"/>
          <w:noProof/>
          <w:szCs w:val="24"/>
        </w:rPr>
        <w:t xml:space="preserve">The higher the number of products and suppliers that an operator deals in and with, the higher the costs of the </w:t>
      </w:r>
      <w:r w:rsidRPr="007C1494" w:rsidDel="00471E73">
        <w:rPr>
          <w:rFonts w:cs="Times New Roman"/>
          <w:noProof/>
          <w:szCs w:val="24"/>
        </w:rPr>
        <w:t>due diligence</w:t>
      </w:r>
      <w:r w:rsidRPr="007C1494" w:rsidDel="00974952">
        <w:rPr>
          <w:rFonts w:cs="Times New Roman"/>
          <w:noProof/>
          <w:szCs w:val="24"/>
        </w:rPr>
        <w:t xml:space="preserve"> system</w:t>
      </w:r>
      <w:r w:rsidRPr="007C1494">
        <w:rPr>
          <w:rFonts w:cs="Times New Roman"/>
          <w:noProof/>
          <w:szCs w:val="24"/>
        </w:rPr>
        <w:t xml:space="preserve">. The size of the company could be correlated with the number of products and suppliers, but it is the latter that is the main cost driver, i.e. the number of products and suppliers are more decisive for the </w:t>
      </w:r>
      <w:r w:rsidRPr="007C1494" w:rsidDel="00471E73">
        <w:rPr>
          <w:rFonts w:cs="Times New Roman"/>
          <w:noProof/>
          <w:szCs w:val="24"/>
        </w:rPr>
        <w:t>due diligence</w:t>
      </w:r>
      <w:r w:rsidRPr="007C1494">
        <w:rPr>
          <w:rFonts w:cs="Times New Roman"/>
          <w:noProof/>
          <w:szCs w:val="24"/>
        </w:rPr>
        <w:t xml:space="preserve"> costs than the size of the company in question. Generally</w:t>
      </w:r>
      <w:r w:rsidR="00FE1C4B">
        <w:rPr>
          <w:rFonts w:cs="Times New Roman"/>
          <w:noProof/>
          <w:szCs w:val="24"/>
        </w:rPr>
        <w:t>,</w:t>
      </w:r>
      <w:r w:rsidRPr="007C1494">
        <w:rPr>
          <w:rFonts w:cs="Times New Roman"/>
          <w:noProof/>
          <w:szCs w:val="24"/>
        </w:rPr>
        <w:t xml:space="preserve"> more complex supply chains could lead to higher costs, but this is dependent on many factors including the extent to which the operator is able to push some of the effort to trace the full supply chain back onto its immediate supplier. </w:t>
      </w:r>
    </w:p>
    <w:p w14:paraId="717746CE" w14:textId="6F033648" w:rsidR="009105D5" w:rsidRPr="007C1494" w:rsidRDefault="00DC592C" w:rsidP="00DC592C">
      <w:pPr>
        <w:jc w:val="both"/>
        <w:rPr>
          <w:rFonts w:cs="Times New Roman"/>
          <w:noProof/>
          <w:szCs w:val="24"/>
        </w:rPr>
      </w:pPr>
      <w:r w:rsidRPr="007C1494">
        <w:rPr>
          <w:rFonts w:cs="Times New Roman"/>
          <w:noProof/>
          <w:szCs w:val="24"/>
        </w:rPr>
        <w:t xml:space="preserve">An important element that could influence the costs of setting up a </w:t>
      </w:r>
      <w:r w:rsidRPr="007C1494" w:rsidDel="00471E73">
        <w:rPr>
          <w:rFonts w:cs="Times New Roman"/>
          <w:noProof/>
          <w:szCs w:val="24"/>
        </w:rPr>
        <w:t>due diligence</w:t>
      </w:r>
      <w:r w:rsidRPr="007C1494" w:rsidDel="00974952">
        <w:rPr>
          <w:rFonts w:cs="Times New Roman"/>
          <w:noProof/>
          <w:szCs w:val="24"/>
        </w:rPr>
        <w:t xml:space="preserve"> system</w:t>
      </w:r>
      <w:r w:rsidRPr="007C1494">
        <w:rPr>
          <w:rFonts w:cs="Times New Roman"/>
          <w:noProof/>
          <w:szCs w:val="24"/>
        </w:rPr>
        <w:t xml:space="preserve"> is whether importers have already equipped themselves on a voluntary basis with policies and systems to measure and mitigate sustainability risks in their supply chains. Importers may, for example, be monitoring their supply chains for other certification purposes. This can be in the form of forest or chain of custody certification of their products, or as part of internal corporate social responsibility commitments. In such cases, these efforts contribute to the </w:t>
      </w:r>
      <w:r w:rsidRPr="007C1494" w:rsidDel="00471E73">
        <w:rPr>
          <w:rFonts w:cs="Times New Roman"/>
          <w:noProof/>
          <w:szCs w:val="24"/>
        </w:rPr>
        <w:t>due diligence</w:t>
      </w:r>
      <w:r w:rsidRPr="007C1494" w:rsidDel="00974952">
        <w:rPr>
          <w:rFonts w:cs="Times New Roman"/>
          <w:noProof/>
          <w:szCs w:val="24"/>
        </w:rPr>
        <w:t xml:space="preserve"> system</w:t>
      </w:r>
      <w:r w:rsidRPr="007C1494">
        <w:rPr>
          <w:rFonts w:cs="Times New Roman"/>
          <w:noProof/>
          <w:szCs w:val="24"/>
        </w:rPr>
        <w:t xml:space="preserve"> and may thus result in lower costs in comparison to companies that have no such policies or systems in place. According to a recent report</w:t>
      </w:r>
      <w:r w:rsidRPr="007C1494">
        <w:rPr>
          <w:rStyle w:val="FootnoteReference"/>
          <w:rFonts w:cs="Times New Roman"/>
          <w:noProof/>
          <w:szCs w:val="24"/>
        </w:rPr>
        <w:footnoteReference w:id="196"/>
      </w:r>
      <w:r w:rsidRPr="007C1494">
        <w:rPr>
          <w:rFonts w:cs="Times New Roman"/>
          <w:noProof/>
          <w:szCs w:val="24"/>
        </w:rPr>
        <w:t>, 93% of the companies have taken at least one industry-accepted measure to safeguard forests in their operations and supply chains.</w:t>
      </w:r>
    </w:p>
    <w:p w14:paraId="3DB05467" w14:textId="1C8E31A3" w:rsidR="00DC592C" w:rsidRPr="007C1494" w:rsidRDefault="00F362BD" w:rsidP="00DC592C">
      <w:pPr>
        <w:jc w:val="both"/>
        <w:rPr>
          <w:rFonts w:cs="Times New Roman"/>
          <w:noProof/>
          <w:szCs w:val="24"/>
        </w:rPr>
      </w:pPr>
      <w:r>
        <w:rPr>
          <w:rFonts w:cs="Times New Roman"/>
          <w:noProof/>
          <w:szCs w:val="24"/>
        </w:rPr>
        <w:t xml:space="preserve">The </w:t>
      </w:r>
      <w:r w:rsidR="00DC592C" w:rsidRPr="007C1494" w:rsidDel="00471E73">
        <w:rPr>
          <w:rFonts w:cs="Times New Roman"/>
          <w:noProof/>
          <w:szCs w:val="24"/>
        </w:rPr>
        <w:t>due diligence</w:t>
      </w:r>
      <w:r w:rsidR="00DC592C" w:rsidRPr="007C1494" w:rsidDel="00974952">
        <w:rPr>
          <w:rFonts w:cs="Times New Roman"/>
          <w:noProof/>
          <w:szCs w:val="24"/>
        </w:rPr>
        <w:t xml:space="preserve"> system</w:t>
      </w:r>
      <w:r w:rsidR="00DC592C" w:rsidRPr="007C1494">
        <w:rPr>
          <w:rFonts w:cs="Times New Roman"/>
          <w:noProof/>
          <w:szCs w:val="24"/>
        </w:rPr>
        <w:t xml:space="preserve"> </w:t>
      </w:r>
      <w:r>
        <w:rPr>
          <w:rFonts w:cs="Times New Roman"/>
          <w:noProof/>
          <w:szCs w:val="24"/>
        </w:rPr>
        <w:t>foreseen in</w:t>
      </w:r>
      <w:r w:rsidRPr="007C1494">
        <w:rPr>
          <w:rFonts w:cs="Times New Roman"/>
          <w:noProof/>
          <w:szCs w:val="24"/>
        </w:rPr>
        <w:t xml:space="preserve"> </w:t>
      </w:r>
      <w:r w:rsidR="00DC592C" w:rsidRPr="007C1494">
        <w:rPr>
          <w:rFonts w:cs="Times New Roman"/>
          <w:noProof/>
          <w:szCs w:val="24"/>
        </w:rPr>
        <w:t xml:space="preserve">the legislative initiative on Sustainable Corporate Governance </w:t>
      </w:r>
      <w:r w:rsidR="00DC592C" w:rsidRPr="001279E5">
        <w:rPr>
          <w:rFonts w:cs="Times New Roman"/>
          <w:noProof/>
          <w:szCs w:val="24"/>
        </w:rPr>
        <w:t xml:space="preserve">referred to in </w:t>
      </w:r>
      <w:r w:rsidR="00DC592C" w:rsidRPr="000F6951">
        <w:rPr>
          <w:rFonts w:cs="Times New Roman"/>
          <w:noProof/>
          <w:szCs w:val="24"/>
        </w:rPr>
        <w:t>section 1.1</w:t>
      </w:r>
      <w:r w:rsidR="00DC592C" w:rsidRPr="00002437">
        <w:rPr>
          <w:rFonts w:cs="Times New Roman"/>
          <w:noProof/>
          <w:szCs w:val="24"/>
        </w:rPr>
        <w:t xml:space="preserve"> </w:t>
      </w:r>
      <w:r w:rsidRPr="00002437">
        <w:rPr>
          <w:rFonts w:cs="Times New Roman"/>
          <w:noProof/>
          <w:szCs w:val="24"/>
        </w:rPr>
        <w:t>may also</w:t>
      </w:r>
      <w:r>
        <w:rPr>
          <w:rFonts w:cs="Times New Roman"/>
          <w:noProof/>
          <w:szCs w:val="24"/>
        </w:rPr>
        <w:t xml:space="preserve"> entail significant costs.</w:t>
      </w:r>
      <w:r w:rsidRPr="007C1494">
        <w:rPr>
          <w:rFonts w:cs="Times New Roman"/>
          <w:noProof/>
          <w:szCs w:val="24"/>
        </w:rPr>
        <w:t xml:space="preserve"> </w:t>
      </w:r>
      <w:r w:rsidR="003334E8" w:rsidRPr="007C1494">
        <w:rPr>
          <w:rFonts w:cs="Times New Roman"/>
          <w:noProof/>
          <w:szCs w:val="24"/>
        </w:rPr>
        <w:t xml:space="preserve">It is expected that a large proportion of companies that would be considered operators under the deforestation legislation will also be in scope of the </w:t>
      </w:r>
      <w:r w:rsidR="003334E8" w:rsidRPr="007C1494" w:rsidDel="00471E73">
        <w:rPr>
          <w:rFonts w:cs="Times New Roman"/>
          <w:noProof/>
          <w:szCs w:val="24"/>
        </w:rPr>
        <w:t>due diligence</w:t>
      </w:r>
      <w:r w:rsidR="003334E8" w:rsidRPr="007C1494">
        <w:rPr>
          <w:rFonts w:cs="Times New Roman"/>
          <w:noProof/>
          <w:szCs w:val="24"/>
        </w:rPr>
        <w:t xml:space="preserve"> obligation under the Sustainable Corporate Governance initiative. </w:t>
      </w:r>
      <w:r w:rsidR="00417DDF">
        <w:rPr>
          <w:rFonts w:cs="Times New Roman"/>
          <w:noProof/>
          <w:szCs w:val="24"/>
        </w:rPr>
        <w:t>While</w:t>
      </w:r>
      <w:r w:rsidR="006C0582" w:rsidRPr="007C1494">
        <w:rPr>
          <w:rFonts w:cs="Times New Roman"/>
          <w:noProof/>
          <w:szCs w:val="24"/>
        </w:rPr>
        <w:t xml:space="preserve"> the scope and definition of the </w:t>
      </w:r>
      <w:r w:rsidR="006C0582" w:rsidRPr="007C1494" w:rsidDel="00471E73">
        <w:rPr>
          <w:rFonts w:cs="Times New Roman"/>
          <w:noProof/>
          <w:szCs w:val="24"/>
        </w:rPr>
        <w:t>due diligence</w:t>
      </w:r>
      <w:r w:rsidR="006C0582" w:rsidRPr="007C1494">
        <w:rPr>
          <w:rFonts w:cs="Times New Roman"/>
          <w:noProof/>
          <w:szCs w:val="24"/>
        </w:rPr>
        <w:t xml:space="preserve"> obligations may differ (for example the deforestation </w:t>
      </w:r>
      <w:r w:rsidR="006C0582" w:rsidRPr="007C1494" w:rsidDel="00471E73">
        <w:rPr>
          <w:rFonts w:cs="Times New Roman"/>
          <w:noProof/>
          <w:szCs w:val="24"/>
        </w:rPr>
        <w:t>due diligence</w:t>
      </w:r>
      <w:r w:rsidR="006C0582" w:rsidRPr="007C1494">
        <w:rPr>
          <w:rFonts w:cs="Times New Roman"/>
          <w:noProof/>
          <w:szCs w:val="24"/>
        </w:rPr>
        <w:t xml:space="preserve"> obligation is not expected to include disclosure obligations), </w:t>
      </w:r>
      <w:r w:rsidR="003334E8" w:rsidRPr="007C1494">
        <w:rPr>
          <w:rFonts w:cs="Times New Roman"/>
          <w:noProof/>
          <w:szCs w:val="24"/>
        </w:rPr>
        <w:t xml:space="preserve">some of the processes and systems established to comply with the obligations under the </w:t>
      </w:r>
      <w:r w:rsidR="00417DDF" w:rsidRPr="00417DDF">
        <w:rPr>
          <w:rFonts w:cs="Times New Roman"/>
          <w:noProof/>
          <w:szCs w:val="24"/>
        </w:rPr>
        <w:t>Sustainable Corporate Governance initiative</w:t>
      </w:r>
      <w:r w:rsidR="003334E8" w:rsidRPr="007C1494">
        <w:rPr>
          <w:rFonts w:cs="Times New Roman"/>
          <w:noProof/>
          <w:szCs w:val="24"/>
        </w:rPr>
        <w:t xml:space="preserve"> would also be useful to fulfil the obligations under the deforestation legislation</w:t>
      </w:r>
      <w:r w:rsidR="00FE1C4B">
        <w:rPr>
          <w:rFonts w:cs="Times New Roman"/>
          <w:noProof/>
          <w:szCs w:val="24"/>
        </w:rPr>
        <w:t xml:space="preserve"> (more information in box 3</w:t>
      </w:r>
      <w:r w:rsidR="003334E8" w:rsidRPr="007C1494">
        <w:rPr>
          <w:rFonts w:cs="Times New Roman"/>
          <w:noProof/>
          <w:szCs w:val="24"/>
        </w:rPr>
        <w:t>.</w:t>
      </w:r>
      <w:r w:rsidR="00FE1C4B">
        <w:rPr>
          <w:rFonts w:cs="Times New Roman"/>
          <w:noProof/>
          <w:szCs w:val="24"/>
        </w:rPr>
        <w:t>)</w:t>
      </w:r>
      <w:r w:rsidR="003334E8" w:rsidRPr="007C1494">
        <w:rPr>
          <w:rFonts w:cs="Times New Roman"/>
          <w:noProof/>
          <w:szCs w:val="24"/>
        </w:rPr>
        <w:t xml:space="preserve"> </w:t>
      </w:r>
    </w:p>
    <w:p w14:paraId="587BEAAD" w14:textId="302A6693" w:rsidR="006C4866" w:rsidRPr="007C1494" w:rsidRDefault="00B51F93" w:rsidP="00DC592C">
      <w:pPr>
        <w:jc w:val="both"/>
        <w:rPr>
          <w:rFonts w:cs="Times New Roman"/>
          <w:noProof/>
          <w:szCs w:val="24"/>
        </w:rPr>
      </w:pPr>
      <w:r w:rsidRPr="007C1494">
        <w:rPr>
          <w:rFonts w:cs="Times New Roman"/>
          <w:noProof/>
          <w:szCs w:val="24"/>
        </w:rPr>
        <w:t xml:space="preserve">There are very few studies </w:t>
      </w:r>
      <w:r w:rsidR="006C4866" w:rsidRPr="007C1494">
        <w:rPr>
          <w:rFonts w:cs="Times New Roman"/>
          <w:noProof/>
          <w:szCs w:val="24"/>
        </w:rPr>
        <w:t xml:space="preserve">providing information on </w:t>
      </w:r>
      <w:r w:rsidR="00F90EB2" w:rsidRPr="007C1494">
        <w:rPr>
          <w:rFonts w:cs="Times New Roman"/>
          <w:noProof/>
          <w:szCs w:val="24"/>
        </w:rPr>
        <w:t>one-off co</w:t>
      </w:r>
      <w:r w:rsidRPr="007C1494">
        <w:rPr>
          <w:rFonts w:cs="Times New Roman"/>
          <w:noProof/>
          <w:szCs w:val="24"/>
        </w:rPr>
        <w:t xml:space="preserve">sts of setting up the EUTR </w:t>
      </w:r>
      <w:r w:rsidRPr="007C1494" w:rsidDel="00471E73">
        <w:rPr>
          <w:rFonts w:cs="Times New Roman"/>
          <w:noProof/>
          <w:szCs w:val="24"/>
        </w:rPr>
        <w:t>due diligence</w:t>
      </w:r>
      <w:r w:rsidRPr="007C1494" w:rsidDel="00974952">
        <w:rPr>
          <w:rFonts w:cs="Times New Roman"/>
          <w:noProof/>
          <w:szCs w:val="24"/>
        </w:rPr>
        <w:t xml:space="preserve"> system</w:t>
      </w:r>
      <w:r w:rsidRPr="007C1494">
        <w:rPr>
          <w:rFonts w:cs="Times New Roman"/>
          <w:noProof/>
          <w:szCs w:val="24"/>
        </w:rPr>
        <w:t>. One of them</w:t>
      </w:r>
      <w:r w:rsidR="006C4866" w:rsidRPr="007C1494">
        <w:rPr>
          <w:rStyle w:val="FootnoteReference"/>
          <w:rFonts w:cs="Times New Roman"/>
          <w:noProof/>
          <w:szCs w:val="24"/>
        </w:rPr>
        <w:footnoteReference w:id="197"/>
      </w:r>
      <w:r w:rsidRPr="007C1494">
        <w:rPr>
          <w:rFonts w:cs="Times New Roman"/>
          <w:noProof/>
          <w:szCs w:val="24"/>
        </w:rPr>
        <w:t xml:space="preserve"> provides a range between EUR 5 000 and 90 000 per operator, which is comparable with the values given for other </w:t>
      </w:r>
      <w:r w:rsidRPr="007C1494" w:rsidDel="00471E73">
        <w:rPr>
          <w:rFonts w:cs="Times New Roman"/>
          <w:noProof/>
          <w:szCs w:val="24"/>
        </w:rPr>
        <w:t>due diligence</w:t>
      </w:r>
      <w:r w:rsidRPr="007C1494">
        <w:rPr>
          <w:rFonts w:cs="Times New Roman"/>
          <w:noProof/>
          <w:szCs w:val="24"/>
        </w:rPr>
        <w:t xml:space="preserve"> processes</w:t>
      </w:r>
      <w:r w:rsidRPr="007C1494">
        <w:rPr>
          <w:rStyle w:val="FootnoteReference"/>
          <w:rFonts w:cs="Times New Roman"/>
          <w:noProof/>
          <w:szCs w:val="24"/>
        </w:rPr>
        <w:footnoteReference w:id="198"/>
      </w:r>
      <w:r w:rsidRPr="007C1494">
        <w:rPr>
          <w:rFonts w:cs="Times New Roman"/>
          <w:noProof/>
          <w:szCs w:val="24"/>
        </w:rPr>
        <w:t xml:space="preserve">. </w:t>
      </w:r>
      <w:r w:rsidR="006C4866" w:rsidRPr="007C1494">
        <w:rPr>
          <w:rFonts w:cs="Times New Roman"/>
          <w:noProof/>
          <w:szCs w:val="24"/>
        </w:rPr>
        <w:t xml:space="preserve">This range provides a reasonable estimate of the costs that companies could incur to set up the </w:t>
      </w:r>
      <w:r w:rsidR="006C4866" w:rsidRPr="007C1494" w:rsidDel="00471E73">
        <w:rPr>
          <w:rFonts w:cs="Times New Roman"/>
          <w:noProof/>
          <w:szCs w:val="24"/>
        </w:rPr>
        <w:t>due diligence</w:t>
      </w:r>
      <w:r w:rsidR="006C4866" w:rsidRPr="007C1494" w:rsidDel="00974952">
        <w:rPr>
          <w:rFonts w:cs="Times New Roman"/>
          <w:noProof/>
          <w:szCs w:val="24"/>
        </w:rPr>
        <w:t xml:space="preserve"> system</w:t>
      </w:r>
      <w:r w:rsidR="006C4866" w:rsidRPr="007C1494">
        <w:rPr>
          <w:rFonts w:cs="Times New Roman"/>
          <w:noProof/>
          <w:szCs w:val="24"/>
        </w:rPr>
        <w:t xml:space="preserve">. The level of costs for a particular company will depend on the specific factors mentioned above. </w:t>
      </w:r>
    </w:p>
    <w:p w14:paraId="685A8E52" w14:textId="04FAD9BA" w:rsidR="00223B46" w:rsidRPr="007C1494" w:rsidRDefault="009105D5" w:rsidP="30CC34C4">
      <w:pPr>
        <w:jc w:val="both"/>
        <w:rPr>
          <w:rFonts w:cs="Times New Roman"/>
          <w:noProof/>
          <w:szCs w:val="24"/>
        </w:rPr>
      </w:pPr>
      <w:r w:rsidRPr="007C1494">
        <w:rPr>
          <w:rFonts w:cs="Times New Roman"/>
          <w:noProof/>
          <w:szCs w:val="24"/>
        </w:rPr>
        <w:t xml:space="preserve">As regards recurrent costs of the </w:t>
      </w:r>
      <w:r w:rsidRPr="007C1494" w:rsidDel="00471E73">
        <w:rPr>
          <w:rFonts w:cs="Times New Roman"/>
          <w:noProof/>
          <w:szCs w:val="24"/>
        </w:rPr>
        <w:t>due diligence</w:t>
      </w:r>
      <w:r w:rsidRPr="007C1494" w:rsidDel="00974952">
        <w:rPr>
          <w:rFonts w:cs="Times New Roman"/>
          <w:noProof/>
          <w:szCs w:val="24"/>
        </w:rPr>
        <w:t xml:space="preserve"> system</w:t>
      </w:r>
      <w:r w:rsidRPr="007C1494">
        <w:rPr>
          <w:rFonts w:cs="Times New Roman"/>
          <w:noProof/>
          <w:szCs w:val="24"/>
        </w:rPr>
        <w:t>, t</w:t>
      </w:r>
      <w:r w:rsidR="003417A1" w:rsidRPr="007C1494">
        <w:rPr>
          <w:rFonts w:cs="Times New Roman"/>
          <w:noProof/>
          <w:szCs w:val="24"/>
        </w:rPr>
        <w:t>he overall costs for importers of EUTR products is estimated as a range between 0.29 and 4.3% of the value of the imports (see SWD Fitness Check EUTR/FLEGT Regulation)</w:t>
      </w:r>
      <w:r w:rsidR="006C4866" w:rsidRPr="007C1494">
        <w:rPr>
          <w:rStyle w:val="FootnoteReference"/>
          <w:rFonts w:cs="Times New Roman"/>
          <w:noProof/>
          <w:szCs w:val="24"/>
        </w:rPr>
        <w:footnoteReference w:id="199"/>
      </w:r>
      <w:r w:rsidR="003417A1" w:rsidRPr="007C1494">
        <w:rPr>
          <w:rFonts w:cs="Times New Roman"/>
          <w:noProof/>
          <w:szCs w:val="24"/>
        </w:rPr>
        <w:t xml:space="preserve">. This same percentages were applied to the value of imports for the relevant commodities to derive an estimate of </w:t>
      </w:r>
      <w:r w:rsidR="003417A1" w:rsidRPr="007C1494" w:rsidDel="00471E73">
        <w:rPr>
          <w:rFonts w:cs="Times New Roman"/>
          <w:noProof/>
          <w:szCs w:val="24"/>
        </w:rPr>
        <w:t>due diligence</w:t>
      </w:r>
      <w:r w:rsidR="003417A1" w:rsidRPr="007C1494">
        <w:rPr>
          <w:rFonts w:cs="Times New Roman"/>
          <w:noProof/>
          <w:szCs w:val="24"/>
        </w:rPr>
        <w:t xml:space="preserve"> costs</w:t>
      </w:r>
      <w:r w:rsidR="00223B46" w:rsidRPr="007C1494">
        <w:rPr>
          <w:rFonts w:cs="Times New Roman"/>
          <w:noProof/>
          <w:szCs w:val="24"/>
        </w:rPr>
        <w:t xml:space="preserve"> for those importers of those commodities:</w:t>
      </w:r>
    </w:p>
    <w:p w14:paraId="77DDEF02" w14:textId="72E7266C" w:rsidR="00223B46" w:rsidRPr="00841C68" w:rsidRDefault="005E6293" w:rsidP="00841C68">
      <w:pPr>
        <w:keepNext/>
        <w:keepLines/>
        <w:tabs>
          <w:tab w:val="left" w:pos="1134"/>
        </w:tabs>
        <w:spacing w:before="360" w:after="160" w:line="240" w:lineRule="auto"/>
        <w:jc w:val="both"/>
        <w:outlineLvl w:val="3"/>
        <w:rPr>
          <w:rFonts w:eastAsia="Times New Roman" w:cs="Times New Roman"/>
          <w:noProof/>
          <w:sz w:val="20"/>
          <w:szCs w:val="20"/>
          <w:lang w:eastAsia="en-GB"/>
        </w:rPr>
      </w:pPr>
      <w:r w:rsidRPr="00841C68">
        <w:rPr>
          <w:rFonts w:eastAsia="Times New Roman" w:cs="Times New Roman"/>
          <w:noProof/>
          <w:sz w:val="20"/>
          <w:szCs w:val="20"/>
          <w:lang w:eastAsia="en-GB"/>
        </w:rPr>
        <w:t>Table 5</w:t>
      </w:r>
      <w:r w:rsidR="00223B46" w:rsidRPr="00841C68">
        <w:rPr>
          <w:rFonts w:eastAsia="Times New Roman" w:cs="Times New Roman"/>
          <w:noProof/>
          <w:sz w:val="20"/>
          <w:szCs w:val="20"/>
          <w:lang w:eastAsia="en-GB"/>
        </w:rPr>
        <w:t xml:space="preserve"> </w:t>
      </w:r>
      <w:r w:rsidR="005D51BE" w:rsidRPr="00841C68">
        <w:rPr>
          <w:rFonts w:eastAsia="Times New Roman" w:cs="Times New Roman"/>
          <w:noProof/>
          <w:sz w:val="20"/>
          <w:szCs w:val="20"/>
          <w:lang w:eastAsia="en-GB"/>
        </w:rPr>
        <w:t>E</w:t>
      </w:r>
      <w:r w:rsidR="00223B46" w:rsidRPr="00841C68">
        <w:rPr>
          <w:rFonts w:eastAsia="Times New Roman" w:cs="Times New Roman"/>
          <w:noProof/>
          <w:sz w:val="20"/>
          <w:szCs w:val="20"/>
          <w:lang w:eastAsia="en-GB"/>
        </w:rPr>
        <w:t xml:space="preserve">stimate of </w:t>
      </w:r>
      <w:r w:rsidR="005D51BE" w:rsidRPr="00841C68">
        <w:rPr>
          <w:rFonts w:eastAsia="Times New Roman" w:cs="Times New Roman"/>
          <w:noProof/>
          <w:sz w:val="20"/>
          <w:szCs w:val="20"/>
          <w:lang w:eastAsia="en-GB"/>
        </w:rPr>
        <w:t>annual</w:t>
      </w:r>
      <w:r w:rsidR="00223B46" w:rsidRPr="00841C68">
        <w:rPr>
          <w:rFonts w:eastAsia="Times New Roman" w:cs="Times New Roman"/>
          <w:noProof/>
          <w:sz w:val="20"/>
          <w:szCs w:val="20"/>
          <w:lang w:eastAsia="en-GB"/>
        </w:rPr>
        <w:t xml:space="preserve"> costs of </w:t>
      </w:r>
      <w:r w:rsidR="00223B46" w:rsidRPr="00841C68" w:rsidDel="00471E73">
        <w:rPr>
          <w:rFonts w:eastAsia="Times New Roman" w:cs="Times New Roman"/>
          <w:noProof/>
          <w:sz w:val="20"/>
          <w:szCs w:val="20"/>
          <w:lang w:eastAsia="en-GB"/>
        </w:rPr>
        <w:t>due diligence</w:t>
      </w:r>
      <w:r w:rsidR="00223B46" w:rsidRPr="00841C68">
        <w:rPr>
          <w:rFonts w:eastAsia="Times New Roman" w:cs="Times New Roman"/>
          <w:noProof/>
          <w:sz w:val="20"/>
          <w:szCs w:val="20"/>
          <w:lang w:eastAsia="en-GB"/>
        </w:rPr>
        <w:t xml:space="preserve"> based on EUTR and value of imports. Import values extracted from Comext, average of 5 years (2015-2019)</w:t>
      </w:r>
    </w:p>
    <w:tbl>
      <w:tblPr>
        <w:tblStyle w:val="TableGrid2"/>
        <w:tblW w:w="8755" w:type="dxa"/>
        <w:tblLook w:val="04A0" w:firstRow="1" w:lastRow="0" w:firstColumn="1" w:lastColumn="0" w:noHBand="0" w:noVBand="1"/>
      </w:tblPr>
      <w:tblGrid>
        <w:gridCol w:w="1430"/>
        <w:gridCol w:w="1536"/>
        <w:gridCol w:w="1544"/>
        <w:gridCol w:w="1587"/>
        <w:gridCol w:w="2658"/>
      </w:tblGrid>
      <w:tr w:rsidR="00223B46" w:rsidRPr="007C1494" w14:paraId="68E73F8A" w14:textId="77777777" w:rsidTr="00753031">
        <w:tc>
          <w:tcPr>
            <w:tcW w:w="1430" w:type="dxa"/>
          </w:tcPr>
          <w:p w14:paraId="3619737D" w14:textId="77777777" w:rsidR="00223B46" w:rsidRPr="007C1494" w:rsidRDefault="00223B46" w:rsidP="00386C2D">
            <w:pPr>
              <w:keepNext/>
              <w:rPr>
                <w:rFonts w:eastAsia="Calibri" w:cs="Times New Roman"/>
                <w:b/>
                <w:noProof/>
                <w:lang w:val="en-GB"/>
              </w:rPr>
            </w:pPr>
            <w:r w:rsidRPr="007C1494">
              <w:rPr>
                <w:rFonts w:eastAsia="Calibri" w:cs="Times New Roman"/>
                <w:b/>
                <w:noProof/>
                <w:lang w:val="en-GB"/>
              </w:rPr>
              <w:t>Commodity</w:t>
            </w:r>
          </w:p>
        </w:tc>
        <w:tc>
          <w:tcPr>
            <w:tcW w:w="1536" w:type="dxa"/>
          </w:tcPr>
          <w:p w14:paraId="0970519D" w14:textId="0AD1507F" w:rsidR="00223B46" w:rsidRPr="007C1494" w:rsidRDefault="00223B46" w:rsidP="00386C2D">
            <w:pPr>
              <w:keepNext/>
              <w:rPr>
                <w:rFonts w:eastAsia="Calibri" w:cs="Times New Roman"/>
                <w:b/>
                <w:noProof/>
                <w:lang w:val="en-GB"/>
              </w:rPr>
            </w:pPr>
            <w:r w:rsidRPr="007C1494">
              <w:rPr>
                <w:rFonts w:eastAsia="Calibri" w:cs="Times New Roman"/>
                <w:b/>
                <w:noProof/>
                <w:lang w:val="en-GB"/>
              </w:rPr>
              <w:t>Value of imports (EUR million)</w:t>
            </w:r>
          </w:p>
          <w:p w14:paraId="34F7A74A" w14:textId="77777777" w:rsidR="00223B46" w:rsidRPr="007C1494" w:rsidRDefault="00223B46" w:rsidP="00386C2D">
            <w:pPr>
              <w:keepNext/>
              <w:rPr>
                <w:rFonts w:eastAsia="Calibri" w:cs="Times New Roman"/>
                <w:b/>
                <w:noProof/>
                <w:lang w:val="en-GB"/>
              </w:rPr>
            </w:pPr>
          </w:p>
        </w:tc>
        <w:tc>
          <w:tcPr>
            <w:tcW w:w="1544" w:type="dxa"/>
          </w:tcPr>
          <w:p w14:paraId="1BD97EA7" w14:textId="23FC0DDB" w:rsidR="00223B46" w:rsidRPr="007C1494" w:rsidRDefault="00223B46" w:rsidP="00386C2D">
            <w:pPr>
              <w:keepNext/>
              <w:rPr>
                <w:rFonts w:eastAsia="Calibri" w:cs="Times New Roman"/>
                <w:b/>
                <w:noProof/>
                <w:lang w:val="en-GB"/>
              </w:rPr>
            </w:pPr>
            <w:r w:rsidRPr="007C1494">
              <w:rPr>
                <w:rFonts w:eastAsia="Calibri" w:cs="Times New Roman"/>
                <w:b/>
                <w:noProof/>
                <w:lang w:val="en-GB"/>
              </w:rPr>
              <w:t>Costs of DD lower estimate (EUR million)</w:t>
            </w:r>
          </w:p>
        </w:tc>
        <w:tc>
          <w:tcPr>
            <w:tcW w:w="1587" w:type="dxa"/>
          </w:tcPr>
          <w:p w14:paraId="01DC8C10" w14:textId="69C09945" w:rsidR="00223B46" w:rsidRPr="007C1494" w:rsidRDefault="00223B46" w:rsidP="00386C2D">
            <w:pPr>
              <w:keepNext/>
              <w:rPr>
                <w:rFonts w:eastAsia="Calibri" w:cs="Times New Roman"/>
                <w:b/>
                <w:noProof/>
                <w:lang w:val="en-GB"/>
              </w:rPr>
            </w:pPr>
            <w:r w:rsidRPr="007C1494">
              <w:rPr>
                <w:rFonts w:eastAsia="Calibri" w:cs="Times New Roman"/>
                <w:b/>
                <w:noProof/>
                <w:lang w:val="en-GB"/>
              </w:rPr>
              <w:t>Costs of DD higher estimate (EUR million)</w:t>
            </w:r>
          </w:p>
        </w:tc>
        <w:tc>
          <w:tcPr>
            <w:tcW w:w="2658" w:type="dxa"/>
          </w:tcPr>
          <w:p w14:paraId="04F5E88E" w14:textId="0D6EF130" w:rsidR="00223B46" w:rsidRPr="007C1494" w:rsidRDefault="00223B46" w:rsidP="00386C2D">
            <w:pPr>
              <w:keepNext/>
              <w:rPr>
                <w:rFonts w:eastAsia="Calibri" w:cs="Times New Roman"/>
                <w:b/>
                <w:noProof/>
                <w:lang w:val="en-GB"/>
              </w:rPr>
            </w:pPr>
            <w:r w:rsidRPr="007C1494">
              <w:rPr>
                <w:rFonts w:eastAsia="Calibri" w:cs="Times New Roman"/>
                <w:b/>
                <w:noProof/>
                <w:lang w:val="en-GB"/>
              </w:rPr>
              <w:t>Comments (HS codes included in the value of imports)</w:t>
            </w:r>
          </w:p>
        </w:tc>
      </w:tr>
      <w:tr w:rsidR="00223B46" w:rsidRPr="007C1494" w14:paraId="4862B67D" w14:textId="77777777" w:rsidTr="00753031">
        <w:tc>
          <w:tcPr>
            <w:tcW w:w="1430" w:type="dxa"/>
          </w:tcPr>
          <w:p w14:paraId="0A7D8B8F" w14:textId="77777777" w:rsidR="00223B46" w:rsidRPr="007C1494" w:rsidRDefault="00223B46" w:rsidP="00223B46">
            <w:pPr>
              <w:rPr>
                <w:rFonts w:eastAsia="Calibri" w:cs="Times New Roman"/>
                <w:noProof/>
                <w:lang w:val="en-GB"/>
              </w:rPr>
            </w:pPr>
            <w:r w:rsidRPr="007C1494">
              <w:rPr>
                <w:rFonts w:eastAsia="Calibri" w:cs="Times New Roman"/>
                <w:noProof/>
                <w:lang w:val="en-GB"/>
              </w:rPr>
              <w:t>Wood</w:t>
            </w:r>
          </w:p>
        </w:tc>
        <w:tc>
          <w:tcPr>
            <w:tcW w:w="1536" w:type="dxa"/>
          </w:tcPr>
          <w:p w14:paraId="0D5FAFDD" w14:textId="14BF4D63" w:rsidR="00223B46" w:rsidRPr="007C1494" w:rsidRDefault="00223B46" w:rsidP="00223B46">
            <w:pPr>
              <w:rPr>
                <w:rFonts w:eastAsia="Calibri" w:cs="Times New Roman"/>
                <w:noProof/>
                <w:lang w:val="en-GB"/>
              </w:rPr>
            </w:pPr>
            <w:r w:rsidRPr="007C1494">
              <w:rPr>
                <w:rFonts w:eastAsia="Calibri" w:cs="Times New Roman"/>
                <w:noProof/>
                <w:lang w:val="en-GB"/>
              </w:rPr>
              <w:t>24</w:t>
            </w:r>
            <w:r w:rsidR="00FE1C4B">
              <w:rPr>
                <w:rFonts w:eastAsia="Calibri" w:cs="Times New Roman"/>
                <w:noProof/>
                <w:lang w:val="en-GB"/>
              </w:rPr>
              <w:t>,</w:t>
            </w:r>
            <w:r w:rsidRPr="007C1494">
              <w:rPr>
                <w:rFonts w:eastAsia="Calibri" w:cs="Times New Roman"/>
                <w:noProof/>
                <w:lang w:val="en-GB"/>
              </w:rPr>
              <w:t>525</w:t>
            </w:r>
          </w:p>
        </w:tc>
        <w:tc>
          <w:tcPr>
            <w:tcW w:w="1544" w:type="dxa"/>
          </w:tcPr>
          <w:p w14:paraId="2AEA6CA1" w14:textId="69464CB5" w:rsidR="00223B46" w:rsidRPr="007C1494" w:rsidRDefault="00223B46" w:rsidP="00223B46">
            <w:pPr>
              <w:rPr>
                <w:rFonts w:eastAsia="Calibri" w:cs="Times New Roman"/>
                <w:noProof/>
                <w:lang w:val="en-GB"/>
              </w:rPr>
            </w:pPr>
            <w:r w:rsidRPr="007C1494">
              <w:rPr>
                <w:rFonts w:eastAsia="Calibri" w:cs="Times New Roman"/>
                <w:noProof/>
                <w:lang w:val="en-GB"/>
              </w:rPr>
              <w:t>71</w:t>
            </w:r>
          </w:p>
          <w:p w14:paraId="7E5630EE" w14:textId="7824ED5F" w:rsidR="00223B46" w:rsidRPr="007C1494" w:rsidRDefault="00223B46" w:rsidP="00223B46">
            <w:pPr>
              <w:rPr>
                <w:rFonts w:eastAsia="Calibri" w:cs="Times New Roman"/>
                <w:noProof/>
                <w:lang w:val="en-GB"/>
              </w:rPr>
            </w:pPr>
            <w:r w:rsidRPr="007C1494">
              <w:rPr>
                <w:rFonts w:eastAsia="Calibri" w:cs="Times New Roman"/>
                <w:noProof/>
                <w:lang w:val="en-GB"/>
              </w:rPr>
              <w:t>(0.29% of imports)</w:t>
            </w:r>
          </w:p>
        </w:tc>
        <w:tc>
          <w:tcPr>
            <w:tcW w:w="1587" w:type="dxa"/>
          </w:tcPr>
          <w:p w14:paraId="4BA00F80" w14:textId="23D2C35D" w:rsidR="00223B46" w:rsidRPr="007C1494" w:rsidRDefault="00223B46" w:rsidP="00223B46">
            <w:pPr>
              <w:rPr>
                <w:rFonts w:eastAsia="Calibri" w:cs="Times New Roman"/>
                <w:noProof/>
                <w:lang w:val="en-GB"/>
              </w:rPr>
            </w:pPr>
            <w:r w:rsidRPr="007C1494">
              <w:rPr>
                <w:rFonts w:eastAsia="Calibri" w:cs="Times New Roman"/>
                <w:noProof/>
                <w:lang w:val="en-GB"/>
              </w:rPr>
              <w:t>1</w:t>
            </w:r>
            <w:r w:rsidR="00FE1C4B">
              <w:rPr>
                <w:rFonts w:eastAsia="Calibri" w:cs="Times New Roman"/>
                <w:noProof/>
                <w:lang w:val="en-GB"/>
              </w:rPr>
              <w:t>,</w:t>
            </w:r>
            <w:r w:rsidRPr="007C1494">
              <w:rPr>
                <w:rFonts w:eastAsia="Calibri" w:cs="Times New Roman"/>
                <w:noProof/>
                <w:lang w:val="en-GB"/>
              </w:rPr>
              <w:t xml:space="preserve">071 </w:t>
            </w:r>
          </w:p>
          <w:p w14:paraId="567F70D9" w14:textId="75500BEE" w:rsidR="00223B46" w:rsidRPr="007C1494" w:rsidRDefault="00223B46" w:rsidP="00223B46">
            <w:pPr>
              <w:rPr>
                <w:rFonts w:eastAsia="Calibri" w:cs="Times New Roman"/>
                <w:noProof/>
                <w:lang w:val="en-GB"/>
              </w:rPr>
            </w:pPr>
            <w:r w:rsidRPr="007C1494">
              <w:rPr>
                <w:rFonts w:eastAsia="Calibri" w:cs="Times New Roman"/>
                <w:noProof/>
                <w:lang w:val="en-GB"/>
              </w:rPr>
              <w:t>(4.3% of imports)</w:t>
            </w:r>
          </w:p>
        </w:tc>
        <w:tc>
          <w:tcPr>
            <w:tcW w:w="2658" w:type="dxa"/>
          </w:tcPr>
          <w:p w14:paraId="72191C61" w14:textId="6A448036" w:rsidR="00223B46" w:rsidRPr="007C1494" w:rsidRDefault="00223B46" w:rsidP="00223B46">
            <w:pPr>
              <w:rPr>
                <w:rFonts w:eastAsia="Calibri" w:cs="Times New Roman"/>
                <w:noProof/>
                <w:lang w:val="en-GB"/>
              </w:rPr>
            </w:pPr>
            <w:r w:rsidRPr="007C1494">
              <w:rPr>
                <w:rFonts w:eastAsia="Calibri" w:cs="Times New Roman"/>
                <w:noProof/>
                <w:lang w:val="en-GB"/>
              </w:rPr>
              <w:t xml:space="preserve">Comext data for all HS codes in scope of EUTR. The percentages derived for lower and higher estimates are used for the other commodities </w:t>
            </w:r>
          </w:p>
        </w:tc>
      </w:tr>
      <w:tr w:rsidR="00223B46" w:rsidRPr="007C1494" w14:paraId="4420555A" w14:textId="77777777" w:rsidTr="00753031">
        <w:tc>
          <w:tcPr>
            <w:tcW w:w="1430" w:type="dxa"/>
            <w:shd w:val="clear" w:color="auto" w:fill="BFBFBF"/>
          </w:tcPr>
          <w:p w14:paraId="0DFFBFFE" w14:textId="77777777" w:rsidR="00223B46" w:rsidRPr="007C1494" w:rsidRDefault="00223B46" w:rsidP="00223B46">
            <w:pPr>
              <w:rPr>
                <w:rFonts w:eastAsia="Calibri" w:cs="Times New Roman"/>
                <w:noProof/>
                <w:lang w:val="en-GB"/>
              </w:rPr>
            </w:pPr>
          </w:p>
        </w:tc>
        <w:tc>
          <w:tcPr>
            <w:tcW w:w="1536" w:type="dxa"/>
            <w:shd w:val="clear" w:color="auto" w:fill="BFBFBF"/>
          </w:tcPr>
          <w:p w14:paraId="277519F0" w14:textId="77777777" w:rsidR="00223B46" w:rsidRPr="007C1494" w:rsidRDefault="00223B46" w:rsidP="00223B46">
            <w:pPr>
              <w:rPr>
                <w:rFonts w:eastAsia="Calibri" w:cs="Times New Roman"/>
                <w:noProof/>
                <w:lang w:val="en-GB"/>
              </w:rPr>
            </w:pPr>
          </w:p>
        </w:tc>
        <w:tc>
          <w:tcPr>
            <w:tcW w:w="1544" w:type="dxa"/>
            <w:shd w:val="clear" w:color="auto" w:fill="BFBFBF"/>
          </w:tcPr>
          <w:p w14:paraId="5270DB89" w14:textId="77777777" w:rsidR="00223B46" w:rsidRPr="007C1494" w:rsidRDefault="00223B46" w:rsidP="00223B46">
            <w:pPr>
              <w:rPr>
                <w:rFonts w:eastAsia="Calibri" w:cs="Times New Roman"/>
                <w:noProof/>
                <w:lang w:val="en-GB"/>
              </w:rPr>
            </w:pPr>
          </w:p>
        </w:tc>
        <w:tc>
          <w:tcPr>
            <w:tcW w:w="1587" w:type="dxa"/>
            <w:shd w:val="clear" w:color="auto" w:fill="BFBFBF"/>
          </w:tcPr>
          <w:p w14:paraId="4EA2FE52" w14:textId="77777777" w:rsidR="00223B46" w:rsidRPr="007C1494" w:rsidRDefault="00223B46" w:rsidP="00223B46">
            <w:pPr>
              <w:rPr>
                <w:rFonts w:eastAsia="Calibri" w:cs="Times New Roman"/>
                <w:noProof/>
                <w:lang w:val="en-GB"/>
              </w:rPr>
            </w:pPr>
          </w:p>
        </w:tc>
        <w:tc>
          <w:tcPr>
            <w:tcW w:w="2658" w:type="dxa"/>
            <w:shd w:val="clear" w:color="auto" w:fill="BFBFBF"/>
          </w:tcPr>
          <w:p w14:paraId="5E036AAD" w14:textId="77777777" w:rsidR="00223B46" w:rsidRPr="007C1494" w:rsidRDefault="00223B46" w:rsidP="00223B46">
            <w:pPr>
              <w:rPr>
                <w:rFonts w:eastAsia="Calibri" w:cs="Times New Roman"/>
                <w:noProof/>
                <w:lang w:val="en-GB"/>
              </w:rPr>
            </w:pPr>
          </w:p>
        </w:tc>
      </w:tr>
      <w:tr w:rsidR="00D63F07" w:rsidRPr="007C1494" w14:paraId="522BFB89" w14:textId="77777777" w:rsidTr="00753031">
        <w:tc>
          <w:tcPr>
            <w:tcW w:w="1430" w:type="dxa"/>
          </w:tcPr>
          <w:p w14:paraId="277723C1" w14:textId="77777777" w:rsidR="00D63F07" w:rsidRPr="007C1494" w:rsidRDefault="00D63F07" w:rsidP="00D63F07">
            <w:pPr>
              <w:rPr>
                <w:rFonts w:eastAsia="Calibri" w:cs="Times New Roman"/>
                <w:noProof/>
                <w:lang w:val="en-GB"/>
              </w:rPr>
            </w:pPr>
            <w:r w:rsidRPr="007C1494">
              <w:rPr>
                <w:rFonts w:eastAsia="Calibri" w:cs="Times New Roman"/>
                <w:noProof/>
                <w:lang w:val="en-GB"/>
              </w:rPr>
              <w:t>Beef</w:t>
            </w:r>
          </w:p>
        </w:tc>
        <w:tc>
          <w:tcPr>
            <w:tcW w:w="1536" w:type="dxa"/>
          </w:tcPr>
          <w:p w14:paraId="20A37696" w14:textId="55765E5B" w:rsidR="00D63F07" w:rsidRPr="007C1494" w:rsidRDefault="00D63F07" w:rsidP="00D63F07">
            <w:pPr>
              <w:rPr>
                <w:rFonts w:eastAsia="Calibri" w:cs="Times New Roman"/>
                <w:noProof/>
                <w:lang w:val="en-GB"/>
              </w:rPr>
            </w:pPr>
            <w:r>
              <w:rPr>
                <w:noProof/>
              </w:rPr>
              <w:t xml:space="preserve"> 4,</w:t>
            </w:r>
            <w:r w:rsidRPr="007E21B6">
              <w:rPr>
                <w:noProof/>
              </w:rPr>
              <w:t xml:space="preserve">304 </w:t>
            </w:r>
          </w:p>
        </w:tc>
        <w:tc>
          <w:tcPr>
            <w:tcW w:w="1544" w:type="dxa"/>
          </w:tcPr>
          <w:p w14:paraId="3A09194E" w14:textId="390EB70E" w:rsidR="00D63F07" w:rsidRPr="007C1494" w:rsidRDefault="00D63F07" w:rsidP="00D63F07">
            <w:pPr>
              <w:jc w:val="both"/>
              <w:rPr>
                <w:rFonts w:eastAsia="Calibri" w:cs="Times New Roman"/>
                <w:noProof/>
                <w:lang w:val="en-GB"/>
              </w:rPr>
            </w:pPr>
            <w:r>
              <w:rPr>
                <w:noProof/>
              </w:rPr>
              <w:t xml:space="preserve"> 12.</w:t>
            </w:r>
            <w:r w:rsidRPr="007E21B6">
              <w:rPr>
                <w:noProof/>
              </w:rPr>
              <w:t xml:space="preserve">5 </w:t>
            </w:r>
          </w:p>
        </w:tc>
        <w:tc>
          <w:tcPr>
            <w:tcW w:w="1587" w:type="dxa"/>
          </w:tcPr>
          <w:p w14:paraId="0A1CA3C0" w14:textId="04916071" w:rsidR="00D63F07" w:rsidRPr="007C1494" w:rsidRDefault="00D63F07" w:rsidP="00D63F07">
            <w:pPr>
              <w:jc w:val="both"/>
              <w:rPr>
                <w:rFonts w:eastAsia="Calibri" w:cs="Times New Roman"/>
                <w:noProof/>
                <w:lang w:val="en-GB"/>
              </w:rPr>
            </w:pPr>
            <w:r>
              <w:rPr>
                <w:noProof/>
              </w:rPr>
              <w:t xml:space="preserve"> 185.</w:t>
            </w:r>
            <w:r w:rsidRPr="007E21B6">
              <w:rPr>
                <w:noProof/>
              </w:rPr>
              <w:t xml:space="preserve">1 </w:t>
            </w:r>
          </w:p>
        </w:tc>
        <w:tc>
          <w:tcPr>
            <w:tcW w:w="2658" w:type="dxa"/>
          </w:tcPr>
          <w:p w14:paraId="07C2AB22" w14:textId="615887EB" w:rsidR="00D63F07" w:rsidRPr="007C1494" w:rsidRDefault="00D63F07" w:rsidP="00D63F07">
            <w:pPr>
              <w:rPr>
                <w:rFonts w:eastAsia="Calibri" w:cs="Times New Roman"/>
                <w:noProof/>
                <w:lang w:val="en-GB"/>
              </w:rPr>
            </w:pPr>
            <w:r w:rsidRPr="00841C68">
              <w:rPr>
                <w:rFonts w:eastAsia="Calibri" w:cs="Times New Roman"/>
                <w:noProof/>
                <w:color w:val="000000" w:themeColor="text1"/>
              </w:rPr>
              <w:t>HS</w:t>
            </w:r>
            <w:r w:rsidRPr="00841C68">
              <w:rPr>
                <w:noProof/>
                <w:color w:val="000000" w:themeColor="text1"/>
              </w:rPr>
              <w:t xml:space="preserve">0102, </w:t>
            </w:r>
            <w:r w:rsidRPr="00841C68">
              <w:rPr>
                <w:rFonts w:eastAsia="Calibri" w:cs="Times New Roman"/>
                <w:noProof/>
                <w:color w:val="000000" w:themeColor="text1"/>
              </w:rPr>
              <w:t xml:space="preserve">0201, 0202, </w:t>
            </w:r>
            <w:r w:rsidRPr="00841C68">
              <w:rPr>
                <w:noProof/>
                <w:color w:val="000000" w:themeColor="text1"/>
              </w:rPr>
              <w:t>020610, 020622, 020629, 4101, 4104 and 4107</w:t>
            </w:r>
          </w:p>
        </w:tc>
      </w:tr>
      <w:tr w:rsidR="00D63F07" w:rsidRPr="007C1494" w14:paraId="2D53DCF1" w14:textId="77777777" w:rsidTr="00753031">
        <w:tc>
          <w:tcPr>
            <w:tcW w:w="1430" w:type="dxa"/>
          </w:tcPr>
          <w:p w14:paraId="0790FC36" w14:textId="77777777" w:rsidR="00D63F07" w:rsidRPr="007C1494" w:rsidRDefault="00D63F07" w:rsidP="00D63F07">
            <w:pPr>
              <w:rPr>
                <w:rFonts w:eastAsia="Calibri" w:cs="Times New Roman"/>
                <w:noProof/>
                <w:lang w:val="en-GB"/>
              </w:rPr>
            </w:pPr>
            <w:r w:rsidRPr="007C1494">
              <w:rPr>
                <w:rFonts w:eastAsia="Calibri" w:cs="Times New Roman"/>
                <w:noProof/>
                <w:lang w:val="en-GB"/>
              </w:rPr>
              <w:t>Cocoa</w:t>
            </w:r>
          </w:p>
        </w:tc>
        <w:tc>
          <w:tcPr>
            <w:tcW w:w="1536" w:type="dxa"/>
          </w:tcPr>
          <w:p w14:paraId="60286028" w14:textId="6F9424BA" w:rsidR="00D63F07" w:rsidRPr="007C1494" w:rsidRDefault="00D63F07" w:rsidP="00D63F07">
            <w:pPr>
              <w:rPr>
                <w:rFonts w:eastAsia="Calibri" w:cs="Times New Roman"/>
                <w:noProof/>
                <w:lang w:val="en-GB"/>
              </w:rPr>
            </w:pPr>
            <w:r>
              <w:rPr>
                <w:noProof/>
              </w:rPr>
              <w:t xml:space="preserve"> 7,</w:t>
            </w:r>
            <w:r w:rsidRPr="00FA0DBB">
              <w:rPr>
                <w:noProof/>
              </w:rPr>
              <w:t xml:space="preserve">421 </w:t>
            </w:r>
          </w:p>
        </w:tc>
        <w:tc>
          <w:tcPr>
            <w:tcW w:w="1544" w:type="dxa"/>
          </w:tcPr>
          <w:p w14:paraId="07FDD5BF" w14:textId="2151F9C5" w:rsidR="00D63F07" w:rsidRPr="007C1494" w:rsidRDefault="00D63F07" w:rsidP="00D63F07">
            <w:pPr>
              <w:jc w:val="both"/>
              <w:rPr>
                <w:rFonts w:eastAsia="Calibri" w:cs="Times New Roman"/>
                <w:noProof/>
                <w:lang w:val="en-GB"/>
              </w:rPr>
            </w:pPr>
            <w:r>
              <w:rPr>
                <w:noProof/>
              </w:rPr>
              <w:t xml:space="preserve"> 21.</w:t>
            </w:r>
            <w:r w:rsidRPr="00FA0DBB">
              <w:rPr>
                <w:noProof/>
              </w:rPr>
              <w:t xml:space="preserve">5 </w:t>
            </w:r>
          </w:p>
        </w:tc>
        <w:tc>
          <w:tcPr>
            <w:tcW w:w="1587" w:type="dxa"/>
          </w:tcPr>
          <w:p w14:paraId="2FFDB37D" w14:textId="60E7BA54" w:rsidR="00D63F07" w:rsidRPr="007C1494" w:rsidRDefault="00D63F07" w:rsidP="00D63F07">
            <w:pPr>
              <w:jc w:val="both"/>
              <w:rPr>
                <w:rFonts w:eastAsia="Calibri" w:cs="Times New Roman"/>
                <w:noProof/>
                <w:lang w:val="en-GB"/>
              </w:rPr>
            </w:pPr>
            <w:r>
              <w:rPr>
                <w:noProof/>
              </w:rPr>
              <w:t xml:space="preserve"> 319.</w:t>
            </w:r>
            <w:r w:rsidRPr="00FA0DBB">
              <w:rPr>
                <w:noProof/>
              </w:rPr>
              <w:t xml:space="preserve">1 </w:t>
            </w:r>
          </w:p>
        </w:tc>
        <w:tc>
          <w:tcPr>
            <w:tcW w:w="2658" w:type="dxa"/>
          </w:tcPr>
          <w:p w14:paraId="32DB979B" w14:textId="5290B230" w:rsidR="00D63F07" w:rsidRPr="007C1494" w:rsidRDefault="00D63F07" w:rsidP="00D63F07">
            <w:pPr>
              <w:rPr>
                <w:rFonts w:eastAsia="Calibri" w:cs="Times New Roman"/>
                <w:noProof/>
                <w:lang w:val="en-GB"/>
              </w:rPr>
            </w:pPr>
            <w:r w:rsidRPr="007C1494">
              <w:rPr>
                <w:rFonts w:eastAsia="Calibri" w:cs="Times New Roman"/>
                <w:noProof/>
                <w:lang w:val="en-GB"/>
              </w:rPr>
              <w:t>HS1801 to 180</w:t>
            </w:r>
            <w:r>
              <w:rPr>
                <w:rFonts w:eastAsia="Calibri" w:cs="Times New Roman"/>
                <w:noProof/>
                <w:lang w:val="en-GB"/>
              </w:rPr>
              <w:t>6</w:t>
            </w:r>
          </w:p>
        </w:tc>
      </w:tr>
      <w:tr w:rsidR="00223B46" w:rsidRPr="007C1494" w14:paraId="7D5FDD6C" w14:textId="77777777" w:rsidTr="00753031">
        <w:tc>
          <w:tcPr>
            <w:tcW w:w="1430" w:type="dxa"/>
          </w:tcPr>
          <w:p w14:paraId="054FD5E8" w14:textId="77777777" w:rsidR="00223B46" w:rsidRPr="007C1494" w:rsidRDefault="00223B46" w:rsidP="00223B46">
            <w:pPr>
              <w:rPr>
                <w:rFonts w:eastAsia="Calibri" w:cs="Times New Roman"/>
                <w:noProof/>
                <w:lang w:val="en-GB"/>
              </w:rPr>
            </w:pPr>
            <w:r w:rsidRPr="007C1494">
              <w:rPr>
                <w:rFonts w:eastAsia="Calibri" w:cs="Times New Roman"/>
                <w:noProof/>
                <w:lang w:val="en-GB"/>
              </w:rPr>
              <w:t>Coffee</w:t>
            </w:r>
          </w:p>
        </w:tc>
        <w:tc>
          <w:tcPr>
            <w:tcW w:w="1536" w:type="dxa"/>
          </w:tcPr>
          <w:p w14:paraId="62CDDC47" w14:textId="75E8CDDD" w:rsidR="00223B46" w:rsidRPr="007C1494" w:rsidRDefault="00223B46" w:rsidP="00223B46">
            <w:pPr>
              <w:rPr>
                <w:rFonts w:eastAsia="Calibri" w:cs="Times New Roman"/>
                <w:noProof/>
                <w:lang w:val="en-GB"/>
              </w:rPr>
            </w:pPr>
            <w:r w:rsidRPr="007C1494">
              <w:rPr>
                <w:rFonts w:eastAsia="Calibri" w:cs="Times New Roman"/>
                <w:noProof/>
                <w:lang w:val="en-GB"/>
              </w:rPr>
              <w:t>8</w:t>
            </w:r>
            <w:r w:rsidR="00FE1C4B">
              <w:rPr>
                <w:rFonts w:eastAsia="Calibri" w:cs="Times New Roman"/>
                <w:noProof/>
                <w:lang w:val="en-GB"/>
              </w:rPr>
              <w:t>,</w:t>
            </w:r>
            <w:r w:rsidRPr="007C1494">
              <w:rPr>
                <w:rFonts w:eastAsia="Calibri" w:cs="Times New Roman"/>
                <w:noProof/>
                <w:lang w:val="en-GB"/>
              </w:rPr>
              <w:t>061</w:t>
            </w:r>
          </w:p>
        </w:tc>
        <w:tc>
          <w:tcPr>
            <w:tcW w:w="1544" w:type="dxa"/>
          </w:tcPr>
          <w:p w14:paraId="0E887613" w14:textId="7C436AF6" w:rsidR="00223B46" w:rsidRPr="007C1494" w:rsidRDefault="00223B46" w:rsidP="00223B46">
            <w:pPr>
              <w:jc w:val="both"/>
              <w:rPr>
                <w:rFonts w:eastAsia="Calibri" w:cs="Times New Roman"/>
                <w:noProof/>
                <w:lang w:val="en-GB"/>
              </w:rPr>
            </w:pPr>
            <w:r w:rsidRPr="007C1494">
              <w:rPr>
                <w:rFonts w:eastAsia="Calibri" w:cs="Times New Roman"/>
                <w:noProof/>
                <w:lang w:val="en-GB"/>
              </w:rPr>
              <w:t>23.4</w:t>
            </w:r>
          </w:p>
        </w:tc>
        <w:tc>
          <w:tcPr>
            <w:tcW w:w="1587" w:type="dxa"/>
          </w:tcPr>
          <w:p w14:paraId="2426680F" w14:textId="250474EA" w:rsidR="00223B46" w:rsidRPr="007C1494" w:rsidRDefault="00223B46" w:rsidP="00223B46">
            <w:pPr>
              <w:jc w:val="both"/>
              <w:rPr>
                <w:rFonts w:eastAsia="Calibri" w:cs="Times New Roman"/>
                <w:noProof/>
                <w:lang w:val="en-GB"/>
              </w:rPr>
            </w:pPr>
            <w:r w:rsidRPr="007C1494">
              <w:rPr>
                <w:rFonts w:eastAsia="Calibri" w:cs="Times New Roman"/>
                <w:noProof/>
                <w:lang w:val="en-GB"/>
              </w:rPr>
              <w:t>346.6</w:t>
            </w:r>
          </w:p>
        </w:tc>
        <w:tc>
          <w:tcPr>
            <w:tcW w:w="2658" w:type="dxa"/>
          </w:tcPr>
          <w:p w14:paraId="7072C0EB" w14:textId="13C8E575" w:rsidR="00223B46" w:rsidRPr="007C1494" w:rsidRDefault="00223B46" w:rsidP="00223B46">
            <w:pPr>
              <w:rPr>
                <w:rFonts w:eastAsia="Calibri" w:cs="Times New Roman"/>
                <w:noProof/>
                <w:lang w:val="en-GB"/>
              </w:rPr>
            </w:pPr>
            <w:r w:rsidRPr="007C1494">
              <w:rPr>
                <w:rFonts w:eastAsia="Calibri" w:cs="Times New Roman"/>
                <w:noProof/>
                <w:lang w:val="en-GB"/>
              </w:rPr>
              <w:t>HS0901</w:t>
            </w:r>
          </w:p>
        </w:tc>
      </w:tr>
      <w:tr w:rsidR="00F26F98" w:rsidRPr="007C1494" w14:paraId="72DC0CE0" w14:textId="77777777" w:rsidTr="00753031">
        <w:tc>
          <w:tcPr>
            <w:tcW w:w="1430" w:type="dxa"/>
          </w:tcPr>
          <w:p w14:paraId="61BE615B" w14:textId="77777777" w:rsidR="00F26F98" w:rsidRPr="007C1494" w:rsidRDefault="00F26F98" w:rsidP="00F26F98">
            <w:pPr>
              <w:rPr>
                <w:rFonts w:eastAsia="Calibri" w:cs="Times New Roman"/>
                <w:noProof/>
                <w:lang w:val="en-GB"/>
              </w:rPr>
            </w:pPr>
            <w:r w:rsidRPr="007C1494">
              <w:rPr>
                <w:rFonts w:eastAsia="Calibri" w:cs="Times New Roman"/>
                <w:noProof/>
                <w:lang w:val="en-GB"/>
              </w:rPr>
              <w:t>Palm oil</w:t>
            </w:r>
          </w:p>
        </w:tc>
        <w:tc>
          <w:tcPr>
            <w:tcW w:w="1536" w:type="dxa"/>
          </w:tcPr>
          <w:p w14:paraId="5FA9DA44" w14:textId="4EA09B11" w:rsidR="00F26F98" w:rsidRPr="007C1494" w:rsidRDefault="00F26F98" w:rsidP="00F26F98">
            <w:pPr>
              <w:rPr>
                <w:rFonts w:eastAsia="Calibri" w:cs="Times New Roman"/>
                <w:noProof/>
                <w:lang w:val="en-GB"/>
              </w:rPr>
            </w:pPr>
            <w:r>
              <w:rPr>
                <w:noProof/>
              </w:rPr>
              <w:t xml:space="preserve"> 5,</w:t>
            </w:r>
            <w:r w:rsidRPr="004B57F3">
              <w:rPr>
                <w:noProof/>
              </w:rPr>
              <w:t xml:space="preserve">013 </w:t>
            </w:r>
          </w:p>
        </w:tc>
        <w:tc>
          <w:tcPr>
            <w:tcW w:w="1544" w:type="dxa"/>
          </w:tcPr>
          <w:p w14:paraId="1227465C" w14:textId="0269CB33" w:rsidR="00F26F98" w:rsidRPr="007C1494" w:rsidRDefault="00F26F98" w:rsidP="00F26F98">
            <w:pPr>
              <w:jc w:val="both"/>
              <w:rPr>
                <w:rFonts w:eastAsia="Calibri" w:cs="Times New Roman"/>
                <w:noProof/>
                <w:lang w:val="en-GB"/>
              </w:rPr>
            </w:pPr>
            <w:r>
              <w:rPr>
                <w:noProof/>
              </w:rPr>
              <w:t xml:space="preserve"> 14.</w:t>
            </w:r>
            <w:r w:rsidRPr="004B57F3">
              <w:rPr>
                <w:noProof/>
              </w:rPr>
              <w:t xml:space="preserve">5 </w:t>
            </w:r>
          </w:p>
        </w:tc>
        <w:tc>
          <w:tcPr>
            <w:tcW w:w="1587" w:type="dxa"/>
          </w:tcPr>
          <w:p w14:paraId="07C3013B" w14:textId="2FA505D9" w:rsidR="00F26F98" w:rsidRPr="007C1494" w:rsidRDefault="00F26F98" w:rsidP="00F26F98">
            <w:pPr>
              <w:jc w:val="both"/>
              <w:rPr>
                <w:rFonts w:eastAsia="Calibri" w:cs="Times New Roman"/>
                <w:noProof/>
                <w:lang w:val="en-GB"/>
              </w:rPr>
            </w:pPr>
            <w:r w:rsidRPr="004B57F3">
              <w:rPr>
                <w:noProof/>
              </w:rPr>
              <w:t xml:space="preserve"> 215</w:t>
            </w:r>
            <w:r>
              <w:rPr>
                <w:noProof/>
              </w:rPr>
              <w:t>.</w:t>
            </w:r>
            <w:r w:rsidRPr="004B57F3">
              <w:rPr>
                <w:noProof/>
              </w:rPr>
              <w:t xml:space="preserve">6 </w:t>
            </w:r>
          </w:p>
        </w:tc>
        <w:tc>
          <w:tcPr>
            <w:tcW w:w="2658" w:type="dxa"/>
          </w:tcPr>
          <w:p w14:paraId="5F12E4B0" w14:textId="1EF80394" w:rsidR="00F26F98" w:rsidRPr="007C1494" w:rsidRDefault="00F26F98" w:rsidP="00F26F98">
            <w:pPr>
              <w:rPr>
                <w:rFonts w:eastAsia="Calibri" w:cs="Times New Roman"/>
                <w:noProof/>
                <w:lang w:val="en-GB"/>
              </w:rPr>
            </w:pPr>
            <w:r w:rsidRPr="00841C68">
              <w:rPr>
                <w:rFonts w:eastAsia="Calibri" w:cs="Times New Roman"/>
                <w:noProof/>
                <w:color w:val="000000" w:themeColor="text1"/>
              </w:rPr>
              <w:t>HS</w:t>
            </w:r>
            <w:r w:rsidRPr="00841C68">
              <w:rPr>
                <w:noProof/>
                <w:color w:val="000000" w:themeColor="text1"/>
              </w:rPr>
              <w:t xml:space="preserve">120710, </w:t>
            </w:r>
            <w:r w:rsidRPr="00841C68">
              <w:rPr>
                <w:rFonts w:eastAsia="Calibri" w:cs="Times New Roman"/>
                <w:noProof/>
                <w:color w:val="000000" w:themeColor="text1"/>
              </w:rPr>
              <w:t>1511</w:t>
            </w:r>
            <w:r w:rsidRPr="00841C68">
              <w:rPr>
                <w:noProof/>
                <w:color w:val="000000" w:themeColor="text1"/>
              </w:rPr>
              <w:t>, 151321, 151329 and 230660</w:t>
            </w:r>
          </w:p>
        </w:tc>
      </w:tr>
      <w:tr w:rsidR="00753031" w:rsidRPr="007C1494" w14:paraId="24C077A9" w14:textId="77777777" w:rsidTr="00753031">
        <w:tc>
          <w:tcPr>
            <w:tcW w:w="1430" w:type="dxa"/>
          </w:tcPr>
          <w:p w14:paraId="7EE6DE83" w14:textId="77777777" w:rsidR="00753031" w:rsidRPr="007C1494" w:rsidRDefault="00753031" w:rsidP="00753031">
            <w:pPr>
              <w:rPr>
                <w:rFonts w:eastAsia="Calibri" w:cs="Times New Roman"/>
                <w:noProof/>
                <w:lang w:val="en-GB"/>
              </w:rPr>
            </w:pPr>
            <w:r w:rsidRPr="007C1494">
              <w:rPr>
                <w:rFonts w:eastAsia="Calibri" w:cs="Times New Roman"/>
                <w:noProof/>
                <w:lang w:val="en-GB"/>
              </w:rPr>
              <w:t xml:space="preserve">Soy </w:t>
            </w:r>
          </w:p>
        </w:tc>
        <w:tc>
          <w:tcPr>
            <w:tcW w:w="1536" w:type="dxa"/>
          </w:tcPr>
          <w:p w14:paraId="79F35294" w14:textId="5061307C" w:rsidR="00753031" w:rsidRPr="007C1494" w:rsidRDefault="00753031" w:rsidP="00753031">
            <w:pPr>
              <w:rPr>
                <w:rFonts w:eastAsia="Calibri" w:cs="Times New Roman"/>
                <w:noProof/>
                <w:lang w:val="en-GB"/>
              </w:rPr>
            </w:pPr>
            <w:r>
              <w:rPr>
                <w:rFonts w:ascii="Calibri" w:eastAsia="Times New Roman" w:hAnsi="Calibri" w:cs="Calibri"/>
                <w:noProof/>
                <w:color w:val="000000"/>
                <w:sz w:val="22"/>
                <w:lang w:eastAsia="zh-CN"/>
              </w:rPr>
              <w:t>11,133</w:t>
            </w:r>
          </w:p>
        </w:tc>
        <w:tc>
          <w:tcPr>
            <w:tcW w:w="1544" w:type="dxa"/>
          </w:tcPr>
          <w:p w14:paraId="06B3F5E0" w14:textId="3B8DD273" w:rsidR="00753031" w:rsidRPr="007C1494" w:rsidRDefault="00753031" w:rsidP="00753031">
            <w:pPr>
              <w:jc w:val="both"/>
              <w:rPr>
                <w:rFonts w:eastAsia="Calibri" w:cs="Times New Roman"/>
                <w:noProof/>
                <w:lang w:val="en-GB"/>
              </w:rPr>
            </w:pPr>
            <w:r>
              <w:rPr>
                <w:rFonts w:eastAsia="Calibri" w:cs="Times New Roman"/>
                <w:noProof/>
                <w:lang w:val="en-GB"/>
              </w:rPr>
              <w:t>32.3</w:t>
            </w:r>
          </w:p>
        </w:tc>
        <w:tc>
          <w:tcPr>
            <w:tcW w:w="1587" w:type="dxa"/>
          </w:tcPr>
          <w:p w14:paraId="40EC3A76" w14:textId="4ACF519B" w:rsidR="00753031" w:rsidRPr="007C1494" w:rsidRDefault="00753031" w:rsidP="00753031">
            <w:pPr>
              <w:jc w:val="both"/>
              <w:rPr>
                <w:rFonts w:eastAsia="Calibri" w:cs="Times New Roman"/>
                <w:noProof/>
                <w:lang w:val="en-GB"/>
              </w:rPr>
            </w:pPr>
            <w:r>
              <w:rPr>
                <w:rFonts w:eastAsia="Calibri" w:cs="Times New Roman"/>
                <w:noProof/>
                <w:lang w:val="en-GB"/>
              </w:rPr>
              <w:t>478.7</w:t>
            </w:r>
          </w:p>
        </w:tc>
        <w:tc>
          <w:tcPr>
            <w:tcW w:w="2658" w:type="dxa"/>
          </w:tcPr>
          <w:p w14:paraId="418BA186" w14:textId="257E58C8" w:rsidR="00753031" w:rsidRPr="007C1494" w:rsidRDefault="00753031" w:rsidP="00753031">
            <w:pPr>
              <w:rPr>
                <w:rFonts w:eastAsia="Calibri" w:cs="Times New Roman"/>
                <w:noProof/>
                <w:lang w:val="en-GB"/>
              </w:rPr>
            </w:pPr>
            <w:r w:rsidRPr="007C1494">
              <w:rPr>
                <w:rFonts w:eastAsia="Calibri" w:cs="Times New Roman"/>
                <w:noProof/>
                <w:lang w:val="en-GB"/>
              </w:rPr>
              <w:t>HS1201, 120810</w:t>
            </w:r>
            <w:r>
              <w:rPr>
                <w:rFonts w:eastAsia="Calibri" w:cs="Times New Roman"/>
                <w:noProof/>
                <w:lang w:val="en-GB"/>
              </w:rPr>
              <w:t>,</w:t>
            </w:r>
            <w:r w:rsidRPr="007C1494">
              <w:rPr>
                <w:rFonts w:eastAsia="Calibri" w:cs="Times New Roman"/>
                <w:noProof/>
                <w:lang w:val="en-GB"/>
              </w:rPr>
              <w:t xml:space="preserve">1507 </w:t>
            </w:r>
            <w:r>
              <w:rPr>
                <w:rFonts w:eastAsia="Calibri" w:cs="Times New Roman"/>
                <w:noProof/>
                <w:lang w:val="en-GB"/>
              </w:rPr>
              <w:t xml:space="preserve">and </w:t>
            </w:r>
            <w:r w:rsidRPr="00A90327">
              <w:rPr>
                <w:rFonts w:eastAsia="Calibri" w:cs="Times New Roman"/>
                <w:noProof/>
                <w:lang w:val="en-GB"/>
              </w:rPr>
              <w:t>2304</w:t>
            </w:r>
          </w:p>
        </w:tc>
      </w:tr>
      <w:tr w:rsidR="00F26F98" w:rsidRPr="007C1494" w14:paraId="5805E978" w14:textId="77777777" w:rsidTr="00753031">
        <w:tc>
          <w:tcPr>
            <w:tcW w:w="1430" w:type="dxa"/>
          </w:tcPr>
          <w:p w14:paraId="4CCD0651" w14:textId="2DDBE3FB" w:rsidR="00F26F98" w:rsidRPr="007C1494" w:rsidRDefault="00F26F98" w:rsidP="00F26F98">
            <w:pPr>
              <w:rPr>
                <w:rFonts w:eastAsia="Calibri" w:cs="Times New Roman"/>
                <w:noProof/>
                <w:lang w:val="en-GB"/>
              </w:rPr>
            </w:pPr>
            <w:r w:rsidRPr="007C1494">
              <w:rPr>
                <w:rFonts w:eastAsia="Calibri" w:cs="Times New Roman"/>
                <w:noProof/>
                <w:lang w:val="en-GB"/>
              </w:rPr>
              <w:t>Totals (excluding wood)</w:t>
            </w:r>
          </w:p>
        </w:tc>
        <w:tc>
          <w:tcPr>
            <w:tcW w:w="1536" w:type="dxa"/>
          </w:tcPr>
          <w:p w14:paraId="707831A2" w14:textId="1D68F3C5" w:rsidR="00F26F98" w:rsidRPr="007C1494" w:rsidRDefault="00F26F98" w:rsidP="00F26F98">
            <w:pPr>
              <w:rPr>
                <w:rFonts w:eastAsia="Calibri" w:cs="Times New Roman"/>
                <w:noProof/>
                <w:lang w:val="en-GB"/>
              </w:rPr>
            </w:pPr>
            <w:r>
              <w:rPr>
                <w:noProof/>
              </w:rPr>
              <w:t>35,</w:t>
            </w:r>
            <w:r w:rsidRPr="00856DB5">
              <w:rPr>
                <w:noProof/>
              </w:rPr>
              <w:t xml:space="preserve">932 </w:t>
            </w:r>
          </w:p>
        </w:tc>
        <w:tc>
          <w:tcPr>
            <w:tcW w:w="1544" w:type="dxa"/>
          </w:tcPr>
          <w:p w14:paraId="4E14F662" w14:textId="5E5C9EB0" w:rsidR="00F26F98" w:rsidRPr="007C1494" w:rsidRDefault="00F26F98" w:rsidP="00F26F98">
            <w:pPr>
              <w:jc w:val="both"/>
              <w:rPr>
                <w:rFonts w:eastAsia="Calibri" w:cs="Times New Roman"/>
                <w:noProof/>
                <w:lang w:val="en-GB"/>
              </w:rPr>
            </w:pPr>
            <w:r>
              <w:rPr>
                <w:noProof/>
              </w:rPr>
              <w:t>104.</w:t>
            </w:r>
            <w:r w:rsidRPr="00856DB5">
              <w:rPr>
                <w:noProof/>
              </w:rPr>
              <w:t>2</w:t>
            </w:r>
          </w:p>
        </w:tc>
        <w:tc>
          <w:tcPr>
            <w:tcW w:w="1587" w:type="dxa"/>
          </w:tcPr>
          <w:p w14:paraId="153CE20C" w14:textId="440176BF" w:rsidR="00F26F98" w:rsidRPr="007C1494" w:rsidRDefault="00F26F98" w:rsidP="00F26F98">
            <w:pPr>
              <w:jc w:val="both"/>
              <w:rPr>
                <w:rFonts w:eastAsia="Calibri" w:cs="Times New Roman"/>
                <w:noProof/>
                <w:lang w:val="en-GB"/>
              </w:rPr>
            </w:pPr>
            <w:r>
              <w:rPr>
                <w:noProof/>
              </w:rPr>
              <w:t xml:space="preserve"> 1.</w:t>
            </w:r>
            <w:r w:rsidRPr="00856DB5">
              <w:rPr>
                <w:noProof/>
              </w:rPr>
              <w:t xml:space="preserve">545 </w:t>
            </w:r>
          </w:p>
        </w:tc>
        <w:tc>
          <w:tcPr>
            <w:tcW w:w="2658" w:type="dxa"/>
          </w:tcPr>
          <w:p w14:paraId="5BB8B508" w14:textId="77777777" w:rsidR="00F26F98" w:rsidRPr="007C1494" w:rsidRDefault="00F26F98" w:rsidP="00F26F98">
            <w:pPr>
              <w:rPr>
                <w:rFonts w:eastAsia="Calibri" w:cs="Times New Roman"/>
                <w:noProof/>
                <w:lang w:val="en-GB"/>
              </w:rPr>
            </w:pPr>
          </w:p>
        </w:tc>
      </w:tr>
      <w:tr w:rsidR="00F26F98" w:rsidRPr="007C1494" w14:paraId="7B14593F" w14:textId="77777777" w:rsidTr="00753031">
        <w:tc>
          <w:tcPr>
            <w:tcW w:w="1430" w:type="dxa"/>
          </w:tcPr>
          <w:p w14:paraId="75DA7A34" w14:textId="03CE608A" w:rsidR="00F26F98" w:rsidRPr="007C1494" w:rsidRDefault="00F26F98" w:rsidP="00F26F98">
            <w:pPr>
              <w:rPr>
                <w:rFonts w:eastAsia="Calibri" w:cs="Times New Roman"/>
                <w:b/>
                <w:noProof/>
                <w:lang w:val="en-GB"/>
              </w:rPr>
            </w:pPr>
            <w:r w:rsidRPr="007C1494">
              <w:rPr>
                <w:rFonts w:eastAsia="Calibri" w:cs="Times New Roman"/>
                <w:b/>
                <w:noProof/>
                <w:lang w:val="en-GB"/>
              </w:rPr>
              <w:t>Totals (including wood)</w:t>
            </w:r>
          </w:p>
        </w:tc>
        <w:tc>
          <w:tcPr>
            <w:tcW w:w="1536" w:type="dxa"/>
          </w:tcPr>
          <w:p w14:paraId="598F2662" w14:textId="78C2787D" w:rsidR="00F26F98" w:rsidRPr="007C1494" w:rsidRDefault="00F26F98" w:rsidP="00F26F98">
            <w:pPr>
              <w:rPr>
                <w:rFonts w:eastAsia="Calibri" w:cs="Times New Roman"/>
                <w:b/>
                <w:noProof/>
                <w:lang w:val="en-GB"/>
              </w:rPr>
            </w:pPr>
            <w:r w:rsidRPr="00357E14">
              <w:rPr>
                <w:noProof/>
              </w:rPr>
              <w:t>60</w:t>
            </w:r>
            <w:r>
              <w:rPr>
                <w:noProof/>
              </w:rPr>
              <w:t>,</w:t>
            </w:r>
            <w:r w:rsidRPr="00357E14">
              <w:rPr>
                <w:noProof/>
              </w:rPr>
              <w:t xml:space="preserve">457 </w:t>
            </w:r>
          </w:p>
        </w:tc>
        <w:tc>
          <w:tcPr>
            <w:tcW w:w="1544" w:type="dxa"/>
          </w:tcPr>
          <w:p w14:paraId="63C0636D" w14:textId="579558DB" w:rsidR="00F26F98" w:rsidRPr="007C1494" w:rsidRDefault="00F26F98" w:rsidP="00F26F98">
            <w:pPr>
              <w:jc w:val="both"/>
              <w:rPr>
                <w:rFonts w:eastAsia="Calibri" w:cs="Times New Roman"/>
                <w:b/>
                <w:noProof/>
                <w:lang w:val="en-GB"/>
              </w:rPr>
            </w:pPr>
            <w:r>
              <w:rPr>
                <w:noProof/>
              </w:rPr>
              <w:t>175</w:t>
            </w:r>
          </w:p>
        </w:tc>
        <w:tc>
          <w:tcPr>
            <w:tcW w:w="1587" w:type="dxa"/>
          </w:tcPr>
          <w:p w14:paraId="66B34707" w14:textId="50F5DDC0" w:rsidR="00F26F98" w:rsidRPr="007C1494" w:rsidRDefault="00F26F98" w:rsidP="00AE1521">
            <w:pPr>
              <w:jc w:val="both"/>
              <w:rPr>
                <w:rFonts w:eastAsia="Calibri" w:cs="Times New Roman"/>
                <w:b/>
                <w:noProof/>
                <w:lang w:val="en-GB"/>
              </w:rPr>
            </w:pPr>
            <w:r w:rsidRPr="00357E14">
              <w:rPr>
                <w:noProof/>
              </w:rPr>
              <w:t xml:space="preserve"> 2</w:t>
            </w:r>
            <w:r>
              <w:rPr>
                <w:noProof/>
              </w:rPr>
              <w:t>,</w:t>
            </w:r>
            <w:r w:rsidRPr="00357E14">
              <w:rPr>
                <w:noProof/>
              </w:rPr>
              <w:t>6</w:t>
            </w:r>
            <w:r w:rsidR="00AE1521">
              <w:rPr>
                <w:noProof/>
              </w:rPr>
              <w:t>16</w:t>
            </w:r>
            <w:r w:rsidRPr="00357E14">
              <w:rPr>
                <w:noProof/>
              </w:rPr>
              <w:t xml:space="preserve"> </w:t>
            </w:r>
          </w:p>
        </w:tc>
        <w:tc>
          <w:tcPr>
            <w:tcW w:w="2658" w:type="dxa"/>
          </w:tcPr>
          <w:p w14:paraId="06B8D01B" w14:textId="77777777" w:rsidR="00F26F98" w:rsidRPr="007C1494" w:rsidRDefault="00F26F98" w:rsidP="00F26F98">
            <w:pPr>
              <w:rPr>
                <w:rFonts w:eastAsia="Calibri" w:cs="Times New Roman"/>
                <w:b/>
                <w:noProof/>
                <w:lang w:val="en-GB"/>
              </w:rPr>
            </w:pPr>
          </w:p>
        </w:tc>
      </w:tr>
    </w:tbl>
    <w:p w14:paraId="02EAC5BA" w14:textId="04F67C99" w:rsidR="00FC250F" w:rsidRPr="007C1494" w:rsidRDefault="00FC250F" w:rsidP="30CC34C4">
      <w:pPr>
        <w:jc w:val="both"/>
        <w:rPr>
          <w:rFonts w:cs="Times New Roman"/>
          <w:noProof/>
          <w:szCs w:val="24"/>
        </w:rPr>
      </w:pPr>
    </w:p>
    <w:p w14:paraId="7F16A8C9" w14:textId="12692399" w:rsidR="00100EB7" w:rsidRPr="007C1494" w:rsidRDefault="00100EB7" w:rsidP="30CC34C4">
      <w:pPr>
        <w:jc w:val="both"/>
        <w:rPr>
          <w:rFonts w:cs="Times New Roman"/>
          <w:noProof/>
          <w:szCs w:val="24"/>
        </w:rPr>
      </w:pPr>
      <w:r w:rsidRPr="007C1494">
        <w:rPr>
          <w:rFonts w:cs="Times New Roman"/>
          <w:noProof/>
          <w:szCs w:val="24"/>
        </w:rPr>
        <w:t xml:space="preserve">The approach taken to estimate the costs of </w:t>
      </w:r>
      <w:r w:rsidRPr="007C1494" w:rsidDel="00471E73">
        <w:rPr>
          <w:rFonts w:cs="Times New Roman"/>
          <w:noProof/>
          <w:szCs w:val="24"/>
        </w:rPr>
        <w:t>due diligence</w:t>
      </w:r>
      <w:r w:rsidRPr="007C1494">
        <w:rPr>
          <w:rFonts w:cs="Times New Roman"/>
          <w:noProof/>
          <w:szCs w:val="24"/>
        </w:rPr>
        <w:t xml:space="preserve"> for operators presents a number of uncertainties and limitations:</w:t>
      </w:r>
    </w:p>
    <w:p w14:paraId="5514094B" w14:textId="573B40DA" w:rsidR="007F2536" w:rsidRPr="007C1494" w:rsidRDefault="007F2536" w:rsidP="00961FB0">
      <w:pPr>
        <w:pStyle w:val="ListParagraph"/>
        <w:numPr>
          <w:ilvl w:val="0"/>
          <w:numId w:val="37"/>
        </w:numPr>
        <w:jc w:val="both"/>
        <w:rPr>
          <w:rFonts w:cs="Times New Roman"/>
          <w:noProof/>
          <w:szCs w:val="24"/>
        </w:rPr>
      </w:pPr>
      <w:r w:rsidRPr="007C1494">
        <w:rPr>
          <w:rFonts w:cs="Times New Roman"/>
          <w:noProof/>
          <w:szCs w:val="24"/>
        </w:rPr>
        <w:t xml:space="preserve">It is based on EUTR </w:t>
      </w:r>
      <w:r w:rsidRPr="007C1494" w:rsidDel="00471E73">
        <w:rPr>
          <w:rFonts w:cs="Times New Roman"/>
          <w:noProof/>
          <w:szCs w:val="24"/>
        </w:rPr>
        <w:t>due diligence</w:t>
      </w:r>
      <w:r w:rsidRPr="007C1494">
        <w:rPr>
          <w:rFonts w:cs="Times New Roman"/>
          <w:noProof/>
          <w:szCs w:val="24"/>
        </w:rPr>
        <w:t xml:space="preserve"> which includes only </w:t>
      </w:r>
      <w:r w:rsidR="00FA0AB7">
        <w:rPr>
          <w:rFonts w:cs="Times New Roman"/>
          <w:noProof/>
          <w:szCs w:val="24"/>
        </w:rPr>
        <w:t>due diligence obligations related to the laws of the country of origin</w:t>
      </w:r>
      <w:r w:rsidRPr="007C1494">
        <w:rPr>
          <w:rFonts w:cs="Times New Roman"/>
          <w:noProof/>
          <w:szCs w:val="24"/>
        </w:rPr>
        <w:t xml:space="preserve">. The deforestation-free </w:t>
      </w:r>
      <w:r w:rsidR="00FA0AB7">
        <w:rPr>
          <w:rFonts w:cs="Times New Roman"/>
          <w:noProof/>
          <w:szCs w:val="24"/>
        </w:rPr>
        <w:t>definition</w:t>
      </w:r>
      <w:r w:rsidR="00F07688" w:rsidRPr="007C1494">
        <w:rPr>
          <w:rFonts w:cs="Times New Roman"/>
          <w:noProof/>
          <w:szCs w:val="24"/>
        </w:rPr>
        <w:t xml:space="preserve"> </w:t>
      </w:r>
      <w:r w:rsidR="00FA0AB7">
        <w:rPr>
          <w:rFonts w:cs="Times New Roman"/>
          <w:noProof/>
          <w:szCs w:val="24"/>
        </w:rPr>
        <w:t>is</w:t>
      </w:r>
      <w:r w:rsidR="00F07688" w:rsidRPr="007C1494">
        <w:rPr>
          <w:rFonts w:cs="Times New Roman"/>
          <w:noProof/>
          <w:szCs w:val="24"/>
        </w:rPr>
        <w:t xml:space="preserve"> </w:t>
      </w:r>
      <w:r w:rsidR="00F07688">
        <w:rPr>
          <w:rFonts w:cs="Times New Roman"/>
          <w:noProof/>
          <w:szCs w:val="24"/>
        </w:rPr>
        <w:t>expected</w:t>
      </w:r>
      <w:r w:rsidR="00F07688" w:rsidRPr="007C1494">
        <w:rPr>
          <w:rFonts w:cs="Times New Roman"/>
          <w:noProof/>
          <w:szCs w:val="24"/>
        </w:rPr>
        <w:t xml:space="preserve"> </w:t>
      </w:r>
      <w:r w:rsidRPr="007C1494">
        <w:rPr>
          <w:rFonts w:cs="Times New Roman"/>
          <w:noProof/>
          <w:szCs w:val="24"/>
        </w:rPr>
        <w:t xml:space="preserve">to add </w:t>
      </w:r>
      <w:r w:rsidR="00F07688">
        <w:rPr>
          <w:rFonts w:cs="Times New Roman"/>
          <w:noProof/>
          <w:szCs w:val="24"/>
        </w:rPr>
        <w:t>a new layer of costs</w:t>
      </w:r>
      <w:r w:rsidR="00FA0AB7">
        <w:rPr>
          <w:rFonts w:cs="Times New Roman"/>
          <w:noProof/>
          <w:szCs w:val="24"/>
        </w:rPr>
        <w:t xml:space="preserve"> to due diligence systems. This new layer, as argued in section 4.4, is expected to be simpler and therefore less costly.</w:t>
      </w:r>
    </w:p>
    <w:p w14:paraId="0A984873" w14:textId="005B1989" w:rsidR="00100EB7" w:rsidRPr="007C1494" w:rsidRDefault="007F2536" w:rsidP="00961FB0">
      <w:pPr>
        <w:pStyle w:val="ListParagraph"/>
        <w:numPr>
          <w:ilvl w:val="0"/>
          <w:numId w:val="37"/>
        </w:numPr>
        <w:jc w:val="both"/>
        <w:rPr>
          <w:rFonts w:cs="Times New Roman"/>
          <w:noProof/>
          <w:szCs w:val="24"/>
        </w:rPr>
      </w:pPr>
      <w:r w:rsidRPr="007C1494">
        <w:rPr>
          <w:rFonts w:cs="Times New Roman"/>
          <w:noProof/>
          <w:szCs w:val="24"/>
        </w:rPr>
        <w:t xml:space="preserve">The same EUTR ratio is applied across the board to all commodities on the basis of import value but it is likely that exercising </w:t>
      </w:r>
      <w:r w:rsidRPr="007C1494" w:rsidDel="00471E73">
        <w:rPr>
          <w:rFonts w:cs="Times New Roman"/>
          <w:noProof/>
          <w:szCs w:val="24"/>
        </w:rPr>
        <w:t>due diligence</w:t>
      </w:r>
      <w:r w:rsidRPr="007C1494">
        <w:rPr>
          <w:rFonts w:cs="Times New Roman"/>
          <w:noProof/>
          <w:szCs w:val="24"/>
        </w:rPr>
        <w:t xml:space="preserve"> for some commodities would be </w:t>
      </w:r>
      <w:r w:rsidR="005809EC" w:rsidRPr="007C1494">
        <w:rPr>
          <w:rFonts w:cs="Times New Roman"/>
          <w:noProof/>
          <w:szCs w:val="24"/>
        </w:rPr>
        <w:t xml:space="preserve">either </w:t>
      </w:r>
      <w:r w:rsidRPr="007C1494">
        <w:rPr>
          <w:rFonts w:cs="Times New Roman"/>
          <w:noProof/>
          <w:szCs w:val="24"/>
        </w:rPr>
        <w:t>easier or more complex than for wood. There will also be significant differences depending on the levels of risk of deforestation in sourcing countries</w:t>
      </w:r>
      <w:r w:rsidR="002E550E" w:rsidRPr="007C1494">
        <w:rPr>
          <w:rFonts w:cs="Times New Roman"/>
          <w:noProof/>
          <w:szCs w:val="24"/>
        </w:rPr>
        <w:t>;</w:t>
      </w:r>
    </w:p>
    <w:p w14:paraId="305FF6B9" w14:textId="480F0944" w:rsidR="001B21BB" w:rsidRPr="007C1494" w:rsidRDefault="001B21BB" w:rsidP="00681AAC">
      <w:pPr>
        <w:jc w:val="both"/>
        <w:rPr>
          <w:rFonts w:cs="Times New Roman"/>
          <w:noProof/>
          <w:szCs w:val="24"/>
        </w:rPr>
      </w:pPr>
      <w:r w:rsidRPr="007C1494">
        <w:rPr>
          <w:rFonts w:cs="Times New Roman"/>
          <w:noProof/>
          <w:szCs w:val="24"/>
        </w:rPr>
        <w:t xml:space="preserve">Although these elements introduce uncertainty in the calculations, </w:t>
      </w:r>
      <w:r w:rsidR="00417DDF">
        <w:rPr>
          <w:rFonts w:cs="Times New Roman"/>
          <w:noProof/>
          <w:szCs w:val="24"/>
        </w:rPr>
        <w:t>they are</w:t>
      </w:r>
      <w:r w:rsidRPr="007C1494">
        <w:rPr>
          <w:rFonts w:cs="Times New Roman"/>
          <w:noProof/>
          <w:szCs w:val="24"/>
        </w:rPr>
        <w:t xml:space="preserve"> considered the best estimate.</w:t>
      </w:r>
      <w:r w:rsidR="00E723CE">
        <w:rPr>
          <w:rFonts w:cs="Times New Roman"/>
          <w:noProof/>
          <w:szCs w:val="24"/>
        </w:rPr>
        <w:t xml:space="preserve"> This results in recurrent costs of between €175 million and €2,616 million per year.</w:t>
      </w:r>
      <w:r w:rsidRPr="007C1494">
        <w:rPr>
          <w:rFonts w:cs="Times New Roman"/>
          <w:noProof/>
          <w:szCs w:val="24"/>
        </w:rPr>
        <w:t xml:space="preserve"> Other attempts to estimate the costs of </w:t>
      </w:r>
      <w:r w:rsidRPr="007C1494" w:rsidDel="00471E73">
        <w:rPr>
          <w:rFonts w:cs="Times New Roman"/>
          <w:noProof/>
          <w:szCs w:val="24"/>
        </w:rPr>
        <w:t>due diligence</w:t>
      </w:r>
      <w:r w:rsidRPr="007C1494">
        <w:rPr>
          <w:rFonts w:cs="Times New Roman"/>
          <w:noProof/>
          <w:szCs w:val="24"/>
        </w:rPr>
        <w:t xml:space="preserve"> based on the number of </w:t>
      </w:r>
      <w:r w:rsidR="002E550E" w:rsidRPr="007C1494">
        <w:rPr>
          <w:rFonts w:cs="Times New Roman"/>
          <w:noProof/>
          <w:szCs w:val="24"/>
        </w:rPr>
        <w:t xml:space="preserve">operators </w:t>
      </w:r>
      <w:r w:rsidRPr="007C1494">
        <w:rPr>
          <w:rFonts w:cs="Times New Roman"/>
          <w:noProof/>
          <w:szCs w:val="24"/>
        </w:rPr>
        <w:t xml:space="preserve">for each commodity showed </w:t>
      </w:r>
      <w:r w:rsidR="002E550E" w:rsidRPr="007C1494">
        <w:rPr>
          <w:rFonts w:cs="Times New Roman"/>
          <w:noProof/>
          <w:szCs w:val="24"/>
        </w:rPr>
        <w:t xml:space="preserve">a very </w:t>
      </w:r>
      <w:r w:rsidRPr="007C1494">
        <w:rPr>
          <w:rFonts w:cs="Times New Roman"/>
          <w:noProof/>
          <w:szCs w:val="24"/>
        </w:rPr>
        <w:t>high variability due to the lack of reliable data, and were therefore discarded</w:t>
      </w:r>
      <w:r w:rsidR="006C0582" w:rsidRPr="007C1494">
        <w:rPr>
          <w:rStyle w:val="FootnoteReference"/>
          <w:rFonts w:cs="Times New Roman"/>
          <w:noProof/>
          <w:szCs w:val="24"/>
        </w:rPr>
        <w:footnoteReference w:id="200"/>
      </w:r>
      <w:r w:rsidRPr="007C1494">
        <w:rPr>
          <w:rFonts w:cs="Times New Roman"/>
          <w:noProof/>
          <w:szCs w:val="24"/>
        </w:rPr>
        <w:t xml:space="preserve">.  </w:t>
      </w:r>
    </w:p>
    <w:p w14:paraId="094A90B9" w14:textId="7841FA30" w:rsidR="006C0582" w:rsidRPr="007C1494" w:rsidRDefault="006C0582" w:rsidP="00681AAC">
      <w:pPr>
        <w:jc w:val="both"/>
        <w:rPr>
          <w:rFonts w:cs="Times New Roman"/>
          <w:noProof/>
          <w:szCs w:val="24"/>
        </w:rPr>
      </w:pPr>
      <w:r w:rsidRPr="007C1494">
        <w:rPr>
          <w:rFonts w:cs="Times New Roman"/>
          <w:noProof/>
          <w:szCs w:val="24"/>
        </w:rPr>
        <w:t xml:space="preserve">The above costs represent the direct costs of setting up </w:t>
      </w:r>
      <w:r w:rsidR="00803F1D">
        <w:rPr>
          <w:rFonts w:cs="Times New Roman"/>
          <w:noProof/>
          <w:szCs w:val="24"/>
        </w:rPr>
        <w:t xml:space="preserve">and operating </w:t>
      </w:r>
      <w:r w:rsidRPr="007C1494">
        <w:rPr>
          <w:rFonts w:cs="Times New Roman"/>
          <w:noProof/>
          <w:szCs w:val="24"/>
        </w:rPr>
        <w:t xml:space="preserve">a </w:t>
      </w:r>
      <w:r w:rsidRPr="007C1494" w:rsidDel="00471E73">
        <w:rPr>
          <w:rFonts w:cs="Times New Roman"/>
          <w:noProof/>
          <w:szCs w:val="24"/>
        </w:rPr>
        <w:t>due diligence</w:t>
      </w:r>
      <w:r w:rsidRPr="007C1494" w:rsidDel="00974952">
        <w:rPr>
          <w:rFonts w:cs="Times New Roman"/>
          <w:noProof/>
          <w:szCs w:val="24"/>
        </w:rPr>
        <w:t xml:space="preserve"> system</w:t>
      </w:r>
      <w:r w:rsidRPr="007C1494">
        <w:rPr>
          <w:rFonts w:cs="Times New Roman"/>
          <w:noProof/>
          <w:szCs w:val="24"/>
        </w:rPr>
        <w:t xml:space="preserve">. In addition to those, operators may incur additional costs as a consequence of the results of the </w:t>
      </w:r>
      <w:r w:rsidRPr="007C1494" w:rsidDel="00471E73">
        <w:rPr>
          <w:rFonts w:cs="Times New Roman"/>
          <w:noProof/>
          <w:szCs w:val="24"/>
        </w:rPr>
        <w:t>due diligence</w:t>
      </w:r>
      <w:r w:rsidRPr="007C1494">
        <w:rPr>
          <w:rFonts w:cs="Times New Roman"/>
          <w:noProof/>
          <w:szCs w:val="24"/>
        </w:rPr>
        <w:t xml:space="preserve"> for specific supply chains, i.e. by implementing mitigation measures where necessary. These may entail for example changing suppliers</w:t>
      </w:r>
      <w:r w:rsidR="00130FAA">
        <w:rPr>
          <w:rFonts w:cs="Times New Roman"/>
          <w:noProof/>
          <w:szCs w:val="24"/>
        </w:rPr>
        <w:t>,</w:t>
      </w:r>
      <w:r w:rsidRPr="007C1494">
        <w:rPr>
          <w:rFonts w:cs="Times New Roman"/>
          <w:noProof/>
          <w:szCs w:val="24"/>
        </w:rPr>
        <w:t xml:space="preserve"> if risks of specific supply chains cannot be mitigated in a different way. Given that the need for such mitigation measures and the type of action taken are very context specific, it is not possible to quantify such costs.     </w:t>
      </w:r>
    </w:p>
    <w:p w14:paraId="2F1873B3" w14:textId="1627EC44" w:rsidR="003944AE" w:rsidRDefault="00F00F58" w:rsidP="00681AAC">
      <w:pPr>
        <w:jc w:val="both"/>
        <w:rPr>
          <w:rFonts w:cs="Times New Roman"/>
          <w:noProof/>
          <w:szCs w:val="24"/>
        </w:rPr>
      </w:pPr>
      <w:r w:rsidRPr="007C1494">
        <w:rPr>
          <w:rFonts w:cs="Times New Roman"/>
          <w:noProof/>
          <w:szCs w:val="24"/>
        </w:rPr>
        <w:t>In addition</w:t>
      </w:r>
      <w:r w:rsidR="00B641AF" w:rsidRPr="007C1494">
        <w:rPr>
          <w:rFonts w:cs="Times New Roman"/>
          <w:noProof/>
          <w:szCs w:val="24"/>
        </w:rPr>
        <w:t>,</w:t>
      </w:r>
      <w:r w:rsidRPr="007C1494">
        <w:rPr>
          <w:rFonts w:cs="Times New Roman"/>
          <w:noProof/>
          <w:szCs w:val="24"/>
        </w:rPr>
        <w:t xml:space="preserve"> </w:t>
      </w:r>
      <w:r w:rsidR="00A94918">
        <w:rPr>
          <w:rFonts w:cs="Times New Roman"/>
          <w:noProof/>
          <w:szCs w:val="24"/>
        </w:rPr>
        <w:t>o</w:t>
      </w:r>
      <w:r w:rsidRPr="007C1494">
        <w:rPr>
          <w:rFonts w:cs="Times New Roman"/>
          <w:noProof/>
          <w:szCs w:val="24"/>
        </w:rPr>
        <w:t xml:space="preserve">ption 1 will entail costs of implementation and enforcement </w:t>
      </w:r>
      <w:r w:rsidR="0005175A" w:rsidRPr="007C1494">
        <w:rPr>
          <w:rFonts w:cs="Times New Roman"/>
          <w:noProof/>
          <w:szCs w:val="24"/>
        </w:rPr>
        <w:t>for</w:t>
      </w:r>
      <w:r w:rsidRPr="007C1494">
        <w:rPr>
          <w:rFonts w:cs="Times New Roman"/>
          <w:noProof/>
          <w:szCs w:val="24"/>
        </w:rPr>
        <w:t xml:space="preserve"> </w:t>
      </w:r>
      <w:r w:rsidRPr="007C1494" w:rsidDel="00F2026D">
        <w:rPr>
          <w:rFonts w:cs="Times New Roman"/>
          <w:noProof/>
          <w:szCs w:val="24"/>
        </w:rPr>
        <w:t xml:space="preserve">Member </w:t>
      </w:r>
      <w:r w:rsidRPr="007C1494">
        <w:rPr>
          <w:rFonts w:cs="Times New Roman"/>
          <w:noProof/>
          <w:szCs w:val="24"/>
        </w:rPr>
        <w:t>States authorities, who</w:t>
      </w:r>
      <w:r w:rsidR="0005175A" w:rsidRPr="007C1494">
        <w:rPr>
          <w:rFonts w:cs="Times New Roman"/>
          <w:noProof/>
          <w:szCs w:val="24"/>
        </w:rPr>
        <w:t>,</w:t>
      </w:r>
      <w:r w:rsidRPr="007C1494">
        <w:rPr>
          <w:rFonts w:cs="Times New Roman"/>
          <w:noProof/>
          <w:szCs w:val="24"/>
        </w:rPr>
        <w:t xml:space="preserve"> as in the case of EUTR</w:t>
      </w:r>
      <w:r w:rsidR="0005175A" w:rsidRPr="007C1494">
        <w:rPr>
          <w:rFonts w:cs="Times New Roman"/>
          <w:noProof/>
          <w:szCs w:val="24"/>
        </w:rPr>
        <w:t>,</w:t>
      </w:r>
      <w:r w:rsidRPr="007C1494">
        <w:rPr>
          <w:rFonts w:cs="Times New Roman"/>
          <w:noProof/>
          <w:szCs w:val="24"/>
        </w:rPr>
        <w:t xml:space="preserve"> would be </w:t>
      </w:r>
      <w:r w:rsidR="0005175A" w:rsidRPr="007C1494">
        <w:rPr>
          <w:rFonts w:cs="Times New Roman"/>
          <w:noProof/>
          <w:szCs w:val="24"/>
        </w:rPr>
        <w:t xml:space="preserve">tasked with </w:t>
      </w:r>
      <w:r w:rsidRPr="007C1494">
        <w:rPr>
          <w:rFonts w:cs="Times New Roman"/>
          <w:noProof/>
          <w:szCs w:val="24"/>
        </w:rPr>
        <w:t>inspect</w:t>
      </w:r>
      <w:r w:rsidR="0005175A" w:rsidRPr="007C1494">
        <w:rPr>
          <w:rFonts w:cs="Times New Roman"/>
          <w:noProof/>
          <w:szCs w:val="24"/>
        </w:rPr>
        <w:t>ing</w:t>
      </w:r>
      <w:r w:rsidRPr="007C1494">
        <w:rPr>
          <w:rFonts w:cs="Times New Roman"/>
          <w:noProof/>
          <w:szCs w:val="24"/>
        </w:rPr>
        <w:t xml:space="preserve"> and ensur</w:t>
      </w:r>
      <w:r w:rsidR="0005175A" w:rsidRPr="007C1494">
        <w:rPr>
          <w:rFonts w:cs="Times New Roman"/>
          <w:noProof/>
          <w:szCs w:val="24"/>
        </w:rPr>
        <w:t>ing</w:t>
      </w:r>
      <w:r w:rsidRPr="007C1494">
        <w:rPr>
          <w:rFonts w:cs="Times New Roman"/>
          <w:noProof/>
          <w:szCs w:val="24"/>
        </w:rPr>
        <w:t xml:space="preserve"> that the operators have appropriate </w:t>
      </w:r>
      <w:r w:rsidRPr="007C1494" w:rsidDel="00471E73">
        <w:rPr>
          <w:rFonts w:cs="Times New Roman"/>
          <w:noProof/>
          <w:szCs w:val="24"/>
        </w:rPr>
        <w:t>due diligence</w:t>
      </w:r>
      <w:r w:rsidRPr="007C1494" w:rsidDel="00974952">
        <w:rPr>
          <w:rFonts w:cs="Times New Roman"/>
          <w:noProof/>
          <w:szCs w:val="24"/>
        </w:rPr>
        <w:t xml:space="preserve"> </w:t>
      </w:r>
      <w:r w:rsidRPr="007C1494">
        <w:rPr>
          <w:rFonts w:cs="Times New Roman"/>
          <w:noProof/>
          <w:szCs w:val="24"/>
        </w:rPr>
        <w:t>systems</w:t>
      </w:r>
      <w:r w:rsidR="0005175A" w:rsidRPr="007C1494">
        <w:rPr>
          <w:rFonts w:cs="Times New Roman"/>
          <w:noProof/>
          <w:szCs w:val="24"/>
        </w:rPr>
        <w:t xml:space="preserve"> in place</w:t>
      </w:r>
      <w:r w:rsidRPr="007C1494">
        <w:rPr>
          <w:rFonts w:cs="Times New Roman"/>
          <w:noProof/>
          <w:szCs w:val="24"/>
        </w:rPr>
        <w:t xml:space="preserve">. The costs </w:t>
      </w:r>
      <w:r w:rsidR="001B21BB" w:rsidRPr="007C1494">
        <w:rPr>
          <w:rFonts w:cs="Times New Roman"/>
          <w:noProof/>
          <w:szCs w:val="24"/>
        </w:rPr>
        <w:t xml:space="preserve">for authorities of EUTR was estimated on the basis of the data reported by </w:t>
      </w:r>
      <w:r w:rsidR="001B21BB" w:rsidRPr="007C1494" w:rsidDel="00F2026D">
        <w:rPr>
          <w:rFonts w:cs="Times New Roman"/>
          <w:noProof/>
          <w:szCs w:val="24"/>
        </w:rPr>
        <w:t xml:space="preserve">Member </w:t>
      </w:r>
      <w:r w:rsidR="001B21BB" w:rsidRPr="007C1494">
        <w:rPr>
          <w:rFonts w:cs="Times New Roman"/>
          <w:noProof/>
          <w:szCs w:val="24"/>
        </w:rPr>
        <w:t>States.</w:t>
      </w:r>
    </w:p>
    <w:p w14:paraId="08F9761A" w14:textId="08DFEB4A" w:rsidR="004E40F9" w:rsidRDefault="00225AA6" w:rsidP="00681AAC">
      <w:pPr>
        <w:jc w:val="both"/>
        <w:rPr>
          <w:rFonts w:cs="Times New Roman"/>
          <w:noProof/>
          <w:szCs w:val="24"/>
        </w:rPr>
      </w:pPr>
      <w:r>
        <w:rPr>
          <w:rFonts w:cs="Times New Roman"/>
          <w:noProof/>
          <w:szCs w:val="24"/>
        </w:rPr>
        <w:t>The r</w:t>
      </w:r>
      <w:r w:rsidR="004E40F9" w:rsidRPr="004E40F9">
        <w:rPr>
          <w:rFonts w:cs="Times New Roman"/>
          <w:noProof/>
          <w:szCs w:val="24"/>
        </w:rPr>
        <w:t xml:space="preserve">ecent analysis on EUTR implementation </w:t>
      </w:r>
      <w:r w:rsidRPr="004E40F9">
        <w:rPr>
          <w:rFonts w:cs="Times New Roman"/>
          <w:noProof/>
          <w:szCs w:val="24"/>
        </w:rPr>
        <w:t xml:space="preserve">published in 2019 </w:t>
      </w:r>
      <w:r w:rsidR="004E40F9" w:rsidRPr="004E40F9">
        <w:rPr>
          <w:rFonts w:cs="Times New Roman"/>
          <w:noProof/>
          <w:szCs w:val="24"/>
        </w:rPr>
        <w:t>using information from Biennial Reports published by Member States in the period 2017-2019 compares the human resources available for the implementati</w:t>
      </w:r>
      <w:r w:rsidR="004E40F9">
        <w:rPr>
          <w:rFonts w:cs="Times New Roman"/>
          <w:noProof/>
          <w:szCs w:val="24"/>
        </w:rPr>
        <w:t xml:space="preserve">on of the EUTR. </w:t>
      </w:r>
      <w:r w:rsidR="00B8313F">
        <w:rPr>
          <w:rFonts w:cs="Times New Roman"/>
          <w:noProof/>
          <w:szCs w:val="24"/>
        </w:rPr>
        <w:t xml:space="preserve">Implementation resources are uneven across member states. </w:t>
      </w:r>
      <w:r w:rsidR="004E40F9" w:rsidRPr="004E40F9">
        <w:rPr>
          <w:rFonts w:cs="Times New Roman"/>
          <w:noProof/>
          <w:szCs w:val="24"/>
        </w:rPr>
        <w:t xml:space="preserve">In the EUTR Fitness Check, interviewees confirmed that the </w:t>
      </w:r>
      <w:r w:rsidR="004E40F9">
        <w:rPr>
          <w:rFonts w:cs="Times New Roman"/>
          <w:noProof/>
          <w:szCs w:val="24"/>
        </w:rPr>
        <w:t xml:space="preserve">member states’ </w:t>
      </w:r>
      <w:r w:rsidR="004E40F9" w:rsidRPr="004E40F9">
        <w:rPr>
          <w:rFonts w:cs="Times New Roman"/>
          <w:noProof/>
          <w:szCs w:val="24"/>
        </w:rPr>
        <w:t xml:space="preserve">costs for the EUTR implementation depends </w:t>
      </w:r>
      <w:r w:rsidR="004E40F9">
        <w:rPr>
          <w:rFonts w:cs="Times New Roman"/>
          <w:noProof/>
          <w:szCs w:val="24"/>
        </w:rPr>
        <w:t xml:space="preserve">much </w:t>
      </w:r>
      <w:r w:rsidR="004E40F9" w:rsidRPr="004E40F9">
        <w:rPr>
          <w:rFonts w:cs="Times New Roman"/>
          <w:noProof/>
          <w:szCs w:val="24"/>
        </w:rPr>
        <w:t>on the number of operators and traders within a specific country.</w:t>
      </w:r>
    </w:p>
    <w:p w14:paraId="55513F6B" w14:textId="04808414" w:rsidR="00066E1D" w:rsidRDefault="004E40F9" w:rsidP="00681AAC">
      <w:pPr>
        <w:jc w:val="both"/>
        <w:rPr>
          <w:noProof/>
        </w:rPr>
      </w:pPr>
      <w:r w:rsidRPr="007C07B1">
        <w:rPr>
          <w:noProof/>
        </w:rPr>
        <w:t xml:space="preserve">Estimated overall costs of EUTR for CAs are shown in the table below. </w:t>
      </w:r>
      <w:r w:rsidRPr="007C07B1">
        <w:rPr>
          <w:rFonts w:cs="Segoe UI"/>
          <w:noProof/>
        </w:rPr>
        <w:t xml:space="preserve">This shows the total number of FTEs </w:t>
      </w:r>
      <w:r w:rsidR="007B6180">
        <w:rPr>
          <w:rFonts w:cs="Segoe UI"/>
          <w:noProof/>
        </w:rPr>
        <w:t xml:space="preserve">(full time equivalent staff) </w:t>
      </w:r>
      <w:r w:rsidRPr="007C07B1">
        <w:rPr>
          <w:rFonts w:cs="Segoe UI"/>
          <w:noProof/>
        </w:rPr>
        <w:t>across the EU is 182 and based on an average wage across Member State</w:t>
      </w:r>
      <w:r w:rsidR="00A978E0">
        <w:rPr>
          <w:rFonts w:cs="Segoe UI"/>
          <w:noProof/>
        </w:rPr>
        <w:t>s</w:t>
      </w:r>
      <w:r w:rsidRPr="007C07B1">
        <w:rPr>
          <w:rFonts w:cs="Segoe UI"/>
          <w:noProof/>
        </w:rPr>
        <w:t xml:space="preserve"> in the EU of </w:t>
      </w:r>
      <w:r w:rsidR="00160C17">
        <w:rPr>
          <w:rFonts w:cs="Segoe UI"/>
          <w:noProof/>
        </w:rPr>
        <w:t>€</w:t>
      </w:r>
      <w:r w:rsidRPr="007C07B1">
        <w:rPr>
          <w:rFonts w:cs="Segoe UI"/>
          <w:noProof/>
        </w:rPr>
        <w:t xml:space="preserve">40,000 per year, the total costs of EUTR compliance for Member States CAs is approximately </w:t>
      </w:r>
      <w:r w:rsidR="00160C17">
        <w:rPr>
          <w:rFonts w:cs="Segoe UI"/>
          <w:noProof/>
        </w:rPr>
        <w:t>€</w:t>
      </w:r>
      <w:r w:rsidRPr="007C07B1">
        <w:rPr>
          <w:rFonts w:cs="Segoe UI"/>
          <w:noProof/>
        </w:rPr>
        <w:t>7.3 m</w:t>
      </w:r>
      <w:r w:rsidR="00160C17">
        <w:rPr>
          <w:rFonts w:cs="Segoe UI"/>
          <w:noProof/>
        </w:rPr>
        <w:t>illion</w:t>
      </w:r>
      <w:r w:rsidRPr="007C07B1">
        <w:rPr>
          <w:rFonts w:cs="Segoe UI"/>
          <w:noProof/>
        </w:rPr>
        <w:t xml:space="preserve"> per year. This cost is </w:t>
      </w:r>
      <w:r>
        <w:rPr>
          <w:rFonts w:cs="Segoe UI"/>
          <w:noProof/>
        </w:rPr>
        <w:t>slightly higher</w:t>
      </w:r>
      <w:r w:rsidRPr="007C07B1">
        <w:rPr>
          <w:rFonts w:cs="Segoe UI"/>
          <w:noProof/>
        </w:rPr>
        <w:t xml:space="preserve"> </w:t>
      </w:r>
      <w:r>
        <w:rPr>
          <w:rFonts w:cs="Segoe UI"/>
          <w:noProof/>
        </w:rPr>
        <w:t xml:space="preserve">than </w:t>
      </w:r>
      <w:r w:rsidRPr="007C07B1">
        <w:rPr>
          <w:rFonts w:cs="Segoe UI"/>
          <w:noProof/>
        </w:rPr>
        <w:t xml:space="preserve">the total cost of EUTR compliance reported </w:t>
      </w:r>
      <w:r w:rsidR="00A978E0">
        <w:rPr>
          <w:rFonts w:cs="Segoe UI"/>
          <w:noProof/>
        </w:rPr>
        <w:t>by</w:t>
      </w:r>
      <w:r w:rsidRPr="007C07B1">
        <w:rPr>
          <w:rFonts w:cs="Segoe UI"/>
          <w:noProof/>
        </w:rPr>
        <w:t xml:space="preserve"> Member States CAs in the 2016 evaluation of the EUTR, which provided a range of €20,000 - 466,000 per year, depending on the </w:t>
      </w:r>
      <w:r w:rsidR="00A978E0">
        <w:rPr>
          <w:rFonts w:cs="Segoe UI"/>
          <w:noProof/>
        </w:rPr>
        <w:t>M</w:t>
      </w:r>
      <w:r w:rsidRPr="007C07B1">
        <w:rPr>
          <w:rFonts w:cs="Segoe UI"/>
          <w:noProof/>
        </w:rPr>
        <w:t xml:space="preserve">ember </w:t>
      </w:r>
      <w:r w:rsidR="00A978E0">
        <w:rPr>
          <w:rFonts w:cs="Segoe UI"/>
          <w:noProof/>
        </w:rPr>
        <w:t>S</w:t>
      </w:r>
      <w:r w:rsidRPr="007C07B1">
        <w:rPr>
          <w:rFonts w:cs="Segoe UI"/>
          <w:noProof/>
        </w:rPr>
        <w:t>tate</w:t>
      </w:r>
      <w:r w:rsidRPr="007C07B1">
        <w:rPr>
          <w:rStyle w:val="FootnoteReference"/>
          <w:rFonts w:cs="Segoe UI"/>
          <w:noProof/>
        </w:rPr>
        <w:footnoteReference w:id="201"/>
      </w:r>
      <w:r>
        <w:rPr>
          <w:rFonts w:cs="Segoe UI"/>
          <w:noProof/>
        </w:rPr>
        <w:t>, which corresponded</w:t>
      </w:r>
      <w:r w:rsidRPr="007C07B1">
        <w:rPr>
          <w:rFonts w:cs="Segoe UI"/>
          <w:noProof/>
        </w:rPr>
        <w:t xml:space="preserve"> </w:t>
      </w:r>
      <w:r>
        <w:rPr>
          <w:rFonts w:cs="Segoe UI"/>
          <w:noProof/>
        </w:rPr>
        <w:t xml:space="preserve">to </w:t>
      </w:r>
      <w:r w:rsidRPr="007C07B1">
        <w:rPr>
          <w:noProof/>
        </w:rPr>
        <w:t xml:space="preserve">total </w:t>
      </w:r>
      <w:r>
        <w:rPr>
          <w:noProof/>
        </w:rPr>
        <w:t xml:space="preserve">annual costs for all EU </w:t>
      </w:r>
      <w:r w:rsidR="00A978E0">
        <w:rPr>
          <w:noProof/>
        </w:rPr>
        <w:t>M</w:t>
      </w:r>
      <w:r>
        <w:rPr>
          <w:noProof/>
        </w:rPr>
        <w:t xml:space="preserve">ember </w:t>
      </w:r>
      <w:r w:rsidR="00A978E0">
        <w:rPr>
          <w:noProof/>
        </w:rPr>
        <w:t>S</w:t>
      </w:r>
      <w:r>
        <w:rPr>
          <w:noProof/>
        </w:rPr>
        <w:t xml:space="preserve">tates </w:t>
      </w:r>
      <w:r w:rsidRPr="007C07B1">
        <w:rPr>
          <w:noProof/>
        </w:rPr>
        <w:t>of €6.8 million.</w:t>
      </w:r>
    </w:p>
    <w:p w14:paraId="3E85AA6B" w14:textId="6B41482D" w:rsidR="003944AE" w:rsidRDefault="00066E1D" w:rsidP="00681AAC">
      <w:pPr>
        <w:jc w:val="both"/>
        <w:rPr>
          <w:rFonts w:cs="Times New Roman"/>
          <w:noProof/>
          <w:szCs w:val="24"/>
        </w:rPr>
      </w:pPr>
      <w:r w:rsidRPr="007C07B1">
        <w:rPr>
          <w:noProof/>
        </w:rPr>
        <w:t xml:space="preserve">It is assumed that the resources required from </w:t>
      </w:r>
      <w:r w:rsidR="00A978E0">
        <w:rPr>
          <w:noProof/>
        </w:rPr>
        <w:t>M</w:t>
      </w:r>
      <w:r w:rsidRPr="007C07B1">
        <w:rPr>
          <w:noProof/>
        </w:rPr>
        <w:t xml:space="preserve">ember </w:t>
      </w:r>
      <w:r w:rsidR="00A94918">
        <w:rPr>
          <w:noProof/>
        </w:rPr>
        <w:t>S</w:t>
      </w:r>
      <w:r w:rsidRPr="007C07B1">
        <w:rPr>
          <w:noProof/>
        </w:rPr>
        <w:t>tate</w:t>
      </w:r>
      <w:r w:rsidR="00160C17">
        <w:rPr>
          <w:noProof/>
        </w:rPr>
        <w:t>s</w:t>
      </w:r>
      <w:r w:rsidRPr="007C07B1">
        <w:rPr>
          <w:noProof/>
        </w:rPr>
        <w:t xml:space="preserve"> to enforce and monitor the implementation of </w:t>
      </w:r>
      <w:r>
        <w:rPr>
          <w:noProof/>
        </w:rPr>
        <w:t xml:space="preserve">the proposed new </w:t>
      </w:r>
      <w:r w:rsidRPr="007C07B1">
        <w:rPr>
          <w:noProof/>
        </w:rPr>
        <w:t xml:space="preserve">Regulation covering an expanded scope of commodities are proportional to the total value of imports of each commodity. Extrapolating from the EUTR-induced costs and accounting for the total value of wood imports regulated by the EUTR, the expansion of the scope will lead to the need for around </w:t>
      </w:r>
      <w:r w:rsidR="007B6180">
        <w:rPr>
          <w:noProof/>
        </w:rPr>
        <w:t>2</w:t>
      </w:r>
      <w:r w:rsidR="00613378">
        <w:rPr>
          <w:noProof/>
        </w:rPr>
        <w:t>67</w:t>
      </w:r>
      <w:r w:rsidRPr="007C07B1">
        <w:rPr>
          <w:noProof/>
        </w:rPr>
        <w:t xml:space="preserve"> FTEs of additional human resources for </w:t>
      </w:r>
      <w:r w:rsidRPr="007C07B1">
        <w:rPr>
          <w:rFonts w:cs="Segoe UI"/>
          <w:noProof/>
        </w:rPr>
        <w:t>Member States as seen in the table below</w:t>
      </w:r>
      <w:r w:rsidR="007B6180">
        <w:rPr>
          <w:rFonts w:cs="Segoe UI"/>
          <w:noProof/>
        </w:rPr>
        <w:t xml:space="preserve"> (4</w:t>
      </w:r>
      <w:r w:rsidR="00613378">
        <w:rPr>
          <w:rFonts w:cs="Segoe UI"/>
          <w:noProof/>
        </w:rPr>
        <w:t>49</w:t>
      </w:r>
      <w:r w:rsidR="007B6180">
        <w:rPr>
          <w:rFonts w:cs="Segoe UI"/>
          <w:noProof/>
        </w:rPr>
        <w:t xml:space="preserve"> in total when including wood</w:t>
      </w:r>
      <w:r w:rsidRPr="007C07B1">
        <w:rPr>
          <w:rFonts w:cs="Segoe UI"/>
          <w:noProof/>
        </w:rPr>
        <w:t>.</w:t>
      </w:r>
      <w:r w:rsidR="007B6180">
        <w:rPr>
          <w:rFonts w:cs="Segoe UI"/>
          <w:noProof/>
        </w:rPr>
        <w:t>)</w:t>
      </w:r>
      <w:r w:rsidRPr="007C07B1">
        <w:rPr>
          <w:rFonts w:cs="Segoe UI"/>
          <w:noProof/>
        </w:rPr>
        <w:t xml:space="preserve"> </w:t>
      </w:r>
      <w:r w:rsidRPr="007C07B1">
        <w:rPr>
          <w:noProof/>
        </w:rPr>
        <w:t>When calculating the cost for expanding the scope of the regulation to other commodities, an average annual wage of €40,000 per FTE has been used (based on the findings of the Fitness Check on the EUTR). This re</w:t>
      </w:r>
      <w:r>
        <w:rPr>
          <w:noProof/>
        </w:rPr>
        <w:t>sults in a total cost of approximately</w:t>
      </w:r>
      <w:r w:rsidRPr="007C07B1">
        <w:rPr>
          <w:noProof/>
        </w:rPr>
        <w:t xml:space="preserve"> </w:t>
      </w:r>
      <w:r w:rsidRPr="007C07B1">
        <w:rPr>
          <w:rFonts w:cs="Segoe UI"/>
          <w:noProof/>
        </w:rPr>
        <w:t>€</w:t>
      </w:r>
      <w:r w:rsidR="00613378">
        <w:rPr>
          <w:rFonts w:cs="Segoe UI"/>
          <w:noProof/>
        </w:rPr>
        <w:t>18</w:t>
      </w:r>
      <w:r w:rsidRPr="007C07B1">
        <w:rPr>
          <w:rFonts w:cs="Segoe UI"/>
          <w:noProof/>
        </w:rPr>
        <w:t xml:space="preserve"> million for all Member States</w:t>
      </w:r>
      <w:r w:rsidRPr="007C07B1">
        <w:rPr>
          <w:noProof/>
        </w:rPr>
        <w:t xml:space="preserve"> and commodities</w:t>
      </w:r>
      <w:r w:rsidR="007B6180">
        <w:rPr>
          <w:noProof/>
        </w:rPr>
        <w:t xml:space="preserve"> per year</w:t>
      </w:r>
      <w:r w:rsidRPr="007C07B1">
        <w:rPr>
          <w:noProof/>
        </w:rPr>
        <w:t>.</w:t>
      </w:r>
    </w:p>
    <w:p w14:paraId="600C3D2A" w14:textId="404C66A2" w:rsidR="00066E1D" w:rsidRPr="001F2617" w:rsidRDefault="00066E1D" w:rsidP="00841C68">
      <w:pPr>
        <w:keepNext/>
        <w:keepLines/>
        <w:tabs>
          <w:tab w:val="left" w:pos="1134"/>
        </w:tabs>
        <w:spacing w:before="360" w:after="160" w:line="240" w:lineRule="auto"/>
        <w:outlineLvl w:val="3"/>
        <w:rPr>
          <w:rFonts w:cs="Times New Roman"/>
          <w:noProof/>
          <w:szCs w:val="20"/>
        </w:rPr>
      </w:pPr>
      <w:bookmarkStart w:id="184" w:name="_Toc74896570"/>
      <w:r w:rsidRPr="00841C68">
        <w:rPr>
          <w:rFonts w:eastAsia="Times New Roman" w:cs="Times New Roman"/>
          <w:noProof/>
          <w:sz w:val="20"/>
          <w:szCs w:val="20"/>
          <w:lang w:eastAsia="en-GB"/>
        </w:rPr>
        <w:t>Table 6</w:t>
      </w:r>
      <w:r w:rsidRPr="00841C68">
        <w:rPr>
          <w:rFonts w:eastAsia="Times New Roman" w:cs="Times New Roman"/>
          <w:noProof/>
          <w:sz w:val="20"/>
          <w:szCs w:val="20"/>
          <w:lang w:eastAsia="en-GB"/>
        </w:rPr>
        <w:tab/>
        <w:t>Estimated total resources needed (FTE) and costs (Euro) incurred by Member States under Policy Option 1</w:t>
      </w:r>
      <w:bookmarkEnd w:id="184"/>
    </w:p>
    <w:tbl>
      <w:tblPr>
        <w:tblStyle w:val="WoodEISUKReportTable"/>
        <w:tblW w:w="5000" w:type="pct"/>
        <w:tblLook w:val="04A0" w:firstRow="1" w:lastRow="0" w:firstColumn="1" w:lastColumn="0" w:noHBand="0" w:noVBand="1"/>
      </w:tblPr>
      <w:tblGrid>
        <w:gridCol w:w="2208"/>
        <w:gridCol w:w="2208"/>
        <w:gridCol w:w="2209"/>
        <w:gridCol w:w="2209"/>
      </w:tblGrid>
      <w:tr w:rsidR="00066E1D" w:rsidRPr="007C07B1" w14:paraId="74BCDCC9" w14:textId="77777777" w:rsidTr="00353D0F">
        <w:trPr>
          <w:cnfStyle w:val="100000000000" w:firstRow="1" w:lastRow="0" w:firstColumn="0" w:lastColumn="0" w:oddVBand="0" w:evenVBand="0" w:oddHBand="0"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250" w:type="pct"/>
            <w:hideMark/>
          </w:tcPr>
          <w:p w14:paraId="50936FBD" w14:textId="77777777" w:rsidR="00066E1D" w:rsidRPr="007C07B1" w:rsidRDefault="00066E1D" w:rsidP="00353D0F">
            <w:pPr>
              <w:pStyle w:val="WDTable"/>
              <w:rPr>
                <w:noProof/>
              </w:rPr>
            </w:pPr>
            <w:r w:rsidRPr="007C07B1">
              <w:rPr>
                <w:noProof/>
              </w:rPr>
              <w:t>Commodity</w:t>
            </w:r>
          </w:p>
        </w:tc>
        <w:tc>
          <w:tcPr>
            <w:tcW w:w="1250" w:type="pct"/>
            <w:hideMark/>
          </w:tcPr>
          <w:p w14:paraId="43328CB0" w14:textId="77777777" w:rsidR="00066E1D" w:rsidRPr="007C07B1" w:rsidRDefault="00066E1D" w:rsidP="00353D0F">
            <w:pPr>
              <w:pStyle w:val="WDTable"/>
              <w:cnfStyle w:val="100000000000" w:firstRow="1" w:lastRow="0" w:firstColumn="0" w:lastColumn="0" w:oddVBand="0" w:evenVBand="0" w:oddHBand="0" w:evenHBand="0" w:firstRowFirstColumn="0" w:firstRowLastColumn="0" w:lastRowFirstColumn="0" w:lastRowLastColumn="0"/>
              <w:rPr>
                <w:noProof/>
              </w:rPr>
            </w:pPr>
            <w:r w:rsidRPr="007C07B1">
              <w:rPr>
                <w:noProof/>
              </w:rPr>
              <w:t>Total import value (€ billion)</w:t>
            </w:r>
          </w:p>
        </w:tc>
        <w:tc>
          <w:tcPr>
            <w:tcW w:w="1250" w:type="pct"/>
            <w:hideMark/>
          </w:tcPr>
          <w:p w14:paraId="054C0C6A" w14:textId="77777777" w:rsidR="00066E1D" w:rsidRPr="007C07B1" w:rsidRDefault="00066E1D" w:rsidP="00353D0F">
            <w:pPr>
              <w:pStyle w:val="WDTable"/>
              <w:cnfStyle w:val="100000000000" w:firstRow="1" w:lastRow="0" w:firstColumn="0" w:lastColumn="0" w:oddVBand="0" w:evenVBand="0" w:oddHBand="0" w:evenHBand="0" w:firstRowFirstColumn="0" w:firstRowLastColumn="0" w:lastRowFirstColumn="0" w:lastRowLastColumn="0"/>
              <w:rPr>
                <w:noProof/>
              </w:rPr>
            </w:pPr>
            <w:r w:rsidRPr="007C07B1">
              <w:rPr>
                <w:noProof/>
              </w:rPr>
              <w:t>Enforcement resources needed (FTEs)</w:t>
            </w:r>
          </w:p>
        </w:tc>
        <w:tc>
          <w:tcPr>
            <w:tcW w:w="1250" w:type="pct"/>
            <w:hideMark/>
          </w:tcPr>
          <w:p w14:paraId="5184F521" w14:textId="77777777" w:rsidR="00066E1D" w:rsidRPr="007C07B1" w:rsidRDefault="00066E1D" w:rsidP="00353D0F">
            <w:pPr>
              <w:pStyle w:val="WDTable"/>
              <w:cnfStyle w:val="100000000000" w:firstRow="1" w:lastRow="0" w:firstColumn="0" w:lastColumn="0" w:oddVBand="0" w:evenVBand="0" w:oddHBand="0" w:evenHBand="0" w:firstRowFirstColumn="0" w:firstRowLastColumn="0" w:lastRowFirstColumn="0" w:lastRowLastColumn="0"/>
              <w:rPr>
                <w:noProof/>
              </w:rPr>
            </w:pPr>
            <w:r w:rsidRPr="007C07B1">
              <w:rPr>
                <w:noProof/>
              </w:rPr>
              <w:t>Enforcement costs (€ million)</w:t>
            </w:r>
          </w:p>
        </w:tc>
      </w:tr>
      <w:tr w:rsidR="00066E1D" w:rsidRPr="00CA2332" w14:paraId="630B408B" w14:textId="77777777" w:rsidTr="00353D0F">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1250" w:type="pct"/>
            <w:tcBorders>
              <w:top w:val="nil"/>
              <w:bottom w:val="nil"/>
            </w:tcBorders>
            <w:hideMark/>
          </w:tcPr>
          <w:p w14:paraId="0C6EF725" w14:textId="77777777" w:rsidR="00066E1D" w:rsidRPr="00CA2332" w:rsidRDefault="00066E1D" w:rsidP="00353D0F">
            <w:pPr>
              <w:pStyle w:val="WDTable"/>
              <w:rPr>
                <w:noProof/>
                <w:color w:val="auto"/>
              </w:rPr>
            </w:pPr>
            <w:r w:rsidRPr="00CA2332">
              <w:rPr>
                <w:noProof/>
                <w:color w:val="auto"/>
              </w:rPr>
              <w:t>Wood</w:t>
            </w:r>
          </w:p>
        </w:tc>
        <w:tc>
          <w:tcPr>
            <w:tcW w:w="1250" w:type="pct"/>
            <w:tcBorders>
              <w:top w:val="nil"/>
              <w:bottom w:val="nil"/>
            </w:tcBorders>
            <w:hideMark/>
          </w:tcPr>
          <w:p w14:paraId="180BFE1E" w14:textId="77777777" w:rsidR="00066E1D" w:rsidRPr="00CA2332" w:rsidRDefault="00066E1D" w:rsidP="00353D0F">
            <w:pPr>
              <w:pStyle w:val="WDTable"/>
              <w:cnfStyle w:val="000000100000" w:firstRow="0" w:lastRow="0" w:firstColumn="0" w:lastColumn="0" w:oddVBand="0" w:evenVBand="0" w:oddHBand="1" w:evenHBand="0" w:firstRowFirstColumn="0" w:firstRowLastColumn="0" w:lastRowFirstColumn="0" w:lastRowLastColumn="0"/>
              <w:rPr>
                <w:noProof/>
                <w:color w:val="auto"/>
              </w:rPr>
            </w:pPr>
            <w:r w:rsidRPr="00CA2332">
              <w:rPr>
                <w:noProof/>
                <w:color w:val="auto"/>
              </w:rPr>
              <w:t>24.53</w:t>
            </w:r>
          </w:p>
        </w:tc>
        <w:tc>
          <w:tcPr>
            <w:tcW w:w="1250" w:type="pct"/>
            <w:tcBorders>
              <w:top w:val="nil"/>
              <w:bottom w:val="nil"/>
            </w:tcBorders>
            <w:hideMark/>
          </w:tcPr>
          <w:p w14:paraId="1F2076CE" w14:textId="77777777" w:rsidR="00066E1D" w:rsidRPr="00CA2332" w:rsidRDefault="00066E1D" w:rsidP="00353D0F">
            <w:pPr>
              <w:pStyle w:val="WDTable"/>
              <w:cnfStyle w:val="000000100000" w:firstRow="0" w:lastRow="0" w:firstColumn="0" w:lastColumn="0" w:oddVBand="0" w:evenVBand="0" w:oddHBand="1" w:evenHBand="0" w:firstRowFirstColumn="0" w:firstRowLastColumn="0" w:lastRowFirstColumn="0" w:lastRowLastColumn="0"/>
              <w:rPr>
                <w:noProof/>
                <w:color w:val="auto"/>
              </w:rPr>
            </w:pPr>
            <w:r w:rsidRPr="00CA2332">
              <w:rPr>
                <w:noProof/>
                <w:color w:val="auto"/>
              </w:rPr>
              <w:t>182</w:t>
            </w:r>
          </w:p>
        </w:tc>
        <w:tc>
          <w:tcPr>
            <w:tcW w:w="1250" w:type="pct"/>
            <w:tcBorders>
              <w:top w:val="nil"/>
              <w:bottom w:val="nil"/>
            </w:tcBorders>
            <w:hideMark/>
          </w:tcPr>
          <w:p w14:paraId="3B7A6F43" w14:textId="77777777" w:rsidR="00066E1D" w:rsidRPr="00CA2332" w:rsidRDefault="00066E1D" w:rsidP="00353D0F">
            <w:pPr>
              <w:pStyle w:val="WDTable"/>
              <w:cnfStyle w:val="000000100000" w:firstRow="0" w:lastRow="0" w:firstColumn="0" w:lastColumn="0" w:oddVBand="0" w:evenVBand="0" w:oddHBand="1" w:evenHBand="0" w:firstRowFirstColumn="0" w:firstRowLastColumn="0" w:lastRowFirstColumn="0" w:lastRowLastColumn="0"/>
              <w:rPr>
                <w:noProof/>
                <w:color w:val="auto"/>
              </w:rPr>
            </w:pPr>
            <w:r w:rsidRPr="00CA2332">
              <w:rPr>
                <w:noProof/>
                <w:color w:val="auto"/>
              </w:rPr>
              <w:t>7.28</w:t>
            </w:r>
          </w:p>
        </w:tc>
      </w:tr>
      <w:tr w:rsidR="005F7D67" w:rsidRPr="00CA2332" w14:paraId="54767DE5" w14:textId="77777777" w:rsidTr="00353D0F">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50" w:type="pct"/>
            <w:tcBorders>
              <w:top w:val="nil"/>
              <w:left w:val="nil"/>
              <w:bottom w:val="nil"/>
              <w:right w:val="nil"/>
            </w:tcBorders>
            <w:hideMark/>
          </w:tcPr>
          <w:p w14:paraId="41B80138" w14:textId="77777777" w:rsidR="005F7D67" w:rsidRPr="00CA2332" w:rsidRDefault="005F7D67" w:rsidP="005F7D67">
            <w:pPr>
              <w:pStyle w:val="WDTable"/>
              <w:rPr>
                <w:noProof/>
                <w:color w:val="auto"/>
              </w:rPr>
            </w:pPr>
            <w:r w:rsidRPr="00CA2332">
              <w:rPr>
                <w:noProof/>
                <w:color w:val="auto"/>
              </w:rPr>
              <w:t>Beef</w:t>
            </w:r>
          </w:p>
        </w:tc>
        <w:tc>
          <w:tcPr>
            <w:tcW w:w="1250" w:type="pct"/>
            <w:tcBorders>
              <w:top w:val="nil"/>
              <w:left w:val="nil"/>
              <w:bottom w:val="nil"/>
              <w:right w:val="nil"/>
            </w:tcBorders>
            <w:hideMark/>
          </w:tcPr>
          <w:p w14:paraId="4B138A53" w14:textId="22B4182D" w:rsidR="005F7D67" w:rsidRPr="00CA2332" w:rsidRDefault="005F7D67" w:rsidP="005F7D67">
            <w:pPr>
              <w:pStyle w:val="WDTable"/>
              <w:cnfStyle w:val="000000010000" w:firstRow="0" w:lastRow="0" w:firstColumn="0" w:lastColumn="0" w:oddVBand="0" w:evenVBand="0" w:oddHBand="0" w:evenHBand="1" w:firstRowFirstColumn="0" w:firstRowLastColumn="0" w:lastRowFirstColumn="0" w:lastRowLastColumn="0"/>
              <w:rPr>
                <w:noProof/>
                <w:color w:val="auto"/>
              </w:rPr>
            </w:pPr>
            <w:r>
              <w:rPr>
                <w:noProof/>
              </w:rPr>
              <w:t>4.</w:t>
            </w:r>
            <w:r w:rsidRPr="00C822EA">
              <w:rPr>
                <w:noProof/>
              </w:rPr>
              <w:t>3</w:t>
            </w:r>
          </w:p>
        </w:tc>
        <w:tc>
          <w:tcPr>
            <w:tcW w:w="1250" w:type="pct"/>
            <w:tcBorders>
              <w:top w:val="nil"/>
              <w:left w:val="nil"/>
              <w:bottom w:val="nil"/>
              <w:right w:val="nil"/>
            </w:tcBorders>
            <w:hideMark/>
          </w:tcPr>
          <w:p w14:paraId="47AE68D8" w14:textId="70CEAB30" w:rsidR="005F7D67" w:rsidRPr="00CA2332" w:rsidRDefault="005F7D67" w:rsidP="005F7D67">
            <w:pPr>
              <w:pStyle w:val="WDTable"/>
              <w:cnfStyle w:val="000000010000" w:firstRow="0" w:lastRow="0" w:firstColumn="0" w:lastColumn="0" w:oddVBand="0" w:evenVBand="0" w:oddHBand="0" w:evenHBand="1" w:firstRowFirstColumn="0" w:firstRowLastColumn="0" w:lastRowFirstColumn="0" w:lastRowLastColumn="0"/>
              <w:rPr>
                <w:noProof/>
                <w:color w:val="auto"/>
              </w:rPr>
            </w:pPr>
            <w:r w:rsidRPr="00C822EA">
              <w:rPr>
                <w:noProof/>
              </w:rPr>
              <w:t>32</w:t>
            </w:r>
          </w:p>
        </w:tc>
        <w:tc>
          <w:tcPr>
            <w:tcW w:w="1250" w:type="pct"/>
            <w:tcBorders>
              <w:top w:val="nil"/>
              <w:left w:val="nil"/>
              <w:bottom w:val="nil"/>
              <w:right w:val="nil"/>
            </w:tcBorders>
            <w:hideMark/>
          </w:tcPr>
          <w:p w14:paraId="08F90661" w14:textId="64A6C4D5" w:rsidR="005F7D67" w:rsidRPr="00CA2332" w:rsidRDefault="005F7D67" w:rsidP="005F7D67">
            <w:pPr>
              <w:pStyle w:val="WDTable"/>
              <w:cnfStyle w:val="000000010000" w:firstRow="0" w:lastRow="0" w:firstColumn="0" w:lastColumn="0" w:oddVBand="0" w:evenVBand="0" w:oddHBand="0" w:evenHBand="1" w:firstRowFirstColumn="0" w:firstRowLastColumn="0" w:lastRowFirstColumn="0" w:lastRowLastColumn="0"/>
              <w:rPr>
                <w:noProof/>
                <w:color w:val="auto"/>
              </w:rPr>
            </w:pPr>
            <w:r>
              <w:rPr>
                <w:noProof/>
              </w:rPr>
              <w:t>1.</w:t>
            </w:r>
            <w:r w:rsidRPr="00C822EA">
              <w:rPr>
                <w:noProof/>
              </w:rPr>
              <w:t>28</w:t>
            </w:r>
          </w:p>
        </w:tc>
      </w:tr>
      <w:tr w:rsidR="00AD0BBA" w:rsidRPr="00CA2332" w14:paraId="6B000C78" w14:textId="77777777" w:rsidTr="00353D0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50" w:type="pct"/>
            <w:tcBorders>
              <w:top w:val="nil"/>
              <w:bottom w:val="nil"/>
            </w:tcBorders>
            <w:hideMark/>
          </w:tcPr>
          <w:p w14:paraId="60C89F0B" w14:textId="77777777" w:rsidR="00AD0BBA" w:rsidRPr="00CA2332" w:rsidRDefault="00AD0BBA" w:rsidP="00AD0BBA">
            <w:pPr>
              <w:pStyle w:val="WDTable"/>
              <w:rPr>
                <w:noProof/>
                <w:color w:val="auto"/>
              </w:rPr>
            </w:pPr>
            <w:r w:rsidRPr="00CA2332">
              <w:rPr>
                <w:noProof/>
                <w:color w:val="auto"/>
              </w:rPr>
              <w:t>Cocoa</w:t>
            </w:r>
          </w:p>
        </w:tc>
        <w:tc>
          <w:tcPr>
            <w:tcW w:w="1250" w:type="pct"/>
            <w:tcBorders>
              <w:top w:val="nil"/>
              <w:bottom w:val="nil"/>
            </w:tcBorders>
            <w:hideMark/>
          </w:tcPr>
          <w:p w14:paraId="0B8A5592" w14:textId="4DC44274" w:rsidR="00AD0BBA" w:rsidRPr="00CA2332" w:rsidRDefault="00AD0BBA" w:rsidP="00AD0BBA">
            <w:pPr>
              <w:pStyle w:val="WDTable"/>
              <w:cnfStyle w:val="000000100000" w:firstRow="0" w:lastRow="0" w:firstColumn="0" w:lastColumn="0" w:oddVBand="0" w:evenVBand="0" w:oddHBand="1" w:evenHBand="0" w:firstRowFirstColumn="0" w:firstRowLastColumn="0" w:lastRowFirstColumn="0" w:lastRowLastColumn="0"/>
              <w:rPr>
                <w:noProof/>
                <w:color w:val="auto"/>
              </w:rPr>
            </w:pPr>
            <w:r>
              <w:rPr>
                <w:noProof/>
              </w:rPr>
              <w:t>7.</w:t>
            </w:r>
            <w:r w:rsidRPr="00DC7F4F">
              <w:rPr>
                <w:noProof/>
              </w:rPr>
              <w:t>42</w:t>
            </w:r>
          </w:p>
        </w:tc>
        <w:tc>
          <w:tcPr>
            <w:tcW w:w="1250" w:type="pct"/>
            <w:tcBorders>
              <w:top w:val="nil"/>
              <w:bottom w:val="nil"/>
            </w:tcBorders>
            <w:hideMark/>
          </w:tcPr>
          <w:p w14:paraId="55017D15" w14:textId="634ABAA6" w:rsidR="00AD0BBA" w:rsidRPr="00CA2332" w:rsidRDefault="00AD0BBA" w:rsidP="00AD0BBA">
            <w:pPr>
              <w:pStyle w:val="WDTable"/>
              <w:cnfStyle w:val="000000100000" w:firstRow="0" w:lastRow="0" w:firstColumn="0" w:lastColumn="0" w:oddVBand="0" w:evenVBand="0" w:oddHBand="1" w:evenHBand="0" w:firstRowFirstColumn="0" w:firstRowLastColumn="0" w:lastRowFirstColumn="0" w:lastRowLastColumn="0"/>
              <w:rPr>
                <w:noProof/>
                <w:color w:val="auto"/>
              </w:rPr>
            </w:pPr>
            <w:r w:rsidRPr="00DC7F4F">
              <w:rPr>
                <w:noProof/>
              </w:rPr>
              <w:t>55</w:t>
            </w:r>
          </w:p>
        </w:tc>
        <w:tc>
          <w:tcPr>
            <w:tcW w:w="1250" w:type="pct"/>
            <w:tcBorders>
              <w:top w:val="nil"/>
              <w:bottom w:val="nil"/>
            </w:tcBorders>
            <w:hideMark/>
          </w:tcPr>
          <w:p w14:paraId="35286D90" w14:textId="01363AAD" w:rsidR="00AD0BBA" w:rsidRPr="00CA2332" w:rsidRDefault="00AD0BBA" w:rsidP="00AD0BBA">
            <w:pPr>
              <w:pStyle w:val="WDTable"/>
              <w:cnfStyle w:val="000000100000" w:firstRow="0" w:lastRow="0" w:firstColumn="0" w:lastColumn="0" w:oddVBand="0" w:evenVBand="0" w:oddHBand="1" w:evenHBand="0" w:firstRowFirstColumn="0" w:firstRowLastColumn="0" w:lastRowFirstColumn="0" w:lastRowLastColumn="0"/>
              <w:rPr>
                <w:noProof/>
                <w:color w:val="auto"/>
              </w:rPr>
            </w:pPr>
            <w:r>
              <w:rPr>
                <w:noProof/>
              </w:rPr>
              <w:t>2.</w:t>
            </w:r>
            <w:r w:rsidRPr="00DC7F4F">
              <w:rPr>
                <w:noProof/>
              </w:rPr>
              <w:t>20</w:t>
            </w:r>
          </w:p>
        </w:tc>
      </w:tr>
      <w:tr w:rsidR="00AD0BBA" w:rsidRPr="00CA2332" w14:paraId="3B148090" w14:textId="77777777" w:rsidTr="00353D0F">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50" w:type="pct"/>
            <w:tcBorders>
              <w:top w:val="nil"/>
              <w:left w:val="nil"/>
              <w:bottom w:val="nil"/>
              <w:right w:val="nil"/>
            </w:tcBorders>
            <w:hideMark/>
          </w:tcPr>
          <w:p w14:paraId="7BEB4BA8" w14:textId="77777777" w:rsidR="00AD0BBA" w:rsidRPr="00CA2332" w:rsidRDefault="00AD0BBA" w:rsidP="00AD0BBA">
            <w:pPr>
              <w:pStyle w:val="WDTable"/>
              <w:rPr>
                <w:noProof/>
                <w:color w:val="auto"/>
              </w:rPr>
            </w:pPr>
            <w:r w:rsidRPr="00CA2332">
              <w:rPr>
                <w:noProof/>
                <w:color w:val="auto"/>
              </w:rPr>
              <w:t>Coffee</w:t>
            </w:r>
          </w:p>
        </w:tc>
        <w:tc>
          <w:tcPr>
            <w:tcW w:w="1250" w:type="pct"/>
            <w:tcBorders>
              <w:top w:val="nil"/>
              <w:left w:val="nil"/>
              <w:bottom w:val="nil"/>
              <w:right w:val="nil"/>
            </w:tcBorders>
            <w:hideMark/>
          </w:tcPr>
          <w:p w14:paraId="0CC253CF" w14:textId="133BEF2F" w:rsidR="00AD0BBA" w:rsidRPr="00CA2332" w:rsidRDefault="00AD0BBA" w:rsidP="00AD0BBA">
            <w:pPr>
              <w:pStyle w:val="WDTable"/>
              <w:cnfStyle w:val="000000010000" w:firstRow="0" w:lastRow="0" w:firstColumn="0" w:lastColumn="0" w:oddVBand="0" w:evenVBand="0" w:oddHBand="0" w:evenHBand="1" w:firstRowFirstColumn="0" w:firstRowLastColumn="0" w:lastRowFirstColumn="0" w:lastRowLastColumn="0"/>
              <w:rPr>
                <w:noProof/>
                <w:color w:val="auto"/>
              </w:rPr>
            </w:pPr>
            <w:r>
              <w:rPr>
                <w:noProof/>
              </w:rPr>
              <w:t>8.</w:t>
            </w:r>
            <w:r w:rsidRPr="00966710">
              <w:rPr>
                <w:noProof/>
              </w:rPr>
              <w:t>06</w:t>
            </w:r>
          </w:p>
        </w:tc>
        <w:tc>
          <w:tcPr>
            <w:tcW w:w="1250" w:type="pct"/>
            <w:tcBorders>
              <w:top w:val="nil"/>
              <w:left w:val="nil"/>
              <w:bottom w:val="nil"/>
              <w:right w:val="nil"/>
            </w:tcBorders>
            <w:hideMark/>
          </w:tcPr>
          <w:p w14:paraId="1615F5B5" w14:textId="32D5504B" w:rsidR="00AD0BBA" w:rsidRPr="00CA2332" w:rsidRDefault="00AD0BBA" w:rsidP="00AD0BBA">
            <w:pPr>
              <w:pStyle w:val="WDTable"/>
              <w:cnfStyle w:val="000000010000" w:firstRow="0" w:lastRow="0" w:firstColumn="0" w:lastColumn="0" w:oddVBand="0" w:evenVBand="0" w:oddHBand="0" w:evenHBand="1" w:firstRowFirstColumn="0" w:firstRowLastColumn="0" w:lastRowFirstColumn="0" w:lastRowLastColumn="0"/>
              <w:rPr>
                <w:noProof/>
                <w:color w:val="auto"/>
              </w:rPr>
            </w:pPr>
            <w:r w:rsidRPr="00966710">
              <w:rPr>
                <w:noProof/>
              </w:rPr>
              <w:t>60</w:t>
            </w:r>
          </w:p>
        </w:tc>
        <w:tc>
          <w:tcPr>
            <w:tcW w:w="1250" w:type="pct"/>
            <w:tcBorders>
              <w:top w:val="nil"/>
              <w:left w:val="nil"/>
              <w:bottom w:val="nil"/>
              <w:right w:val="nil"/>
            </w:tcBorders>
            <w:hideMark/>
          </w:tcPr>
          <w:p w14:paraId="637FDB7F" w14:textId="67AB8D7F" w:rsidR="00AD0BBA" w:rsidRPr="00CA2332" w:rsidRDefault="00AD0BBA" w:rsidP="00AD0BBA">
            <w:pPr>
              <w:pStyle w:val="WDTable"/>
              <w:cnfStyle w:val="000000010000" w:firstRow="0" w:lastRow="0" w:firstColumn="0" w:lastColumn="0" w:oddVBand="0" w:evenVBand="0" w:oddHBand="0" w:evenHBand="1" w:firstRowFirstColumn="0" w:firstRowLastColumn="0" w:lastRowFirstColumn="0" w:lastRowLastColumn="0"/>
              <w:rPr>
                <w:noProof/>
                <w:color w:val="auto"/>
              </w:rPr>
            </w:pPr>
            <w:r>
              <w:rPr>
                <w:noProof/>
              </w:rPr>
              <w:t>2.</w:t>
            </w:r>
            <w:r w:rsidRPr="00966710">
              <w:rPr>
                <w:noProof/>
              </w:rPr>
              <w:t>39</w:t>
            </w:r>
          </w:p>
        </w:tc>
      </w:tr>
      <w:tr w:rsidR="00AD0BBA" w:rsidRPr="00CA2332" w14:paraId="29428111" w14:textId="77777777" w:rsidTr="00353D0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50" w:type="pct"/>
            <w:tcBorders>
              <w:top w:val="nil"/>
              <w:bottom w:val="nil"/>
            </w:tcBorders>
            <w:hideMark/>
          </w:tcPr>
          <w:p w14:paraId="1C94DD98" w14:textId="77777777" w:rsidR="00AD0BBA" w:rsidRPr="00CA2332" w:rsidRDefault="00AD0BBA" w:rsidP="00AD0BBA">
            <w:pPr>
              <w:pStyle w:val="WDTable"/>
              <w:rPr>
                <w:noProof/>
                <w:color w:val="auto"/>
              </w:rPr>
            </w:pPr>
            <w:r w:rsidRPr="00CA2332">
              <w:rPr>
                <w:noProof/>
                <w:color w:val="auto"/>
              </w:rPr>
              <w:t>Palm Oil</w:t>
            </w:r>
          </w:p>
        </w:tc>
        <w:tc>
          <w:tcPr>
            <w:tcW w:w="1250" w:type="pct"/>
            <w:tcBorders>
              <w:top w:val="nil"/>
              <w:bottom w:val="nil"/>
            </w:tcBorders>
            <w:hideMark/>
          </w:tcPr>
          <w:p w14:paraId="1605DC6C" w14:textId="0423705C" w:rsidR="00AD0BBA" w:rsidRPr="00CA2332" w:rsidRDefault="00AD0BBA" w:rsidP="00AD0BBA">
            <w:pPr>
              <w:pStyle w:val="WDTable"/>
              <w:cnfStyle w:val="000000100000" w:firstRow="0" w:lastRow="0" w:firstColumn="0" w:lastColumn="0" w:oddVBand="0" w:evenVBand="0" w:oddHBand="1" w:evenHBand="0" w:firstRowFirstColumn="0" w:firstRowLastColumn="0" w:lastRowFirstColumn="0" w:lastRowLastColumn="0"/>
              <w:rPr>
                <w:noProof/>
                <w:color w:val="auto"/>
              </w:rPr>
            </w:pPr>
            <w:r>
              <w:rPr>
                <w:noProof/>
              </w:rPr>
              <w:t>5.</w:t>
            </w:r>
            <w:r w:rsidRPr="00AB7789">
              <w:rPr>
                <w:noProof/>
              </w:rPr>
              <w:t>01</w:t>
            </w:r>
          </w:p>
        </w:tc>
        <w:tc>
          <w:tcPr>
            <w:tcW w:w="1250" w:type="pct"/>
            <w:tcBorders>
              <w:top w:val="nil"/>
              <w:bottom w:val="nil"/>
            </w:tcBorders>
            <w:hideMark/>
          </w:tcPr>
          <w:p w14:paraId="79E5EAA8" w14:textId="133D739B" w:rsidR="00AD0BBA" w:rsidRPr="00CA2332" w:rsidRDefault="00AD0BBA" w:rsidP="00AD0BBA">
            <w:pPr>
              <w:pStyle w:val="WDTable"/>
              <w:cnfStyle w:val="000000100000" w:firstRow="0" w:lastRow="0" w:firstColumn="0" w:lastColumn="0" w:oddVBand="0" w:evenVBand="0" w:oddHBand="1" w:evenHBand="0" w:firstRowFirstColumn="0" w:firstRowLastColumn="0" w:lastRowFirstColumn="0" w:lastRowLastColumn="0"/>
              <w:rPr>
                <w:noProof/>
                <w:color w:val="auto"/>
              </w:rPr>
            </w:pPr>
            <w:r w:rsidRPr="00AB7789">
              <w:rPr>
                <w:noProof/>
              </w:rPr>
              <w:t>37</w:t>
            </w:r>
          </w:p>
        </w:tc>
        <w:tc>
          <w:tcPr>
            <w:tcW w:w="1250" w:type="pct"/>
            <w:tcBorders>
              <w:top w:val="nil"/>
              <w:bottom w:val="nil"/>
            </w:tcBorders>
            <w:hideMark/>
          </w:tcPr>
          <w:p w14:paraId="04681D8E" w14:textId="3EC0326C" w:rsidR="00AD0BBA" w:rsidRPr="00CA2332" w:rsidRDefault="00AD0BBA" w:rsidP="00AD0BBA">
            <w:pPr>
              <w:pStyle w:val="WDTable"/>
              <w:cnfStyle w:val="000000100000" w:firstRow="0" w:lastRow="0" w:firstColumn="0" w:lastColumn="0" w:oddVBand="0" w:evenVBand="0" w:oddHBand="1" w:evenHBand="0" w:firstRowFirstColumn="0" w:firstRowLastColumn="0" w:lastRowFirstColumn="0" w:lastRowLastColumn="0"/>
              <w:rPr>
                <w:noProof/>
                <w:color w:val="auto"/>
              </w:rPr>
            </w:pPr>
            <w:r>
              <w:rPr>
                <w:noProof/>
              </w:rPr>
              <w:t>1.</w:t>
            </w:r>
            <w:r w:rsidRPr="00AB7789">
              <w:rPr>
                <w:noProof/>
              </w:rPr>
              <w:t>49</w:t>
            </w:r>
          </w:p>
        </w:tc>
      </w:tr>
      <w:tr w:rsidR="00AD0BBA" w:rsidRPr="00CA2332" w14:paraId="5A1ACD52" w14:textId="77777777" w:rsidTr="00353D0F">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50" w:type="pct"/>
            <w:tcBorders>
              <w:top w:val="nil"/>
              <w:left w:val="nil"/>
              <w:bottom w:val="nil"/>
              <w:right w:val="nil"/>
            </w:tcBorders>
            <w:hideMark/>
          </w:tcPr>
          <w:p w14:paraId="775E30A8" w14:textId="77777777" w:rsidR="00AD0BBA" w:rsidRPr="00CA2332" w:rsidRDefault="00AD0BBA" w:rsidP="00AD0BBA">
            <w:pPr>
              <w:pStyle w:val="WDTable"/>
              <w:rPr>
                <w:noProof/>
                <w:color w:val="auto"/>
              </w:rPr>
            </w:pPr>
            <w:r w:rsidRPr="00CA2332">
              <w:rPr>
                <w:noProof/>
                <w:color w:val="auto"/>
              </w:rPr>
              <w:t>Soy</w:t>
            </w:r>
          </w:p>
        </w:tc>
        <w:tc>
          <w:tcPr>
            <w:tcW w:w="1250" w:type="pct"/>
            <w:tcBorders>
              <w:top w:val="nil"/>
              <w:left w:val="nil"/>
              <w:bottom w:val="nil"/>
              <w:right w:val="nil"/>
            </w:tcBorders>
            <w:hideMark/>
          </w:tcPr>
          <w:p w14:paraId="737D81CF" w14:textId="4E600F5E" w:rsidR="00AD0BBA" w:rsidRPr="00CA2332" w:rsidRDefault="00AD0BBA" w:rsidP="00AD0BBA">
            <w:pPr>
              <w:pStyle w:val="WDTable"/>
              <w:cnfStyle w:val="000000010000" w:firstRow="0" w:lastRow="0" w:firstColumn="0" w:lastColumn="0" w:oddVBand="0" w:evenVBand="0" w:oddHBand="0" w:evenHBand="1" w:firstRowFirstColumn="0" w:firstRowLastColumn="0" w:lastRowFirstColumn="0" w:lastRowLastColumn="0"/>
              <w:rPr>
                <w:noProof/>
                <w:color w:val="auto"/>
              </w:rPr>
            </w:pPr>
            <w:r>
              <w:rPr>
                <w:noProof/>
              </w:rPr>
              <w:t>11.</w:t>
            </w:r>
            <w:r w:rsidRPr="009043B5">
              <w:rPr>
                <w:noProof/>
              </w:rPr>
              <w:t>13</w:t>
            </w:r>
          </w:p>
        </w:tc>
        <w:tc>
          <w:tcPr>
            <w:tcW w:w="1250" w:type="pct"/>
            <w:tcBorders>
              <w:top w:val="nil"/>
              <w:left w:val="nil"/>
              <w:bottom w:val="nil"/>
              <w:right w:val="nil"/>
            </w:tcBorders>
            <w:hideMark/>
          </w:tcPr>
          <w:p w14:paraId="30E9C7E1" w14:textId="4E0E9CE7" w:rsidR="00AD0BBA" w:rsidRPr="00CA2332" w:rsidRDefault="00AD0BBA" w:rsidP="00AD0BBA">
            <w:pPr>
              <w:pStyle w:val="WDTable"/>
              <w:cnfStyle w:val="000000010000" w:firstRow="0" w:lastRow="0" w:firstColumn="0" w:lastColumn="0" w:oddVBand="0" w:evenVBand="0" w:oddHBand="0" w:evenHBand="1" w:firstRowFirstColumn="0" w:firstRowLastColumn="0" w:lastRowFirstColumn="0" w:lastRowLastColumn="0"/>
              <w:rPr>
                <w:noProof/>
                <w:color w:val="auto"/>
              </w:rPr>
            </w:pPr>
            <w:r w:rsidRPr="009043B5">
              <w:rPr>
                <w:noProof/>
              </w:rPr>
              <w:t>83</w:t>
            </w:r>
          </w:p>
        </w:tc>
        <w:tc>
          <w:tcPr>
            <w:tcW w:w="1250" w:type="pct"/>
            <w:tcBorders>
              <w:top w:val="nil"/>
              <w:left w:val="nil"/>
              <w:bottom w:val="nil"/>
              <w:right w:val="nil"/>
            </w:tcBorders>
            <w:hideMark/>
          </w:tcPr>
          <w:p w14:paraId="13A5C8F3" w14:textId="7674DC02" w:rsidR="00AD0BBA" w:rsidRPr="00CA2332" w:rsidRDefault="00AD0BBA" w:rsidP="00AD0BBA">
            <w:pPr>
              <w:pStyle w:val="WDTable"/>
              <w:cnfStyle w:val="000000010000" w:firstRow="0" w:lastRow="0" w:firstColumn="0" w:lastColumn="0" w:oddVBand="0" w:evenVBand="0" w:oddHBand="0" w:evenHBand="1" w:firstRowFirstColumn="0" w:firstRowLastColumn="0" w:lastRowFirstColumn="0" w:lastRowLastColumn="0"/>
              <w:rPr>
                <w:noProof/>
                <w:color w:val="auto"/>
              </w:rPr>
            </w:pPr>
            <w:r>
              <w:rPr>
                <w:noProof/>
              </w:rPr>
              <w:t>3.</w:t>
            </w:r>
            <w:r w:rsidRPr="009043B5">
              <w:rPr>
                <w:noProof/>
              </w:rPr>
              <w:t>30</w:t>
            </w:r>
          </w:p>
        </w:tc>
      </w:tr>
      <w:tr w:rsidR="00AD0BBA" w:rsidRPr="00CA2332" w:rsidDel="00701292" w14:paraId="6BE52A3B" w14:textId="77777777" w:rsidTr="00353D0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50" w:type="pct"/>
            <w:tcBorders>
              <w:top w:val="nil"/>
              <w:bottom w:val="nil"/>
            </w:tcBorders>
            <w:hideMark/>
          </w:tcPr>
          <w:p w14:paraId="5143A1B9" w14:textId="77777777" w:rsidR="00AD0BBA" w:rsidRPr="00CA2332" w:rsidDel="00701292" w:rsidRDefault="00AD0BBA" w:rsidP="00AD0BBA">
            <w:pPr>
              <w:pStyle w:val="WDTable"/>
              <w:rPr>
                <w:noProof/>
                <w:color w:val="auto"/>
              </w:rPr>
            </w:pPr>
            <w:r w:rsidRPr="00CA2332">
              <w:rPr>
                <w:noProof/>
                <w:color w:val="auto"/>
              </w:rPr>
              <w:t>Total (excluding wood)</w:t>
            </w:r>
          </w:p>
        </w:tc>
        <w:tc>
          <w:tcPr>
            <w:tcW w:w="1250" w:type="pct"/>
            <w:tcBorders>
              <w:top w:val="nil"/>
              <w:bottom w:val="nil"/>
            </w:tcBorders>
            <w:hideMark/>
          </w:tcPr>
          <w:p w14:paraId="2AA0155E" w14:textId="38766E94" w:rsidR="00AD0BBA" w:rsidRPr="00CA2332" w:rsidDel="00701292" w:rsidRDefault="00AD0BBA" w:rsidP="00AD0BBA">
            <w:pPr>
              <w:pStyle w:val="WDTable"/>
              <w:cnfStyle w:val="000000100000" w:firstRow="0" w:lastRow="0" w:firstColumn="0" w:lastColumn="0" w:oddVBand="0" w:evenVBand="0" w:oddHBand="1" w:evenHBand="0" w:firstRowFirstColumn="0" w:firstRowLastColumn="0" w:lastRowFirstColumn="0" w:lastRowLastColumn="0"/>
              <w:rPr>
                <w:noProof/>
                <w:color w:val="auto"/>
              </w:rPr>
            </w:pPr>
            <w:r w:rsidRPr="007C3733">
              <w:rPr>
                <w:noProof/>
              </w:rPr>
              <w:t>35</w:t>
            </w:r>
            <w:r>
              <w:rPr>
                <w:noProof/>
              </w:rPr>
              <w:t>.</w:t>
            </w:r>
            <w:r w:rsidRPr="007C3733">
              <w:rPr>
                <w:noProof/>
              </w:rPr>
              <w:t>92</w:t>
            </w:r>
          </w:p>
        </w:tc>
        <w:tc>
          <w:tcPr>
            <w:tcW w:w="1250" w:type="pct"/>
            <w:tcBorders>
              <w:top w:val="nil"/>
              <w:bottom w:val="nil"/>
            </w:tcBorders>
            <w:hideMark/>
          </w:tcPr>
          <w:p w14:paraId="5A6084D9" w14:textId="6A64A796" w:rsidR="00AD0BBA" w:rsidRPr="00CA2332" w:rsidDel="00701292" w:rsidRDefault="00AD0BBA" w:rsidP="00AD0BBA">
            <w:pPr>
              <w:pStyle w:val="WDTable"/>
              <w:cnfStyle w:val="000000100000" w:firstRow="0" w:lastRow="0" w:firstColumn="0" w:lastColumn="0" w:oddVBand="0" w:evenVBand="0" w:oddHBand="1" w:evenHBand="0" w:firstRowFirstColumn="0" w:firstRowLastColumn="0" w:lastRowFirstColumn="0" w:lastRowLastColumn="0"/>
              <w:rPr>
                <w:noProof/>
                <w:color w:val="auto"/>
              </w:rPr>
            </w:pPr>
            <w:r w:rsidRPr="007C3733">
              <w:rPr>
                <w:noProof/>
              </w:rPr>
              <w:t>267</w:t>
            </w:r>
          </w:p>
        </w:tc>
        <w:tc>
          <w:tcPr>
            <w:tcW w:w="1250" w:type="pct"/>
            <w:tcBorders>
              <w:top w:val="nil"/>
              <w:bottom w:val="nil"/>
            </w:tcBorders>
            <w:hideMark/>
          </w:tcPr>
          <w:p w14:paraId="43D56088" w14:textId="5B8048DE" w:rsidR="00AD0BBA" w:rsidRPr="00CA2332" w:rsidDel="00701292" w:rsidRDefault="00AD0BBA" w:rsidP="00AD0BBA">
            <w:pPr>
              <w:pStyle w:val="WDTable"/>
              <w:cnfStyle w:val="000000100000" w:firstRow="0" w:lastRow="0" w:firstColumn="0" w:lastColumn="0" w:oddVBand="0" w:evenVBand="0" w:oddHBand="1" w:evenHBand="0" w:firstRowFirstColumn="0" w:firstRowLastColumn="0" w:lastRowFirstColumn="0" w:lastRowLastColumn="0"/>
              <w:rPr>
                <w:noProof/>
                <w:color w:val="auto"/>
              </w:rPr>
            </w:pPr>
            <w:r>
              <w:rPr>
                <w:noProof/>
              </w:rPr>
              <w:t>10.</w:t>
            </w:r>
            <w:r w:rsidRPr="007C3733">
              <w:rPr>
                <w:noProof/>
              </w:rPr>
              <w:t>66</w:t>
            </w:r>
          </w:p>
        </w:tc>
      </w:tr>
      <w:tr w:rsidR="00AD0BBA" w:rsidRPr="00CA2332" w14:paraId="1AC7581A" w14:textId="77777777" w:rsidTr="00353D0F">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50" w:type="pct"/>
            <w:tcBorders>
              <w:top w:val="nil"/>
              <w:left w:val="nil"/>
              <w:bottom w:val="single" w:sz="2" w:space="0" w:color="000000" w:themeColor="text1"/>
              <w:right w:val="nil"/>
            </w:tcBorders>
            <w:hideMark/>
          </w:tcPr>
          <w:p w14:paraId="5191F7B1" w14:textId="77777777" w:rsidR="00AD0BBA" w:rsidRPr="00CA2332" w:rsidRDefault="00AD0BBA" w:rsidP="00AD0BBA">
            <w:pPr>
              <w:pStyle w:val="WDTable"/>
              <w:rPr>
                <w:noProof/>
                <w:color w:val="auto"/>
              </w:rPr>
            </w:pPr>
            <w:r w:rsidRPr="00CA2332">
              <w:rPr>
                <w:noProof/>
                <w:color w:val="auto"/>
              </w:rPr>
              <w:t>Total (including wood)</w:t>
            </w:r>
          </w:p>
        </w:tc>
        <w:tc>
          <w:tcPr>
            <w:tcW w:w="1250" w:type="pct"/>
            <w:tcBorders>
              <w:top w:val="nil"/>
              <w:left w:val="nil"/>
              <w:bottom w:val="single" w:sz="2" w:space="0" w:color="000000" w:themeColor="text1"/>
              <w:right w:val="nil"/>
            </w:tcBorders>
            <w:hideMark/>
          </w:tcPr>
          <w:p w14:paraId="67D82E9E" w14:textId="1BF5FDBD" w:rsidR="00AD0BBA" w:rsidRPr="00CA2332" w:rsidRDefault="00AD0BBA" w:rsidP="00AD0BBA">
            <w:pPr>
              <w:pStyle w:val="WDTable"/>
              <w:cnfStyle w:val="000000010000" w:firstRow="0" w:lastRow="0" w:firstColumn="0" w:lastColumn="0" w:oddVBand="0" w:evenVBand="0" w:oddHBand="0" w:evenHBand="1" w:firstRowFirstColumn="0" w:firstRowLastColumn="0" w:lastRowFirstColumn="0" w:lastRowLastColumn="0"/>
              <w:rPr>
                <w:noProof/>
                <w:color w:val="auto"/>
              </w:rPr>
            </w:pPr>
            <w:r>
              <w:rPr>
                <w:noProof/>
              </w:rPr>
              <w:t>60.</w:t>
            </w:r>
            <w:r w:rsidRPr="005B1EFE">
              <w:rPr>
                <w:noProof/>
              </w:rPr>
              <w:t>45</w:t>
            </w:r>
          </w:p>
        </w:tc>
        <w:tc>
          <w:tcPr>
            <w:tcW w:w="1250" w:type="pct"/>
            <w:tcBorders>
              <w:top w:val="nil"/>
              <w:left w:val="nil"/>
              <w:bottom w:val="single" w:sz="2" w:space="0" w:color="000000" w:themeColor="text1"/>
              <w:right w:val="nil"/>
            </w:tcBorders>
            <w:hideMark/>
          </w:tcPr>
          <w:p w14:paraId="6B81641F" w14:textId="38B8743C" w:rsidR="00AD0BBA" w:rsidRPr="00CA2332" w:rsidRDefault="00AD0BBA" w:rsidP="00AD0BBA">
            <w:pPr>
              <w:pStyle w:val="WDTable"/>
              <w:cnfStyle w:val="000000010000" w:firstRow="0" w:lastRow="0" w:firstColumn="0" w:lastColumn="0" w:oddVBand="0" w:evenVBand="0" w:oddHBand="0" w:evenHBand="1" w:firstRowFirstColumn="0" w:firstRowLastColumn="0" w:lastRowFirstColumn="0" w:lastRowLastColumn="0"/>
              <w:rPr>
                <w:noProof/>
                <w:color w:val="auto"/>
              </w:rPr>
            </w:pPr>
            <w:r w:rsidRPr="005B1EFE">
              <w:rPr>
                <w:noProof/>
              </w:rPr>
              <w:t>449</w:t>
            </w:r>
          </w:p>
        </w:tc>
        <w:tc>
          <w:tcPr>
            <w:tcW w:w="1250" w:type="pct"/>
            <w:tcBorders>
              <w:top w:val="nil"/>
              <w:left w:val="nil"/>
              <w:bottom w:val="single" w:sz="2" w:space="0" w:color="000000" w:themeColor="text1"/>
              <w:right w:val="nil"/>
            </w:tcBorders>
            <w:hideMark/>
          </w:tcPr>
          <w:p w14:paraId="5DEAFBB6" w14:textId="3370D362" w:rsidR="00AD0BBA" w:rsidRPr="00CA2332" w:rsidRDefault="00AD0BBA" w:rsidP="00AD0BBA">
            <w:pPr>
              <w:pStyle w:val="WDTable"/>
              <w:cnfStyle w:val="000000010000" w:firstRow="0" w:lastRow="0" w:firstColumn="0" w:lastColumn="0" w:oddVBand="0" w:evenVBand="0" w:oddHBand="0" w:evenHBand="1" w:firstRowFirstColumn="0" w:firstRowLastColumn="0" w:lastRowFirstColumn="0" w:lastRowLastColumn="0"/>
              <w:rPr>
                <w:noProof/>
                <w:color w:val="auto"/>
              </w:rPr>
            </w:pPr>
            <w:r w:rsidRPr="005B1EFE">
              <w:rPr>
                <w:noProof/>
              </w:rPr>
              <w:t>17</w:t>
            </w:r>
            <w:r>
              <w:rPr>
                <w:noProof/>
              </w:rPr>
              <w:t>.</w:t>
            </w:r>
            <w:r w:rsidRPr="005B1EFE">
              <w:rPr>
                <w:noProof/>
              </w:rPr>
              <w:t>94</w:t>
            </w:r>
          </w:p>
        </w:tc>
      </w:tr>
    </w:tbl>
    <w:p w14:paraId="2D7ABA7F" w14:textId="77777777" w:rsidR="00066E1D" w:rsidRDefault="00066E1D" w:rsidP="00681AAC">
      <w:pPr>
        <w:jc w:val="both"/>
        <w:rPr>
          <w:rFonts w:cs="Times New Roman"/>
          <w:noProof/>
          <w:szCs w:val="24"/>
        </w:rPr>
      </w:pPr>
    </w:p>
    <w:p w14:paraId="009142D2" w14:textId="0BE29B9A" w:rsidR="001B21BB" w:rsidRDefault="00795D5C" w:rsidP="00A24CB6">
      <w:pPr>
        <w:jc w:val="both"/>
        <w:rPr>
          <w:rFonts w:cs="Times New Roman"/>
          <w:noProof/>
          <w:szCs w:val="24"/>
        </w:rPr>
      </w:pPr>
      <w:r>
        <w:rPr>
          <w:rFonts w:cs="Times New Roman"/>
          <w:noProof/>
          <w:szCs w:val="24"/>
        </w:rPr>
        <w:t xml:space="preserve">It is to be noted, however, that </w:t>
      </w:r>
      <w:r w:rsidR="00A978E0">
        <w:rPr>
          <w:rFonts w:cs="Times New Roman"/>
          <w:noProof/>
          <w:szCs w:val="24"/>
        </w:rPr>
        <w:t>the</w:t>
      </w:r>
      <w:r>
        <w:rPr>
          <w:rFonts w:cs="Times New Roman"/>
          <w:noProof/>
          <w:szCs w:val="24"/>
        </w:rPr>
        <w:t xml:space="preserve"> figure of </w:t>
      </w:r>
      <w:r w:rsidR="00014658">
        <w:rPr>
          <w:rFonts w:cs="Times New Roman"/>
          <w:noProof/>
          <w:szCs w:val="24"/>
        </w:rPr>
        <w:t>about</w:t>
      </w:r>
      <w:r>
        <w:rPr>
          <w:rFonts w:cs="Times New Roman"/>
          <w:noProof/>
          <w:szCs w:val="24"/>
        </w:rPr>
        <w:t xml:space="preserve"> </w:t>
      </w:r>
      <w:r w:rsidR="00A94918">
        <w:rPr>
          <w:rFonts w:cs="Times New Roman"/>
          <w:noProof/>
          <w:szCs w:val="24"/>
        </w:rPr>
        <w:t xml:space="preserve"> €</w:t>
      </w:r>
      <w:r w:rsidR="00613378">
        <w:rPr>
          <w:rFonts w:cs="Times New Roman"/>
          <w:noProof/>
          <w:szCs w:val="24"/>
        </w:rPr>
        <w:t>18</w:t>
      </w:r>
      <w:r>
        <w:rPr>
          <w:rFonts w:cs="Times New Roman"/>
          <w:noProof/>
          <w:szCs w:val="24"/>
        </w:rPr>
        <w:t xml:space="preserve"> million per year for all EU </w:t>
      </w:r>
      <w:r w:rsidR="00A978E0">
        <w:rPr>
          <w:rFonts w:cs="Times New Roman"/>
          <w:noProof/>
          <w:szCs w:val="24"/>
        </w:rPr>
        <w:t>M</w:t>
      </w:r>
      <w:r>
        <w:rPr>
          <w:rFonts w:cs="Times New Roman"/>
          <w:noProof/>
          <w:szCs w:val="24"/>
        </w:rPr>
        <w:t xml:space="preserve">ember </w:t>
      </w:r>
      <w:r w:rsidR="00A978E0">
        <w:rPr>
          <w:rFonts w:cs="Times New Roman"/>
          <w:noProof/>
          <w:szCs w:val="24"/>
        </w:rPr>
        <w:t>S</w:t>
      </w:r>
      <w:r>
        <w:rPr>
          <w:rFonts w:cs="Times New Roman"/>
          <w:noProof/>
          <w:szCs w:val="24"/>
        </w:rPr>
        <w:t xml:space="preserve">tates should be considered </w:t>
      </w:r>
      <w:r w:rsidR="00A978E0">
        <w:rPr>
          <w:rFonts w:cs="Times New Roman"/>
          <w:noProof/>
          <w:szCs w:val="24"/>
        </w:rPr>
        <w:t xml:space="preserve">as </w:t>
      </w:r>
      <w:r>
        <w:rPr>
          <w:rFonts w:cs="Times New Roman"/>
          <w:noProof/>
          <w:szCs w:val="24"/>
        </w:rPr>
        <w:t xml:space="preserve">a minimum, as is based on the </w:t>
      </w:r>
      <w:r w:rsidR="00225AA6">
        <w:rPr>
          <w:rFonts w:cs="Times New Roman"/>
          <w:noProof/>
          <w:szCs w:val="24"/>
        </w:rPr>
        <w:t xml:space="preserve">estimated cost of </w:t>
      </w:r>
      <w:r>
        <w:rPr>
          <w:rFonts w:cs="Times New Roman"/>
          <w:noProof/>
          <w:szCs w:val="24"/>
        </w:rPr>
        <w:t>enforcement of the EUTR</w:t>
      </w:r>
      <w:r w:rsidR="00225AA6">
        <w:rPr>
          <w:rFonts w:cs="Times New Roman"/>
          <w:noProof/>
          <w:szCs w:val="24"/>
        </w:rPr>
        <w:t xml:space="preserve"> as currently done by the EU Member States</w:t>
      </w:r>
      <w:r w:rsidR="00FA302B">
        <w:rPr>
          <w:rFonts w:cs="Times New Roman"/>
          <w:noProof/>
          <w:szCs w:val="24"/>
        </w:rPr>
        <w:t xml:space="preserve">, which has been </w:t>
      </w:r>
      <w:r w:rsidR="00225AA6">
        <w:rPr>
          <w:rFonts w:cs="Times New Roman"/>
          <w:noProof/>
          <w:szCs w:val="24"/>
        </w:rPr>
        <w:t xml:space="preserve">sometimes not fully adequate to the task. Those enforcement efforts have been </w:t>
      </w:r>
      <w:r w:rsidR="00FA302B">
        <w:rPr>
          <w:rFonts w:cs="Times New Roman"/>
          <w:noProof/>
          <w:szCs w:val="24"/>
        </w:rPr>
        <w:t xml:space="preserve">plagued by shortcomings, including insufficient checks and uneven enforcement across member states, as highlighted by the Fitness Check of the EUTR and FLEGT Regulation. </w:t>
      </w:r>
      <w:r w:rsidR="006B3A0A">
        <w:rPr>
          <w:rFonts w:cs="Times New Roman"/>
          <w:noProof/>
          <w:szCs w:val="24"/>
        </w:rPr>
        <w:t xml:space="preserve">It is expected that a satisfactory level of enforcement by </w:t>
      </w:r>
      <w:r w:rsidR="00225AA6">
        <w:rPr>
          <w:rFonts w:cs="Times New Roman"/>
          <w:noProof/>
          <w:szCs w:val="24"/>
        </w:rPr>
        <w:t>EU M</w:t>
      </w:r>
      <w:r w:rsidR="006B3A0A">
        <w:rPr>
          <w:rFonts w:cs="Times New Roman"/>
          <w:noProof/>
          <w:szCs w:val="24"/>
        </w:rPr>
        <w:t xml:space="preserve">ember </w:t>
      </w:r>
      <w:r w:rsidR="00225AA6">
        <w:rPr>
          <w:rFonts w:cs="Times New Roman"/>
          <w:noProof/>
          <w:szCs w:val="24"/>
        </w:rPr>
        <w:t>S</w:t>
      </w:r>
      <w:r w:rsidR="006B3A0A">
        <w:rPr>
          <w:rFonts w:cs="Times New Roman"/>
          <w:noProof/>
          <w:szCs w:val="24"/>
        </w:rPr>
        <w:t xml:space="preserve">tates would require </w:t>
      </w:r>
      <w:r w:rsidR="00A90A05">
        <w:rPr>
          <w:rFonts w:cs="Times New Roman"/>
          <w:noProof/>
          <w:szCs w:val="24"/>
        </w:rPr>
        <w:t>even</w:t>
      </w:r>
      <w:r w:rsidR="00225AA6">
        <w:rPr>
          <w:rFonts w:cs="Times New Roman"/>
          <w:noProof/>
          <w:szCs w:val="24"/>
        </w:rPr>
        <w:t xml:space="preserve"> </w:t>
      </w:r>
      <w:r w:rsidR="006B3A0A">
        <w:rPr>
          <w:rFonts w:cs="Times New Roman"/>
          <w:noProof/>
          <w:szCs w:val="24"/>
        </w:rPr>
        <w:t xml:space="preserve">more resources and imply higher costs. In addition, a number of measures involving </w:t>
      </w:r>
      <w:r w:rsidR="00A24CB6">
        <w:rPr>
          <w:rFonts w:cs="Times New Roman"/>
          <w:noProof/>
          <w:szCs w:val="24"/>
        </w:rPr>
        <w:t>new</w:t>
      </w:r>
      <w:r w:rsidR="006B3A0A">
        <w:rPr>
          <w:rFonts w:cs="Times New Roman"/>
          <w:noProof/>
          <w:szCs w:val="24"/>
        </w:rPr>
        <w:t xml:space="preserve"> enforcement obligations for </w:t>
      </w:r>
      <w:r w:rsidR="00A978E0">
        <w:rPr>
          <w:rFonts w:cs="Times New Roman"/>
          <w:noProof/>
          <w:szCs w:val="24"/>
        </w:rPr>
        <w:t>M</w:t>
      </w:r>
      <w:r w:rsidR="006B3A0A">
        <w:rPr>
          <w:rFonts w:cs="Times New Roman"/>
          <w:noProof/>
          <w:szCs w:val="24"/>
        </w:rPr>
        <w:t xml:space="preserve">ember </w:t>
      </w:r>
      <w:r w:rsidR="00A978E0">
        <w:rPr>
          <w:rFonts w:cs="Times New Roman"/>
          <w:noProof/>
          <w:szCs w:val="24"/>
        </w:rPr>
        <w:t>S</w:t>
      </w:r>
      <w:r w:rsidR="006B3A0A">
        <w:rPr>
          <w:rFonts w:cs="Times New Roman"/>
          <w:noProof/>
          <w:szCs w:val="24"/>
        </w:rPr>
        <w:t xml:space="preserve">tates — including a minimum volume </w:t>
      </w:r>
      <w:r w:rsidR="00A24CB6">
        <w:rPr>
          <w:rFonts w:cs="Times New Roman"/>
          <w:noProof/>
          <w:szCs w:val="24"/>
        </w:rPr>
        <w:t xml:space="preserve">share </w:t>
      </w:r>
      <w:r w:rsidR="006B3A0A">
        <w:rPr>
          <w:rFonts w:cs="Times New Roman"/>
          <w:noProof/>
          <w:szCs w:val="24"/>
        </w:rPr>
        <w:t xml:space="preserve">of products and commodities checked per year or the obligation to respond to </w:t>
      </w:r>
      <w:r w:rsidR="00A24CB6">
        <w:rPr>
          <w:rFonts w:cs="Times New Roman"/>
          <w:noProof/>
          <w:szCs w:val="24"/>
        </w:rPr>
        <w:t xml:space="preserve">substantiated concerns raised by civil society </w:t>
      </w:r>
      <w:r w:rsidR="006B3A0A">
        <w:rPr>
          <w:rFonts w:cs="Times New Roman"/>
          <w:noProof/>
          <w:szCs w:val="24"/>
        </w:rPr>
        <w:t>—</w:t>
      </w:r>
      <w:r w:rsidR="00A24CB6">
        <w:rPr>
          <w:rFonts w:cs="Times New Roman"/>
          <w:noProof/>
          <w:szCs w:val="24"/>
        </w:rPr>
        <w:t xml:space="preserve"> are </w:t>
      </w:r>
      <w:r w:rsidR="00A978E0">
        <w:rPr>
          <w:rFonts w:cs="Times New Roman"/>
          <w:noProof/>
          <w:szCs w:val="24"/>
        </w:rPr>
        <w:t xml:space="preserve">also </w:t>
      </w:r>
      <w:r w:rsidR="00A24CB6">
        <w:rPr>
          <w:rFonts w:cs="Times New Roman"/>
          <w:noProof/>
          <w:szCs w:val="24"/>
        </w:rPr>
        <w:t>expected to increase the costs.</w:t>
      </w:r>
      <w:r w:rsidR="001B21BB" w:rsidRPr="007C1494">
        <w:rPr>
          <w:rFonts w:cs="Times New Roman"/>
          <w:noProof/>
          <w:szCs w:val="24"/>
        </w:rPr>
        <w:t xml:space="preserve"> </w:t>
      </w:r>
    </w:p>
    <w:p w14:paraId="6A3A2453" w14:textId="29EA23D8" w:rsidR="001B58C6" w:rsidRPr="002954BF" w:rsidRDefault="001B58C6" w:rsidP="001B58C6">
      <w:pPr>
        <w:jc w:val="both"/>
        <w:rPr>
          <w:rFonts w:cs="Times New Roman"/>
          <w:noProof/>
          <w:szCs w:val="24"/>
        </w:rPr>
      </w:pPr>
      <w:r w:rsidRPr="005E50A1">
        <w:rPr>
          <w:rFonts w:cs="Times New Roman"/>
          <w:noProof/>
          <w:szCs w:val="24"/>
        </w:rPr>
        <w:t>Regarding costs to third countries, all options have a deforestation-free requirement</w:t>
      </w:r>
      <w:r w:rsidRPr="00EE04A9">
        <w:rPr>
          <w:rFonts w:cs="Times New Roman"/>
          <w:noProof/>
          <w:szCs w:val="24"/>
        </w:rPr>
        <w:t>,</w:t>
      </w:r>
      <w:r w:rsidRPr="00D82FB9">
        <w:rPr>
          <w:rFonts w:cs="Times New Roman"/>
          <w:noProof/>
          <w:szCs w:val="24"/>
        </w:rPr>
        <w:t xml:space="preserve"> so producers will need to make the </w:t>
      </w:r>
      <w:r w:rsidRPr="002954BF">
        <w:rPr>
          <w:rFonts w:cs="Times New Roman"/>
          <w:noProof/>
          <w:szCs w:val="24"/>
        </w:rPr>
        <w:t xml:space="preserve">necessary changes to their production practices to ensure that commodities exported to the EU meet legal and deforestation-free requirements. </w:t>
      </w:r>
      <w:r w:rsidRPr="005E50A1">
        <w:rPr>
          <w:rFonts w:cs="Times New Roman"/>
          <w:noProof/>
          <w:szCs w:val="24"/>
        </w:rPr>
        <w:t xml:space="preserve">Whilst costs should be minimal in countries </w:t>
      </w:r>
      <w:r>
        <w:rPr>
          <w:rFonts w:cs="Times New Roman"/>
          <w:noProof/>
          <w:szCs w:val="24"/>
        </w:rPr>
        <w:t xml:space="preserve">and products </w:t>
      </w:r>
      <w:r w:rsidRPr="005E50A1">
        <w:rPr>
          <w:rFonts w:cs="Times New Roman"/>
          <w:noProof/>
          <w:szCs w:val="24"/>
        </w:rPr>
        <w:t xml:space="preserve">where commodity production rarely </w:t>
      </w:r>
      <w:r>
        <w:rPr>
          <w:rFonts w:cs="Times New Roman"/>
          <w:noProof/>
          <w:szCs w:val="24"/>
        </w:rPr>
        <w:t>involves</w:t>
      </w:r>
      <w:r w:rsidRPr="005E50A1">
        <w:rPr>
          <w:rFonts w:cs="Times New Roman"/>
          <w:noProof/>
          <w:szCs w:val="24"/>
        </w:rPr>
        <w:t xml:space="preserve"> newly deforested or degraded land, </w:t>
      </w:r>
      <w:r w:rsidR="00C824FD">
        <w:rPr>
          <w:rFonts w:cs="Times New Roman"/>
          <w:noProof/>
          <w:szCs w:val="24"/>
        </w:rPr>
        <w:t xml:space="preserve">as well as those with effective national institutions controlling the legality of local production, </w:t>
      </w:r>
      <w:r w:rsidRPr="005E50A1">
        <w:rPr>
          <w:rFonts w:cs="Times New Roman"/>
          <w:noProof/>
          <w:szCs w:val="24"/>
        </w:rPr>
        <w:t xml:space="preserve">there may be particular countries and supply chains where this would require </w:t>
      </w:r>
      <w:r w:rsidR="00C824FD">
        <w:rPr>
          <w:rFonts w:cs="Times New Roman"/>
          <w:noProof/>
          <w:szCs w:val="24"/>
        </w:rPr>
        <w:t>additional</w:t>
      </w:r>
      <w:r w:rsidRPr="005E50A1">
        <w:rPr>
          <w:rFonts w:cs="Times New Roman"/>
          <w:noProof/>
          <w:szCs w:val="24"/>
        </w:rPr>
        <w:t xml:space="preserve"> time and resources</w:t>
      </w:r>
      <w:r w:rsidRPr="00D82FB9">
        <w:rPr>
          <w:rFonts w:cs="Times New Roman"/>
          <w:noProof/>
          <w:szCs w:val="24"/>
        </w:rPr>
        <w:t xml:space="preserve"> </w:t>
      </w:r>
    </w:p>
    <w:p w14:paraId="53907897" w14:textId="15987050" w:rsidR="001B58C6" w:rsidRPr="002954BF" w:rsidRDefault="001B58C6" w:rsidP="001B58C6">
      <w:pPr>
        <w:jc w:val="both"/>
        <w:rPr>
          <w:rFonts w:cs="Times New Roman"/>
          <w:noProof/>
          <w:szCs w:val="24"/>
        </w:rPr>
      </w:pPr>
      <w:r w:rsidRPr="002954BF">
        <w:rPr>
          <w:rFonts w:cs="Times New Roman"/>
          <w:noProof/>
          <w:szCs w:val="24"/>
        </w:rPr>
        <w:t xml:space="preserve">As noted above, some EU operators </w:t>
      </w:r>
      <w:r w:rsidR="000569A5">
        <w:rPr>
          <w:rFonts w:cs="Times New Roman"/>
          <w:noProof/>
          <w:szCs w:val="24"/>
        </w:rPr>
        <w:t xml:space="preserve">could </w:t>
      </w:r>
      <w:r w:rsidRPr="002954BF">
        <w:rPr>
          <w:rFonts w:cs="Times New Roman"/>
          <w:noProof/>
          <w:szCs w:val="24"/>
        </w:rPr>
        <w:t xml:space="preserve">switch to lower risk countries and supply chains where possible. Higher risk countries </w:t>
      </w:r>
      <w:r w:rsidR="000569A5">
        <w:rPr>
          <w:rFonts w:cs="Times New Roman"/>
          <w:noProof/>
          <w:szCs w:val="24"/>
        </w:rPr>
        <w:t>could</w:t>
      </w:r>
      <w:r w:rsidRPr="002954BF">
        <w:rPr>
          <w:rFonts w:cs="Times New Roman"/>
          <w:noProof/>
          <w:szCs w:val="24"/>
        </w:rPr>
        <w:t xml:space="preserve"> therefore experience a lower demand for their products from the EU (although the extent of such switching of suppliers is not known, and the experience from the EUTR indicates that operators continue to source timber from higher risk countries).</w:t>
      </w:r>
    </w:p>
    <w:p w14:paraId="686F1D08" w14:textId="77777777" w:rsidR="001B58C6" w:rsidRPr="002954BF" w:rsidRDefault="001B58C6" w:rsidP="001B58C6">
      <w:pPr>
        <w:jc w:val="both"/>
        <w:rPr>
          <w:rFonts w:cs="Times New Roman"/>
          <w:noProof/>
          <w:szCs w:val="24"/>
        </w:rPr>
      </w:pPr>
      <w:r w:rsidRPr="002954BF">
        <w:rPr>
          <w:rFonts w:cs="Times New Roman"/>
          <w:noProof/>
          <w:szCs w:val="24"/>
        </w:rPr>
        <w:t>Figure 12 (section 6.1.2) illustrates the top EU trading partners per commodity and their level of deforestation risk, with further details on countries most likely to be impacted by the regulation provided in Annex 6.</w:t>
      </w:r>
    </w:p>
    <w:p w14:paraId="2FE36E8C" w14:textId="77777777" w:rsidR="001B58C6" w:rsidRPr="007C1494" w:rsidRDefault="001B58C6" w:rsidP="00A24CB6">
      <w:pPr>
        <w:jc w:val="both"/>
        <w:rPr>
          <w:rFonts w:cs="Times New Roman"/>
          <w:noProof/>
          <w:szCs w:val="24"/>
        </w:rPr>
      </w:pPr>
    </w:p>
    <w:p w14:paraId="72A68500" w14:textId="1D3A5672" w:rsidR="009B236A" w:rsidRPr="007C1494" w:rsidRDefault="00335526" w:rsidP="00335526">
      <w:pPr>
        <w:pStyle w:val="Heading2"/>
        <w:rPr>
          <w:noProof/>
        </w:rPr>
      </w:pPr>
      <w:bookmarkStart w:id="185" w:name="_Toc66658676"/>
      <w:bookmarkStart w:id="186" w:name="_Toc67075004"/>
      <w:bookmarkStart w:id="187" w:name="_Toc75542200"/>
      <w:bookmarkStart w:id="188" w:name="_Toc75543233"/>
      <w:bookmarkStart w:id="189" w:name="_Toc84591922"/>
      <w:r w:rsidRPr="00335526">
        <w:t>6.3</w:t>
      </w:r>
      <w:r w:rsidRPr="00335526">
        <w:tab/>
      </w:r>
      <w:r w:rsidR="00903440" w:rsidRPr="007C1494">
        <w:rPr>
          <w:noProof/>
        </w:rPr>
        <w:t>Policy O</w:t>
      </w:r>
      <w:r w:rsidR="0061629E" w:rsidRPr="007C1494">
        <w:rPr>
          <w:noProof/>
        </w:rPr>
        <w:t xml:space="preserve">ption 2 – </w:t>
      </w:r>
      <w:bookmarkEnd w:id="185"/>
      <w:bookmarkEnd w:id="186"/>
      <w:r w:rsidR="003C1217" w:rsidRPr="007C1494">
        <w:rPr>
          <w:noProof/>
        </w:rPr>
        <w:t>A benchmarking system and a list of contravening operators combined with tiered improved mandatory due diligence system, relying on a deforestation free definition</w:t>
      </w:r>
      <w:bookmarkEnd w:id="187"/>
      <w:bookmarkEnd w:id="188"/>
      <w:bookmarkEnd w:id="189"/>
    </w:p>
    <w:p w14:paraId="37267072" w14:textId="2CDB7CD5" w:rsidR="00E65502" w:rsidRDefault="00677C6C" w:rsidP="30CC34C4">
      <w:pPr>
        <w:jc w:val="both"/>
        <w:rPr>
          <w:rFonts w:cs="Times New Roman"/>
          <w:noProof/>
          <w:szCs w:val="24"/>
        </w:rPr>
      </w:pPr>
      <w:bookmarkStart w:id="190" w:name="_Toc67075005"/>
      <w:r w:rsidRPr="007C1494">
        <w:rPr>
          <w:rFonts w:cs="Times New Roman"/>
          <w:noProof/>
          <w:szCs w:val="24"/>
        </w:rPr>
        <w:t>It is expected that this option will have a higher effectiveness</w:t>
      </w:r>
      <w:r w:rsidR="000852F8" w:rsidRPr="007C1494">
        <w:rPr>
          <w:rFonts w:cs="Times New Roman"/>
          <w:noProof/>
          <w:szCs w:val="24"/>
        </w:rPr>
        <w:t xml:space="preserve"> and efficiency</w:t>
      </w:r>
      <w:r w:rsidRPr="007C1494">
        <w:rPr>
          <w:rFonts w:cs="Times New Roman"/>
          <w:noProof/>
          <w:szCs w:val="24"/>
        </w:rPr>
        <w:t xml:space="preserve"> than </w:t>
      </w:r>
      <w:r w:rsidR="00556883">
        <w:rPr>
          <w:rFonts w:cs="Times New Roman"/>
          <w:noProof/>
          <w:szCs w:val="24"/>
        </w:rPr>
        <w:t>o</w:t>
      </w:r>
      <w:r w:rsidRPr="007C1494">
        <w:rPr>
          <w:rFonts w:cs="Times New Roman"/>
          <w:noProof/>
          <w:szCs w:val="24"/>
        </w:rPr>
        <w:t>ption 1</w:t>
      </w:r>
      <w:r w:rsidR="00E65502">
        <w:rPr>
          <w:rFonts w:cs="Times New Roman"/>
          <w:noProof/>
          <w:szCs w:val="24"/>
        </w:rPr>
        <w:t>,</w:t>
      </w:r>
      <w:r w:rsidRPr="007C1494">
        <w:rPr>
          <w:rFonts w:cs="Times New Roman"/>
          <w:noProof/>
          <w:szCs w:val="24"/>
        </w:rPr>
        <w:t xml:space="preserve"> as </w:t>
      </w:r>
      <w:r w:rsidR="000852F8" w:rsidRPr="007C1494">
        <w:rPr>
          <w:rFonts w:cs="Times New Roman"/>
          <w:noProof/>
          <w:szCs w:val="24"/>
        </w:rPr>
        <w:t xml:space="preserve">the DDS requirements will be accompanied by a benchmarking system </w:t>
      </w:r>
      <w:r w:rsidR="00E65502">
        <w:rPr>
          <w:rFonts w:cs="Times New Roman"/>
          <w:noProof/>
          <w:szCs w:val="24"/>
        </w:rPr>
        <w:t>creating incentives for countries to curb deforestation and facilitating due diligence by operators, among other benefits (see section 5.3.2 for more information)</w:t>
      </w:r>
      <w:r w:rsidR="00556883">
        <w:rPr>
          <w:rFonts w:cs="Times New Roman"/>
          <w:noProof/>
          <w:szCs w:val="24"/>
        </w:rPr>
        <w:t>.</w:t>
      </w:r>
    </w:p>
    <w:p w14:paraId="79FF7A5C" w14:textId="246B1412" w:rsidR="00CB4184" w:rsidRPr="007C1494" w:rsidRDefault="00CB4184" w:rsidP="30CC34C4">
      <w:pPr>
        <w:jc w:val="both"/>
        <w:rPr>
          <w:b/>
          <w:noProof/>
          <w:szCs w:val="24"/>
        </w:rPr>
      </w:pPr>
      <w:r w:rsidRPr="007C1494">
        <w:rPr>
          <w:rFonts w:cs="Times New Roman"/>
          <w:b/>
          <w:noProof/>
          <w:szCs w:val="24"/>
        </w:rPr>
        <w:t>Benefits</w:t>
      </w:r>
    </w:p>
    <w:p w14:paraId="621EE103" w14:textId="7B50BEB5" w:rsidR="00F913B6" w:rsidRDefault="000852F8" w:rsidP="30CC34C4">
      <w:pPr>
        <w:jc w:val="both"/>
        <w:rPr>
          <w:rFonts w:cs="Times New Roman"/>
          <w:noProof/>
          <w:szCs w:val="24"/>
        </w:rPr>
      </w:pPr>
      <w:r w:rsidRPr="007C1494">
        <w:rPr>
          <w:rFonts w:cs="Times New Roman"/>
          <w:noProof/>
          <w:szCs w:val="24"/>
        </w:rPr>
        <w:t xml:space="preserve">Option 2 </w:t>
      </w:r>
      <w:r w:rsidR="001B7CFE">
        <w:rPr>
          <w:rFonts w:cs="Times New Roman"/>
          <w:noProof/>
          <w:szCs w:val="24"/>
        </w:rPr>
        <w:t xml:space="preserve">falls within the same range of expected benefits </w:t>
      </w:r>
      <w:r w:rsidR="00556883">
        <w:rPr>
          <w:rFonts w:cs="Times New Roman"/>
          <w:noProof/>
          <w:szCs w:val="24"/>
        </w:rPr>
        <w:t xml:space="preserve">as </w:t>
      </w:r>
      <w:r w:rsidR="001B7CFE">
        <w:rPr>
          <w:rFonts w:cs="Times New Roman"/>
          <w:noProof/>
          <w:szCs w:val="24"/>
        </w:rPr>
        <w:t xml:space="preserve">option 1. </w:t>
      </w:r>
      <w:r w:rsidR="00F913B6">
        <w:rPr>
          <w:rFonts w:cs="Times New Roman"/>
          <w:noProof/>
          <w:szCs w:val="24"/>
        </w:rPr>
        <w:t xml:space="preserve">Therefore, option 2 is forecast to provide benefits at the high end above the minimum described in section 6.1.1, that is at least 29% of deforestation driven by </w:t>
      </w:r>
      <w:r w:rsidR="00417DDF">
        <w:rPr>
          <w:rFonts w:cs="Times New Roman"/>
          <w:noProof/>
          <w:szCs w:val="24"/>
        </w:rPr>
        <w:t xml:space="preserve">its </w:t>
      </w:r>
      <w:r w:rsidR="00F913B6">
        <w:rPr>
          <w:rFonts w:cs="Times New Roman"/>
          <w:noProof/>
          <w:szCs w:val="24"/>
        </w:rPr>
        <w:t xml:space="preserve">consumption and production of the six commodities included in the scope by 2030, and therefore a minimum of 71,920 hectares of forest less affected by EU-driven deforestation and forest degradation </w:t>
      </w:r>
      <w:r w:rsidR="00F913B6" w:rsidRPr="007C1494">
        <w:rPr>
          <w:rFonts w:cs="Times New Roman"/>
          <w:noProof/>
          <w:szCs w:val="24"/>
        </w:rPr>
        <w:t>starting in 2030</w:t>
      </w:r>
      <w:r w:rsidR="00F913B6" w:rsidRPr="007C1494">
        <w:rPr>
          <w:rStyle w:val="FootnoteReference"/>
          <w:noProof/>
        </w:rPr>
        <w:footnoteReference w:id="202"/>
      </w:r>
      <w:r w:rsidR="00F913B6" w:rsidRPr="007C1494">
        <w:rPr>
          <w:rFonts w:cs="Times New Roman"/>
          <w:noProof/>
          <w:szCs w:val="24"/>
        </w:rPr>
        <w:t xml:space="preserve">. </w:t>
      </w:r>
      <w:r w:rsidR="00F913B6">
        <w:rPr>
          <w:rFonts w:cs="Times New Roman"/>
          <w:noProof/>
          <w:szCs w:val="24"/>
        </w:rPr>
        <w:t xml:space="preserve">This would also mean a minimum of </w:t>
      </w:r>
      <w:r w:rsidR="00F913B6" w:rsidRPr="00C03274">
        <w:rPr>
          <w:rFonts w:cs="Times New Roman"/>
          <w:noProof/>
          <w:szCs w:val="24"/>
        </w:rPr>
        <w:t>31.9</w:t>
      </w:r>
      <w:r w:rsidR="00F913B6">
        <w:rPr>
          <w:rFonts w:cs="Times New Roman"/>
          <w:noProof/>
          <w:szCs w:val="24"/>
        </w:rPr>
        <w:t xml:space="preserve"> million metric tons of carbon fewer emitted to the atmosphere every year due to EU consumption and production of the relevant commodities, which could be translated into economic savings of at least 3.2 billion EUR annually.</w:t>
      </w:r>
      <w:r w:rsidR="00CF37AE" w:rsidRPr="00CF37AE">
        <w:rPr>
          <w:rFonts w:cs="Times New Roman"/>
          <w:noProof/>
          <w:szCs w:val="24"/>
        </w:rPr>
        <w:t xml:space="preserve"> </w:t>
      </w:r>
      <w:r w:rsidR="00CF37AE">
        <w:rPr>
          <w:rFonts w:cs="Times New Roman"/>
          <w:noProof/>
          <w:szCs w:val="24"/>
        </w:rPr>
        <w:t>Yet, while not quantified due to the limitations the assessment faces, it is expected that the enhanced features described in section 5.3.2 will bring higher effectiveness than option 1.</w:t>
      </w:r>
    </w:p>
    <w:p w14:paraId="3F87AC87" w14:textId="71AA4A17" w:rsidR="001B7CFE" w:rsidRDefault="001B7CFE" w:rsidP="001B7CFE">
      <w:pPr>
        <w:jc w:val="both"/>
        <w:rPr>
          <w:rFonts w:cs="Times New Roman"/>
          <w:noProof/>
          <w:szCs w:val="24"/>
        </w:rPr>
      </w:pPr>
      <w:r>
        <w:rPr>
          <w:rFonts w:cs="Times New Roman"/>
          <w:noProof/>
          <w:szCs w:val="24"/>
        </w:rPr>
        <w:t xml:space="preserve">Option 2 would also contribute </w:t>
      </w:r>
      <w:r w:rsidR="00F913B6">
        <w:rPr>
          <w:rFonts w:cs="Times New Roman"/>
          <w:noProof/>
          <w:szCs w:val="24"/>
        </w:rPr>
        <w:t xml:space="preserve">more decisively </w:t>
      </w:r>
      <w:r>
        <w:rPr>
          <w:rFonts w:cs="Times New Roman"/>
          <w:noProof/>
          <w:szCs w:val="24"/>
        </w:rPr>
        <w:t>to preserving biodiversity by reducing activities that are proven to threat the survival of numerous species.</w:t>
      </w:r>
    </w:p>
    <w:p w14:paraId="52F29BE5" w14:textId="517933C9" w:rsidR="001B7CFE" w:rsidRDefault="001B7CFE" w:rsidP="001B7CFE">
      <w:pPr>
        <w:jc w:val="both"/>
        <w:rPr>
          <w:rFonts w:cs="Times New Roman"/>
          <w:noProof/>
          <w:szCs w:val="24"/>
        </w:rPr>
      </w:pPr>
      <w:r>
        <w:rPr>
          <w:rFonts w:cs="Times New Roman"/>
          <w:noProof/>
          <w:szCs w:val="24"/>
        </w:rPr>
        <w:t xml:space="preserve">Option 2 </w:t>
      </w:r>
      <w:r w:rsidR="002B038B">
        <w:rPr>
          <w:rFonts w:cs="Times New Roman"/>
          <w:noProof/>
          <w:szCs w:val="24"/>
        </w:rPr>
        <w:t>is also expected to contribute to achieving the specific objectives of the EU intervention, namely minimising the</w:t>
      </w:r>
      <w:r w:rsidR="002B038B" w:rsidRPr="000016B0">
        <w:rPr>
          <w:rFonts w:cs="Times New Roman"/>
          <w:noProof/>
          <w:szCs w:val="24"/>
        </w:rPr>
        <w:t xml:space="preserve"> consumption of products coming from supply chains associated with defo</w:t>
      </w:r>
      <w:r w:rsidR="002B038B">
        <w:rPr>
          <w:rFonts w:cs="Times New Roman"/>
          <w:noProof/>
          <w:szCs w:val="24"/>
        </w:rPr>
        <w:t>restation or forest degradation, and increasing</w:t>
      </w:r>
      <w:r w:rsidR="002B038B" w:rsidRPr="000016B0">
        <w:rPr>
          <w:rFonts w:cs="Times New Roman"/>
          <w:noProof/>
          <w:szCs w:val="24"/>
        </w:rPr>
        <w:t xml:space="preserve"> EU demand for and tr</w:t>
      </w:r>
      <w:r w:rsidR="002B038B">
        <w:rPr>
          <w:rFonts w:cs="Times New Roman"/>
          <w:noProof/>
          <w:szCs w:val="24"/>
        </w:rPr>
        <w:t>ade in legal and ‘deforestation-</w:t>
      </w:r>
      <w:r w:rsidR="002B038B" w:rsidRPr="000016B0">
        <w:rPr>
          <w:rFonts w:cs="Times New Roman"/>
          <w:noProof/>
          <w:szCs w:val="24"/>
        </w:rPr>
        <w:t>free’ commodities and products</w:t>
      </w:r>
      <w:r w:rsidR="002B038B">
        <w:rPr>
          <w:rFonts w:cs="Times New Roman"/>
          <w:noProof/>
          <w:szCs w:val="24"/>
        </w:rPr>
        <w:t xml:space="preserve">. It would also contribute to </w:t>
      </w:r>
      <w:r w:rsidR="002B038B" w:rsidRPr="00A852D0">
        <w:rPr>
          <w:rFonts w:cs="Times New Roman"/>
          <w:noProof/>
          <w:szCs w:val="24"/>
        </w:rPr>
        <w:t>creating a level playing field for companies operating in the EU market</w:t>
      </w:r>
      <w:r w:rsidR="00556883" w:rsidRPr="00556883">
        <w:rPr>
          <w:rFonts w:cs="Times New Roman"/>
          <w:noProof/>
          <w:szCs w:val="24"/>
        </w:rPr>
        <w:t xml:space="preserve"> and streamline enforcement activities and associated costs across the EU through the transparent identification of contravening operators</w:t>
      </w:r>
      <w:r w:rsidR="002B038B">
        <w:rPr>
          <w:rFonts w:cs="Times New Roman"/>
          <w:noProof/>
          <w:szCs w:val="24"/>
        </w:rPr>
        <w:t>.</w:t>
      </w:r>
    </w:p>
    <w:p w14:paraId="431FE9C8" w14:textId="63B122F5" w:rsidR="00556883" w:rsidRDefault="00556883" w:rsidP="005177B4">
      <w:pPr>
        <w:jc w:val="both"/>
        <w:rPr>
          <w:rFonts w:cs="Times New Roman"/>
          <w:noProof/>
          <w:szCs w:val="24"/>
        </w:rPr>
      </w:pPr>
      <w:r>
        <w:rPr>
          <w:rFonts w:cs="Times New Roman"/>
          <w:noProof/>
          <w:szCs w:val="24"/>
        </w:rPr>
        <w:t>In addition</w:t>
      </w:r>
      <w:r w:rsidR="006A4863">
        <w:rPr>
          <w:rFonts w:cs="Times New Roman"/>
          <w:noProof/>
          <w:szCs w:val="24"/>
        </w:rPr>
        <w:t>, o</w:t>
      </w:r>
      <w:r w:rsidR="003245CD" w:rsidRPr="007C1494">
        <w:rPr>
          <w:rFonts w:cs="Times New Roman"/>
          <w:noProof/>
          <w:szCs w:val="24"/>
        </w:rPr>
        <w:t>perators sourcing commodities and products from</w:t>
      </w:r>
      <w:r w:rsidR="005177B4" w:rsidRPr="007C1494">
        <w:rPr>
          <w:rFonts w:cs="Times New Roman"/>
          <w:noProof/>
          <w:szCs w:val="24"/>
        </w:rPr>
        <w:t xml:space="preserve"> ‘low-risk’ countries </w:t>
      </w:r>
      <w:r w:rsidR="00E1133F" w:rsidRPr="007C1494">
        <w:rPr>
          <w:rFonts w:cs="Times New Roman"/>
          <w:noProof/>
          <w:szCs w:val="24"/>
        </w:rPr>
        <w:t>would benefit from higher</w:t>
      </w:r>
      <w:r w:rsidR="00F307E7" w:rsidRPr="007C1494">
        <w:rPr>
          <w:rFonts w:cs="Times New Roman"/>
          <w:noProof/>
          <w:szCs w:val="24"/>
        </w:rPr>
        <w:t xml:space="preserve"> </w:t>
      </w:r>
      <w:r w:rsidR="005D51BE" w:rsidRPr="007C1494">
        <w:rPr>
          <w:rFonts w:cs="Times New Roman"/>
          <w:noProof/>
          <w:szCs w:val="24"/>
        </w:rPr>
        <w:t xml:space="preserve">demand </w:t>
      </w:r>
      <w:r w:rsidR="00E1133F" w:rsidRPr="007C1494">
        <w:rPr>
          <w:rFonts w:cs="Times New Roman"/>
          <w:noProof/>
          <w:szCs w:val="24"/>
        </w:rPr>
        <w:t xml:space="preserve">for </w:t>
      </w:r>
      <w:r w:rsidR="005177B4" w:rsidRPr="007C1494">
        <w:rPr>
          <w:rFonts w:cs="Times New Roman"/>
          <w:noProof/>
          <w:szCs w:val="24"/>
        </w:rPr>
        <w:t xml:space="preserve">commodities and products from </w:t>
      </w:r>
      <w:r w:rsidR="00E1133F" w:rsidRPr="007C1494">
        <w:rPr>
          <w:rFonts w:cs="Times New Roman"/>
          <w:noProof/>
          <w:szCs w:val="24"/>
        </w:rPr>
        <w:t>countries assessed to be</w:t>
      </w:r>
      <w:r w:rsidR="005177B4" w:rsidRPr="007C1494">
        <w:rPr>
          <w:rFonts w:cs="Times New Roman"/>
          <w:noProof/>
          <w:szCs w:val="24"/>
        </w:rPr>
        <w:t xml:space="preserve"> ‘low-risk’. </w:t>
      </w:r>
      <w:r w:rsidR="003245CD" w:rsidRPr="007C1494">
        <w:rPr>
          <w:rFonts w:cs="Times New Roman"/>
          <w:noProof/>
          <w:szCs w:val="24"/>
        </w:rPr>
        <w:t>They are also</w:t>
      </w:r>
      <w:r w:rsidR="005177B4" w:rsidRPr="007C1494">
        <w:rPr>
          <w:rFonts w:cs="Times New Roman"/>
          <w:noProof/>
          <w:szCs w:val="24"/>
        </w:rPr>
        <w:t xml:space="preserve"> likely to see increased competitiveness compared to operators sourcing from ‘high-risk’ </w:t>
      </w:r>
      <w:r w:rsidR="00E1133F" w:rsidRPr="007C1494">
        <w:rPr>
          <w:rFonts w:cs="Times New Roman"/>
          <w:noProof/>
          <w:szCs w:val="24"/>
        </w:rPr>
        <w:t xml:space="preserve">countries </w:t>
      </w:r>
      <w:r w:rsidR="005177B4" w:rsidRPr="007C1494">
        <w:rPr>
          <w:rFonts w:cs="Times New Roman"/>
          <w:noProof/>
          <w:szCs w:val="24"/>
        </w:rPr>
        <w:t xml:space="preserve">due to a reduced administrative burden to meet </w:t>
      </w:r>
      <w:r w:rsidR="005177B4" w:rsidRPr="007C1494" w:rsidDel="00471E73">
        <w:rPr>
          <w:rFonts w:cs="Times New Roman"/>
          <w:noProof/>
          <w:szCs w:val="24"/>
        </w:rPr>
        <w:t>due diligence</w:t>
      </w:r>
      <w:r w:rsidR="005177B4" w:rsidRPr="007C1494">
        <w:rPr>
          <w:rFonts w:cs="Times New Roman"/>
          <w:noProof/>
          <w:szCs w:val="24"/>
        </w:rPr>
        <w:t xml:space="preserve"> requirements. </w:t>
      </w:r>
      <w:r w:rsidR="001B7CFE">
        <w:rPr>
          <w:rFonts w:cs="Times New Roman"/>
          <w:noProof/>
          <w:szCs w:val="24"/>
        </w:rPr>
        <w:t>B</w:t>
      </w:r>
      <w:r w:rsidR="005177B4" w:rsidRPr="007C1494">
        <w:rPr>
          <w:rFonts w:cs="Times New Roman"/>
          <w:noProof/>
          <w:szCs w:val="24"/>
        </w:rPr>
        <w:t xml:space="preserve">enchmarking will </w:t>
      </w:r>
      <w:r w:rsidR="00E1133F" w:rsidRPr="007C1494">
        <w:rPr>
          <w:rFonts w:cs="Times New Roman"/>
          <w:noProof/>
          <w:szCs w:val="24"/>
        </w:rPr>
        <w:t xml:space="preserve">also </w:t>
      </w:r>
      <w:r w:rsidR="005177B4" w:rsidRPr="007C1494">
        <w:rPr>
          <w:rFonts w:cs="Times New Roman"/>
          <w:noProof/>
          <w:szCs w:val="24"/>
        </w:rPr>
        <w:t xml:space="preserve">facilitate the amount of information available to consumers. This might result in </w:t>
      </w:r>
      <w:r w:rsidR="00E1133F" w:rsidRPr="007C1494">
        <w:rPr>
          <w:rFonts w:cs="Times New Roman"/>
          <w:noProof/>
          <w:szCs w:val="24"/>
        </w:rPr>
        <w:t>a further increase in demand for products</w:t>
      </w:r>
      <w:r w:rsidR="005177B4" w:rsidRPr="007C1494">
        <w:rPr>
          <w:rFonts w:cs="Times New Roman"/>
          <w:noProof/>
          <w:szCs w:val="24"/>
        </w:rPr>
        <w:t xml:space="preserve"> from ‘low-risk’ countries</w:t>
      </w:r>
      <w:r w:rsidR="00753DF2" w:rsidRPr="007C1494">
        <w:rPr>
          <w:rFonts w:cs="Times New Roman"/>
          <w:noProof/>
          <w:szCs w:val="24"/>
        </w:rPr>
        <w:t>.</w:t>
      </w:r>
      <w:r w:rsidR="005177B4" w:rsidRPr="007C1494">
        <w:rPr>
          <w:rFonts w:cs="Times New Roman"/>
          <w:noProof/>
          <w:szCs w:val="24"/>
        </w:rPr>
        <w:t xml:space="preserve"> Public access to benchmarking might also provide valuable information to NGOs, academia and policy makers and would facilitate decision-making, innovation and research relating to deforestation, forest degradation and trade.</w:t>
      </w:r>
      <w:r w:rsidR="001B7CFE">
        <w:rPr>
          <w:rFonts w:cs="Times New Roman"/>
          <w:noProof/>
          <w:szCs w:val="24"/>
        </w:rPr>
        <w:t xml:space="preserve"> </w:t>
      </w:r>
    </w:p>
    <w:p w14:paraId="5573EDA8" w14:textId="44BE8F7B" w:rsidR="00556883" w:rsidRPr="00E12BA7" w:rsidRDefault="00556883" w:rsidP="00556883">
      <w:pPr>
        <w:jc w:val="both"/>
        <w:rPr>
          <w:rFonts w:cs="Times New Roman"/>
          <w:noProof/>
        </w:rPr>
      </w:pPr>
      <w:r w:rsidRPr="00E12BA7">
        <w:rPr>
          <w:rFonts w:cs="Times New Roman"/>
          <w:noProof/>
        </w:rPr>
        <w:t>Option 2 will also create benefits for third countries</w:t>
      </w:r>
      <w:r>
        <w:rPr>
          <w:rFonts w:cs="Times New Roman"/>
          <w:noProof/>
        </w:rPr>
        <w:t>.</w:t>
      </w:r>
      <w:r w:rsidDel="00556883">
        <w:rPr>
          <w:rFonts w:cs="Times New Roman"/>
          <w:noProof/>
          <w:szCs w:val="24"/>
        </w:rPr>
        <w:t xml:space="preserve"> </w:t>
      </w:r>
      <w:r>
        <w:rPr>
          <w:rFonts w:cs="Times New Roman"/>
          <w:noProof/>
          <w:szCs w:val="24"/>
        </w:rPr>
        <w:t>A</w:t>
      </w:r>
      <w:r w:rsidR="001B7CFE">
        <w:rPr>
          <w:rFonts w:cs="Times New Roman"/>
          <w:noProof/>
          <w:szCs w:val="24"/>
        </w:rPr>
        <w:t>s mentioned above, t</w:t>
      </w:r>
      <w:r w:rsidR="009747AD" w:rsidRPr="007C1494">
        <w:rPr>
          <w:rFonts w:cs="Times New Roman"/>
          <w:noProof/>
          <w:szCs w:val="24"/>
        </w:rPr>
        <w:t xml:space="preserve">he benchmarking information on third countries could act as an incentive for producer countries to improve their environmental protection and </w:t>
      </w:r>
      <w:r w:rsidR="00417DDF">
        <w:rPr>
          <w:rFonts w:cs="Times New Roman"/>
          <w:noProof/>
          <w:szCs w:val="24"/>
        </w:rPr>
        <w:t>its enforcement thus</w:t>
      </w:r>
      <w:r w:rsidR="009747AD" w:rsidRPr="007C1494">
        <w:rPr>
          <w:rFonts w:cs="Times New Roman"/>
          <w:noProof/>
          <w:szCs w:val="24"/>
        </w:rPr>
        <w:t xml:space="preserve"> mak</w:t>
      </w:r>
      <w:r w:rsidR="00417DDF">
        <w:rPr>
          <w:rFonts w:cs="Times New Roman"/>
          <w:noProof/>
          <w:szCs w:val="24"/>
        </w:rPr>
        <w:t>ing</w:t>
      </w:r>
      <w:r w:rsidR="009747AD" w:rsidRPr="007C1494">
        <w:rPr>
          <w:rFonts w:cs="Times New Roman"/>
          <w:noProof/>
          <w:szCs w:val="24"/>
        </w:rPr>
        <w:t xml:space="preserve"> their supply chains more sustainable.  </w:t>
      </w:r>
      <w:r>
        <w:rPr>
          <w:rFonts w:cs="Times New Roman"/>
          <w:noProof/>
        </w:rPr>
        <w:t>This will be essential for the EU market but also increase their access to other sensitive markets</w:t>
      </w:r>
      <w:r w:rsidRPr="00E12BA7">
        <w:rPr>
          <w:rFonts w:cs="Times New Roman"/>
          <w:noProof/>
        </w:rPr>
        <w:t xml:space="preserve">. This is likely to be most effective if coupled with technical and financial assistance, including measures identified in the 2019 Communication, to work in partnership with producer countries to reduce pressures on forests. </w:t>
      </w:r>
      <w:r>
        <w:rPr>
          <w:rFonts w:cs="Times New Roman"/>
          <w:noProof/>
        </w:rPr>
        <w:t xml:space="preserve"> </w:t>
      </w:r>
    </w:p>
    <w:p w14:paraId="6E383C93" w14:textId="4C85184C" w:rsidR="009747AD" w:rsidRPr="00556883" w:rsidRDefault="00556883" w:rsidP="005177B4">
      <w:pPr>
        <w:jc w:val="both"/>
        <w:rPr>
          <w:rFonts w:cs="Times New Roman"/>
          <w:noProof/>
          <w:szCs w:val="24"/>
        </w:rPr>
      </w:pPr>
      <w:r w:rsidRPr="00BF5002">
        <w:rPr>
          <w:rFonts w:cs="Times New Roman"/>
          <w:noProof/>
          <w:szCs w:val="24"/>
        </w:rPr>
        <w:t>Countries specifically identified as ‘low-risk’ may benefit from higher EU demand than in Option 1, potentially increasing their exports to the EU. The categorisation of ‘low-risk’ could also act as a positive signal to other sensitive markets, encouraging sourcing from such countries.</w:t>
      </w:r>
      <w:r w:rsidRPr="00E12BA7">
        <w:rPr>
          <w:rFonts w:cs="Times New Roman"/>
          <w:noProof/>
          <w:szCs w:val="24"/>
        </w:rPr>
        <w:t xml:space="preserve"> Option 2 would have lower administrative costs to ‘low</w:t>
      </w:r>
      <w:r>
        <w:rPr>
          <w:rFonts w:cs="Times New Roman"/>
          <w:noProof/>
          <w:szCs w:val="24"/>
        </w:rPr>
        <w:t xml:space="preserve"> </w:t>
      </w:r>
      <w:r w:rsidRPr="00E12BA7">
        <w:rPr>
          <w:rFonts w:cs="Times New Roman"/>
          <w:noProof/>
          <w:szCs w:val="24"/>
        </w:rPr>
        <w:t>risk’ countries than Option 1, due to the simplified due diligence obligations of EU operators. These benefits to ‘low-risk’ countries would vary by commodity, with greater possibility of sourcing commodities like beef, soy and wood from ‘low-risk’ countries</w:t>
      </w:r>
      <w:r>
        <w:rPr>
          <w:rFonts w:cs="Times New Roman"/>
          <w:noProof/>
          <w:szCs w:val="24"/>
        </w:rPr>
        <w:t xml:space="preserve">. </w:t>
      </w:r>
    </w:p>
    <w:p w14:paraId="51C110AB" w14:textId="6DA9DE82" w:rsidR="00AB40C4" w:rsidRPr="007C1494" w:rsidRDefault="00AB40C4" w:rsidP="30CC34C4">
      <w:pPr>
        <w:jc w:val="both"/>
        <w:rPr>
          <w:rFonts w:cs="Times New Roman"/>
          <w:b/>
          <w:noProof/>
          <w:szCs w:val="24"/>
        </w:rPr>
      </w:pPr>
      <w:r w:rsidRPr="007C1494">
        <w:rPr>
          <w:rFonts w:cs="Times New Roman"/>
          <w:b/>
          <w:noProof/>
          <w:szCs w:val="24"/>
        </w:rPr>
        <w:t>Costs</w:t>
      </w:r>
    </w:p>
    <w:p w14:paraId="4986E8AF" w14:textId="1B671A67" w:rsidR="00D602C9" w:rsidRPr="007C1494" w:rsidRDefault="005177B4" w:rsidP="007318FB">
      <w:pPr>
        <w:jc w:val="both"/>
        <w:rPr>
          <w:rFonts w:cs="Times New Roman"/>
          <w:noProof/>
          <w:szCs w:val="24"/>
        </w:rPr>
      </w:pPr>
      <w:r w:rsidRPr="007C1494">
        <w:rPr>
          <w:rFonts w:cs="Times New Roman"/>
          <w:noProof/>
          <w:szCs w:val="24"/>
        </w:rPr>
        <w:t xml:space="preserve">Benchmarking </w:t>
      </w:r>
      <w:r w:rsidR="00542FD4">
        <w:rPr>
          <w:rFonts w:cs="Times New Roman"/>
          <w:noProof/>
          <w:szCs w:val="24"/>
        </w:rPr>
        <w:t xml:space="preserve">is </w:t>
      </w:r>
      <w:r w:rsidR="00F913B6">
        <w:rPr>
          <w:rFonts w:cs="Times New Roman"/>
          <w:noProof/>
          <w:szCs w:val="24"/>
        </w:rPr>
        <w:t xml:space="preserve">expected to lower the </w:t>
      </w:r>
      <w:r w:rsidRPr="007C1494">
        <w:rPr>
          <w:rFonts w:cs="Times New Roman"/>
          <w:noProof/>
          <w:szCs w:val="24"/>
        </w:rPr>
        <w:t>operation</w:t>
      </w:r>
      <w:r w:rsidR="00A4692E" w:rsidRPr="007C1494">
        <w:rPr>
          <w:rFonts w:cs="Times New Roman"/>
          <w:noProof/>
          <w:szCs w:val="24"/>
        </w:rPr>
        <w:t>al</w:t>
      </w:r>
      <w:r w:rsidRPr="007C1494">
        <w:rPr>
          <w:rFonts w:cs="Times New Roman"/>
          <w:noProof/>
          <w:szCs w:val="24"/>
        </w:rPr>
        <w:t xml:space="preserve"> costs for </w:t>
      </w:r>
      <w:r w:rsidR="00556883">
        <w:rPr>
          <w:rFonts w:cs="Times New Roman"/>
          <w:noProof/>
          <w:szCs w:val="24"/>
        </w:rPr>
        <w:t xml:space="preserve">EU </w:t>
      </w:r>
      <w:r w:rsidRPr="007C1494">
        <w:rPr>
          <w:rFonts w:cs="Times New Roman"/>
          <w:noProof/>
          <w:szCs w:val="24"/>
        </w:rPr>
        <w:t>businesses</w:t>
      </w:r>
      <w:r w:rsidR="00F913B6">
        <w:rPr>
          <w:rFonts w:cs="Times New Roman"/>
          <w:noProof/>
          <w:szCs w:val="24"/>
        </w:rPr>
        <w:t xml:space="preserve"> </w:t>
      </w:r>
      <w:r w:rsidR="007F05E8">
        <w:rPr>
          <w:rFonts w:cs="Times New Roman"/>
          <w:noProof/>
          <w:szCs w:val="24"/>
        </w:rPr>
        <w:t xml:space="preserve">as compared </w:t>
      </w:r>
      <w:r w:rsidR="00F913B6">
        <w:rPr>
          <w:rFonts w:cs="Times New Roman"/>
          <w:noProof/>
          <w:szCs w:val="24"/>
        </w:rPr>
        <w:t>to option 1</w:t>
      </w:r>
      <w:r w:rsidRPr="007C1494">
        <w:rPr>
          <w:rFonts w:cs="Times New Roman"/>
          <w:noProof/>
          <w:szCs w:val="24"/>
        </w:rPr>
        <w:t xml:space="preserve">. </w:t>
      </w:r>
      <w:r w:rsidR="00C830BB">
        <w:rPr>
          <w:rFonts w:cs="Times New Roman"/>
          <w:noProof/>
          <w:szCs w:val="24"/>
        </w:rPr>
        <w:t xml:space="preserve">The simplified due diligence obligations for low risk countries are expected to </w:t>
      </w:r>
      <w:r w:rsidR="00C830BB" w:rsidRPr="007C1494">
        <w:rPr>
          <w:rFonts w:cs="Times New Roman"/>
          <w:noProof/>
          <w:szCs w:val="24"/>
        </w:rPr>
        <w:t>lower the costs</w:t>
      </w:r>
      <w:r w:rsidR="00C830BB">
        <w:rPr>
          <w:rFonts w:cs="Times New Roman"/>
          <w:noProof/>
          <w:szCs w:val="24"/>
        </w:rPr>
        <w:t xml:space="preserve"> of </w:t>
      </w:r>
      <w:r w:rsidR="005D5415">
        <w:rPr>
          <w:rFonts w:cs="Times New Roman"/>
          <w:noProof/>
          <w:szCs w:val="24"/>
        </w:rPr>
        <w:t>conducting due diligence per se</w:t>
      </w:r>
      <w:r w:rsidR="004A0291">
        <w:rPr>
          <w:rFonts w:cs="Times New Roman"/>
          <w:noProof/>
          <w:szCs w:val="24"/>
        </w:rPr>
        <w:t>. T</w:t>
      </w:r>
      <w:r w:rsidR="005D5415">
        <w:rPr>
          <w:rFonts w:cs="Times New Roman"/>
          <w:noProof/>
          <w:szCs w:val="24"/>
        </w:rPr>
        <w:t xml:space="preserve">he list of low risk countries could help guide operators to </w:t>
      </w:r>
      <w:r w:rsidR="004A0291">
        <w:rPr>
          <w:rFonts w:cs="Times New Roman"/>
          <w:noProof/>
          <w:szCs w:val="24"/>
        </w:rPr>
        <w:t>deforestation-free supply chains, therefore reducing the costs of finding those reliable and safe suppliers</w:t>
      </w:r>
      <w:r w:rsidR="00C830BB">
        <w:rPr>
          <w:rFonts w:cs="Times New Roman"/>
          <w:noProof/>
          <w:szCs w:val="24"/>
        </w:rPr>
        <w:t xml:space="preserve">. </w:t>
      </w:r>
      <w:r w:rsidR="007318FB" w:rsidRPr="007C1494">
        <w:rPr>
          <w:rFonts w:cs="Times New Roman"/>
          <w:noProof/>
          <w:szCs w:val="24"/>
        </w:rPr>
        <w:t xml:space="preserve">Option 2 </w:t>
      </w:r>
      <w:r w:rsidR="00D602C9" w:rsidRPr="007C1494">
        <w:rPr>
          <w:rFonts w:cs="Times New Roman"/>
          <w:noProof/>
          <w:szCs w:val="24"/>
        </w:rPr>
        <w:t xml:space="preserve">is </w:t>
      </w:r>
      <w:r w:rsidR="00C830BB">
        <w:rPr>
          <w:rFonts w:cs="Times New Roman"/>
          <w:noProof/>
          <w:szCs w:val="24"/>
        </w:rPr>
        <w:t xml:space="preserve">also </w:t>
      </w:r>
      <w:r w:rsidR="00D602C9" w:rsidRPr="007C1494">
        <w:rPr>
          <w:rFonts w:cs="Times New Roman"/>
          <w:noProof/>
          <w:szCs w:val="24"/>
        </w:rPr>
        <w:t xml:space="preserve">expected to create an incentive for operators placing products on the EU market to shift </w:t>
      </w:r>
      <w:r w:rsidR="00E1133F" w:rsidRPr="007C1494">
        <w:rPr>
          <w:rFonts w:cs="Times New Roman"/>
          <w:noProof/>
          <w:szCs w:val="24"/>
        </w:rPr>
        <w:t>their sourcing</w:t>
      </w:r>
      <w:r w:rsidR="00D602C9" w:rsidRPr="007C1494">
        <w:rPr>
          <w:rFonts w:cs="Times New Roman"/>
          <w:noProof/>
          <w:szCs w:val="24"/>
        </w:rPr>
        <w:t xml:space="preserve"> from ‘high-risk’ countries to ‘low-risk’ countries</w:t>
      </w:r>
      <w:r w:rsidR="00617807">
        <w:rPr>
          <w:rFonts w:cs="Times New Roman"/>
          <w:noProof/>
          <w:szCs w:val="24"/>
        </w:rPr>
        <w:t xml:space="preserve">. </w:t>
      </w:r>
    </w:p>
    <w:p w14:paraId="61510731" w14:textId="75848828" w:rsidR="004C6EDD" w:rsidRPr="007C1494" w:rsidRDefault="00D42A22" w:rsidP="30CC34C4">
      <w:pPr>
        <w:jc w:val="both"/>
        <w:rPr>
          <w:rFonts w:cs="Times New Roman"/>
          <w:noProof/>
          <w:szCs w:val="24"/>
        </w:rPr>
      </w:pPr>
      <w:r w:rsidRPr="007C1494">
        <w:rPr>
          <w:rFonts w:cs="Times New Roman"/>
          <w:noProof/>
          <w:szCs w:val="24"/>
        </w:rPr>
        <w:t xml:space="preserve">The costs for the DD under this option were established on the following basis: </w:t>
      </w:r>
      <w:r w:rsidR="00556883">
        <w:rPr>
          <w:rFonts w:cs="Times New Roman"/>
          <w:noProof/>
          <w:szCs w:val="24"/>
        </w:rPr>
        <w:t>t</w:t>
      </w:r>
      <w:r w:rsidRPr="007C1494">
        <w:rPr>
          <w:rFonts w:cs="Times New Roman"/>
          <w:noProof/>
          <w:szCs w:val="24"/>
        </w:rPr>
        <w:t xml:space="preserve">he </w:t>
      </w:r>
      <w:r w:rsidRPr="00E6787F">
        <w:rPr>
          <w:rFonts w:cs="Times New Roman"/>
          <w:noProof/>
          <w:szCs w:val="24"/>
        </w:rPr>
        <w:t>‘</w:t>
      </w:r>
      <w:r w:rsidR="004B22A7" w:rsidRPr="00E6787F">
        <w:rPr>
          <w:rFonts w:cs="Times New Roman"/>
          <w:noProof/>
          <w:szCs w:val="24"/>
        </w:rPr>
        <w:t xml:space="preserve">standard’ </w:t>
      </w:r>
      <w:r w:rsidRPr="00E6787F" w:rsidDel="00471E73">
        <w:rPr>
          <w:rFonts w:cs="Times New Roman"/>
          <w:noProof/>
          <w:szCs w:val="24"/>
        </w:rPr>
        <w:t>due diligence</w:t>
      </w:r>
      <w:r w:rsidRPr="00E6787F">
        <w:rPr>
          <w:rFonts w:cs="Times New Roman"/>
          <w:noProof/>
          <w:szCs w:val="24"/>
        </w:rPr>
        <w:t xml:space="preserve"> is expected</w:t>
      </w:r>
      <w:r w:rsidRPr="007C1494">
        <w:rPr>
          <w:rFonts w:cs="Times New Roman"/>
          <w:noProof/>
          <w:szCs w:val="24"/>
        </w:rPr>
        <w:t xml:space="preserve"> </w:t>
      </w:r>
      <w:r w:rsidR="00617807">
        <w:rPr>
          <w:rFonts w:cs="Times New Roman"/>
          <w:noProof/>
          <w:szCs w:val="24"/>
        </w:rPr>
        <w:t xml:space="preserve">to produce the same costs for operators as </w:t>
      </w:r>
      <w:r w:rsidRPr="007C1494">
        <w:rPr>
          <w:rFonts w:cs="Times New Roman"/>
          <w:noProof/>
          <w:szCs w:val="24"/>
        </w:rPr>
        <w:t xml:space="preserve">under </w:t>
      </w:r>
      <w:r w:rsidR="00556883">
        <w:rPr>
          <w:rFonts w:cs="Times New Roman"/>
          <w:noProof/>
          <w:szCs w:val="24"/>
        </w:rPr>
        <w:t>o</w:t>
      </w:r>
      <w:r w:rsidRPr="007C1494">
        <w:rPr>
          <w:rFonts w:cs="Times New Roman"/>
          <w:noProof/>
          <w:szCs w:val="24"/>
        </w:rPr>
        <w:t>ption 1</w:t>
      </w:r>
      <w:r w:rsidR="00617807">
        <w:rPr>
          <w:rFonts w:cs="Times New Roman"/>
          <w:noProof/>
          <w:szCs w:val="24"/>
        </w:rPr>
        <w:t>;</w:t>
      </w:r>
      <w:r w:rsidRPr="007C1494">
        <w:rPr>
          <w:rFonts w:cs="Times New Roman"/>
          <w:noProof/>
          <w:szCs w:val="24"/>
        </w:rPr>
        <w:t xml:space="preserve"> the ‘simplified’ (‘low-risk’) </w:t>
      </w:r>
      <w:r w:rsidRPr="007C1494" w:rsidDel="00471E73">
        <w:rPr>
          <w:rFonts w:cs="Times New Roman"/>
          <w:noProof/>
          <w:szCs w:val="24"/>
        </w:rPr>
        <w:t>due diligence</w:t>
      </w:r>
      <w:r w:rsidRPr="007C1494">
        <w:rPr>
          <w:rFonts w:cs="Times New Roman"/>
          <w:noProof/>
          <w:szCs w:val="24"/>
        </w:rPr>
        <w:t xml:space="preserve"> </w:t>
      </w:r>
      <w:r w:rsidR="00E1133F" w:rsidRPr="007C1494">
        <w:rPr>
          <w:rFonts w:cs="Times New Roman"/>
          <w:noProof/>
          <w:szCs w:val="24"/>
        </w:rPr>
        <w:t xml:space="preserve">will arguably lead to </w:t>
      </w:r>
      <w:r w:rsidRPr="007C1494">
        <w:rPr>
          <w:rFonts w:cs="Times New Roman"/>
          <w:noProof/>
          <w:szCs w:val="24"/>
        </w:rPr>
        <w:t>l</w:t>
      </w:r>
      <w:r w:rsidR="00E1133F" w:rsidRPr="007C1494">
        <w:rPr>
          <w:rFonts w:cs="Times New Roman"/>
          <w:noProof/>
          <w:szCs w:val="24"/>
        </w:rPr>
        <w:t>ower</w:t>
      </w:r>
      <w:r w:rsidRPr="007C1494">
        <w:rPr>
          <w:rFonts w:cs="Times New Roman"/>
          <w:noProof/>
          <w:szCs w:val="24"/>
        </w:rPr>
        <w:t xml:space="preserve"> costs for the operators.</w:t>
      </w:r>
      <w:r w:rsidR="00DF4B69" w:rsidRPr="007C1494">
        <w:rPr>
          <w:rFonts w:cs="Times New Roman"/>
          <w:noProof/>
          <w:szCs w:val="24"/>
        </w:rPr>
        <w:t xml:space="preserve"> </w:t>
      </w:r>
      <w:r w:rsidR="004C6EDD" w:rsidRPr="007C1494">
        <w:rPr>
          <w:rFonts w:cs="Times New Roman"/>
          <w:noProof/>
          <w:szCs w:val="24"/>
        </w:rPr>
        <w:t>This approach would be particularly beneficial for SME operators and traders as they would benefit from lower costs of the simplified DDS by placing products derived from low-risk supply chains (commodity/country of origin)</w:t>
      </w:r>
      <w:r w:rsidR="00F15DC6" w:rsidRPr="007C1494">
        <w:rPr>
          <w:rFonts w:cs="Times New Roman"/>
          <w:noProof/>
          <w:szCs w:val="24"/>
        </w:rPr>
        <w:t xml:space="preserve"> on the market</w:t>
      </w:r>
      <w:r w:rsidR="004C6EDD" w:rsidRPr="007C1494">
        <w:rPr>
          <w:rFonts w:cs="Times New Roman"/>
          <w:noProof/>
          <w:szCs w:val="24"/>
        </w:rPr>
        <w:t>.</w:t>
      </w:r>
    </w:p>
    <w:p w14:paraId="57B72CC9" w14:textId="218E7721" w:rsidR="00DA7DC0" w:rsidRPr="007C1494" w:rsidRDefault="00D42A22" w:rsidP="30CC34C4">
      <w:pPr>
        <w:jc w:val="both"/>
        <w:rPr>
          <w:rFonts w:cs="Times New Roman"/>
          <w:noProof/>
          <w:szCs w:val="24"/>
        </w:rPr>
      </w:pPr>
      <w:r w:rsidRPr="007C1494">
        <w:rPr>
          <w:rFonts w:cs="Times New Roman"/>
          <w:noProof/>
          <w:szCs w:val="24"/>
        </w:rPr>
        <w:t>The analysis calculated the simplified DDS costs as a 50% reduction compared to</w:t>
      </w:r>
      <w:r w:rsidR="00915BDF" w:rsidRPr="007C1494">
        <w:rPr>
          <w:rFonts w:cs="Times New Roman"/>
          <w:noProof/>
          <w:szCs w:val="24"/>
        </w:rPr>
        <w:t xml:space="preserve"> DDS under</w:t>
      </w:r>
      <w:r w:rsidRPr="007C1494">
        <w:rPr>
          <w:rFonts w:cs="Times New Roman"/>
          <w:noProof/>
          <w:szCs w:val="24"/>
        </w:rPr>
        <w:t xml:space="preserve"> </w:t>
      </w:r>
      <w:r w:rsidR="00556883">
        <w:rPr>
          <w:rFonts w:cs="Times New Roman"/>
          <w:noProof/>
          <w:szCs w:val="24"/>
        </w:rPr>
        <w:t>o</w:t>
      </w:r>
      <w:r w:rsidRPr="007C1494">
        <w:rPr>
          <w:rFonts w:cs="Times New Roman"/>
          <w:noProof/>
          <w:szCs w:val="24"/>
        </w:rPr>
        <w:t>ption 1.</w:t>
      </w:r>
      <w:r w:rsidR="00EA17E9" w:rsidRPr="007C1494">
        <w:rPr>
          <w:rFonts w:cs="Times New Roman"/>
          <w:noProof/>
          <w:szCs w:val="24"/>
        </w:rPr>
        <w:t xml:space="preserve"> </w:t>
      </w:r>
      <w:r w:rsidR="00F913B6">
        <w:rPr>
          <w:rFonts w:cs="Times New Roman"/>
          <w:noProof/>
          <w:szCs w:val="24"/>
        </w:rPr>
        <w:t xml:space="preserve">This is based on expert judgment derived from the implementation of EUTR, where risk assessment and mitigation is more costly and difficult for high risk areas. </w:t>
      </w:r>
      <w:r w:rsidR="00EA17E9" w:rsidRPr="007C1494">
        <w:rPr>
          <w:rFonts w:cs="Times New Roman"/>
          <w:noProof/>
          <w:szCs w:val="24"/>
        </w:rPr>
        <w:t xml:space="preserve">It is estimated that </w:t>
      </w:r>
      <w:r w:rsidR="00344342" w:rsidRPr="007C1494">
        <w:rPr>
          <w:rFonts w:cs="Times New Roman"/>
          <w:noProof/>
          <w:szCs w:val="24"/>
        </w:rPr>
        <w:t>20%</w:t>
      </w:r>
      <w:r w:rsidR="00EA17E9" w:rsidRPr="007C1494">
        <w:rPr>
          <w:rFonts w:cs="Times New Roman"/>
          <w:noProof/>
          <w:szCs w:val="24"/>
        </w:rPr>
        <w:t xml:space="preserve"> of the operators will be </w:t>
      </w:r>
      <w:r w:rsidR="00891F2E" w:rsidRPr="007C1494">
        <w:rPr>
          <w:rFonts w:cs="Times New Roman"/>
          <w:noProof/>
          <w:szCs w:val="24"/>
        </w:rPr>
        <w:t>placing products on the market</w:t>
      </w:r>
      <w:r w:rsidR="00EA17E9" w:rsidRPr="007C1494">
        <w:rPr>
          <w:rFonts w:cs="Times New Roman"/>
          <w:noProof/>
          <w:szCs w:val="24"/>
        </w:rPr>
        <w:t xml:space="preserve"> under ‘simplified’ </w:t>
      </w:r>
      <w:r w:rsidR="00EA17E9" w:rsidRPr="007C1494" w:rsidDel="00471E73">
        <w:rPr>
          <w:rFonts w:cs="Times New Roman"/>
          <w:noProof/>
          <w:szCs w:val="24"/>
        </w:rPr>
        <w:t>due diligence</w:t>
      </w:r>
      <w:r w:rsidR="00EA17E9" w:rsidRPr="007C1494">
        <w:rPr>
          <w:rFonts w:cs="Times New Roman"/>
          <w:noProof/>
          <w:szCs w:val="24"/>
        </w:rPr>
        <w:t xml:space="preserve"> and therefore would be incurring 50% of the costs as compared to Option 1.</w:t>
      </w:r>
      <w:r w:rsidRPr="007C1494">
        <w:rPr>
          <w:rFonts w:cs="Times New Roman"/>
          <w:noProof/>
          <w:szCs w:val="24"/>
        </w:rPr>
        <w:t xml:space="preserve"> </w:t>
      </w:r>
      <w:r w:rsidR="00344342" w:rsidRPr="007C1494">
        <w:rPr>
          <w:rFonts w:cs="Times New Roman"/>
          <w:noProof/>
          <w:szCs w:val="24"/>
        </w:rPr>
        <w:t xml:space="preserve">This results in an estimated cost of </w:t>
      </w:r>
      <w:r w:rsidR="00344342" w:rsidRPr="007C1494" w:rsidDel="00471E73">
        <w:rPr>
          <w:rFonts w:cs="Times New Roman"/>
          <w:noProof/>
          <w:szCs w:val="24"/>
        </w:rPr>
        <w:t>due diligence</w:t>
      </w:r>
      <w:r w:rsidR="00344342" w:rsidRPr="007C1494">
        <w:rPr>
          <w:rFonts w:cs="Times New Roman"/>
          <w:noProof/>
          <w:szCs w:val="24"/>
        </w:rPr>
        <w:t xml:space="preserve"> under </w:t>
      </w:r>
      <w:r w:rsidR="00556883">
        <w:rPr>
          <w:rFonts w:cs="Times New Roman"/>
          <w:noProof/>
          <w:szCs w:val="24"/>
        </w:rPr>
        <w:t>o</w:t>
      </w:r>
      <w:r w:rsidR="00344342" w:rsidRPr="007C1494">
        <w:rPr>
          <w:rFonts w:cs="Times New Roman"/>
          <w:noProof/>
          <w:szCs w:val="24"/>
        </w:rPr>
        <w:t xml:space="preserve">ption 2 </w:t>
      </w:r>
      <w:r w:rsidR="00556883">
        <w:rPr>
          <w:rFonts w:cs="Times New Roman"/>
          <w:noProof/>
          <w:szCs w:val="24"/>
        </w:rPr>
        <w:t>ranging from €</w:t>
      </w:r>
      <w:r w:rsidR="00D223BB">
        <w:rPr>
          <w:rFonts w:cs="Times New Roman"/>
          <w:noProof/>
          <w:szCs w:val="24"/>
        </w:rPr>
        <w:t>158</w:t>
      </w:r>
      <w:r w:rsidR="00D223BB" w:rsidRPr="007C1494">
        <w:rPr>
          <w:rFonts w:cs="Times New Roman"/>
          <w:noProof/>
          <w:szCs w:val="24"/>
        </w:rPr>
        <w:t xml:space="preserve"> </w:t>
      </w:r>
      <w:r w:rsidR="00556883">
        <w:rPr>
          <w:rFonts w:cs="Times New Roman"/>
          <w:noProof/>
          <w:szCs w:val="24"/>
        </w:rPr>
        <w:t xml:space="preserve">million </w:t>
      </w:r>
      <w:r w:rsidR="00344342" w:rsidRPr="007C1494">
        <w:rPr>
          <w:rFonts w:cs="Times New Roman"/>
          <w:noProof/>
          <w:szCs w:val="24"/>
        </w:rPr>
        <w:t xml:space="preserve">to </w:t>
      </w:r>
      <w:r w:rsidR="00C5035B">
        <w:rPr>
          <w:rFonts w:cs="Times New Roman"/>
          <w:noProof/>
          <w:szCs w:val="24"/>
        </w:rPr>
        <w:t>2,354</w:t>
      </w:r>
      <w:r w:rsidR="00D223BB" w:rsidRPr="007C1494">
        <w:rPr>
          <w:rFonts w:cs="Times New Roman"/>
          <w:noProof/>
          <w:szCs w:val="24"/>
        </w:rPr>
        <w:t xml:space="preserve"> </w:t>
      </w:r>
      <w:r w:rsidR="00344342" w:rsidRPr="007C1494">
        <w:rPr>
          <w:rFonts w:cs="Times New Roman"/>
          <w:noProof/>
          <w:szCs w:val="24"/>
        </w:rPr>
        <w:t>million</w:t>
      </w:r>
      <w:r w:rsidR="00D91F98" w:rsidRPr="007C1494">
        <w:rPr>
          <w:rFonts w:cs="Times New Roman"/>
          <w:noProof/>
          <w:szCs w:val="24"/>
        </w:rPr>
        <w:t xml:space="preserve"> per year</w:t>
      </w:r>
      <w:r w:rsidR="00344342" w:rsidRPr="007C1494">
        <w:rPr>
          <w:rFonts w:cs="Times New Roman"/>
          <w:noProof/>
          <w:szCs w:val="24"/>
        </w:rPr>
        <w:t xml:space="preserve">. </w:t>
      </w:r>
      <w:r w:rsidR="00DA7DC0" w:rsidRPr="007C1494">
        <w:rPr>
          <w:rFonts w:cs="Times New Roman"/>
          <w:noProof/>
          <w:szCs w:val="24"/>
        </w:rPr>
        <w:t>This is based on a conservative estimate of 20% imports coming from lower risk countries. Currently 26% of the imports for the 6 commodities come from countries with lower risk according to ILAT score</w:t>
      </w:r>
      <w:r w:rsidR="00846C5C" w:rsidRPr="007C1494">
        <w:rPr>
          <w:rStyle w:val="FootnoteReference"/>
          <w:rFonts w:cs="Times New Roman"/>
          <w:noProof/>
          <w:szCs w:val="24"/>
        </w:rPr>
        <w:footnoteReference w:id="203"/>
      </w:r>
      <w:r w:rsidR="00DA7DC0" w:rsidRPr="007C1494">
        <w:rPr>
          <w:rFonts w:cs="Times New Roman"/>
          <w:noProof/>
          <w:szCs w:val="24"/>
        </w:rPr>
        <w:t>. Given that this score is based on legality only a conservative round up to 20% has been used.</w:t>
      </w:r>
    </w:p>
    <w:p w14:paraId="25759964" w14:textId="63EDD84F" w:rsidR="00846C5C" w:rsidRPr="00E55DCA" w:rsidRDefault="00846C5C" w:rsidP="00362EF8">
      <w:pPr>
        <w:keepNext/>
        <w:keepLines/>
        <w:tabs>
          <w:tab w:val="left" w:pos="1134"/>
        </w:tabs>
        <w:spacing w:before="360" w:after="160" w:line="240" w:lineRule="auto"/>
        <w:outlineLvl w:val="3"/>
        <w:rPr>
          <w:rFonts w:cs="Times New Roman"/>
          <w:noProof/>
          <w:sz w:val="22"/>
          <w:szCs w:val="24"/>
        </w:rPr>
      </w:pPr>
      <w:r w:rsidRPr="00362EF8">
        <w:rPr>
          <w:rFonts w:eastAsia="Times New Roman" w:cs="Times New Roman"/>
          <w:noProof/>
          <w:sz w:val="18"/>
          <w:szCs w:val="24"/>
          <w:lang w:eastAsia="en-GB"/>
        </w:rPr>
        <w:t>Figure</w:t>
      </w:r>
      <w:r w:rsidR="00617807" w:rsidRPr="008569FF">
        <w:rPr>
          <w:rFonts w:eastAsia="Times New Roman" w:cs="Times New Roman"/>
          <w:noProof/>
          <w:sz w:val="18"/>
          <w:szCs w:val="24"/>
          <w:lang w:eastAsia="en-GB"/>
        </w:rPr>
        <w:t xml:space="preserve"> </w:t>
      </w:r>
      <w:r w:rsidR="006378E5">
        <w:rPr>
          <w:rFonts w:eastAsia="Times New Roman" w:cs="Times New Roman"/>
          <w:noProof/>
          <w:sz w:val="18"/>
          <w:szCs w:val="24"/>
          <w:lang w:eastAsia="en-GB"/>
        </w:rPr>
        <w:t>9</w:t>
      </w:r>
      <w:r w:rsidRPr="00706CD1">
        <w:rPr>
          <w:rFonts w:eastAsia="Times New Roman" w:cs="Times New Roman"/>
          <w:noProof/>
          <w:sz w:val="18"/>
          <w:szCs w:val="24"/>
          <w:lang w:eastAsia="en-GB"/>
        </w:rPr>
        <w:t xml:space="preserve"> </w:t>
      </w:r>
      <w:r w:rsidR="00617807" w:rsidRPr="008569FF">
        <w:rPr>
          <w:rFonts w:eastAsia="Times New Roman" w:cs="Times New Roman"/>
          <w:noProof/>
          <w:sz w:val="18"/>
          <w:szCs w:val="24"/>
          <w:lang w:eastAsia="en-GB"/>
        </w:rPr>
        <w:t>R</w:t>
      </w:r>
      <w:r w:rsidRPr="00706CD1">
        <w:rPr>
          <w:rFonts w:eastAsia="Times New Roman" w:cs="Times New Roman"/>
          <w:noProof/>
          <w:sz w:val="18"/>
          <w:szCs w:val="24"/>
          <w:lang w:eastAsia="en-GB"/>
        </w:rPr>
        <w:t>isk</w:t>
      </w:r>
      <w:r w:rsidRPr="00362EF8">
        <w:rPr>
          <w:rFonts w:eastAsia="Times New Roman" w:cs="Times New Roman"/>
          <w:noProof/>
          <w:sz w:val="18"/>
          <w:szCs w:val="24"/>
          <w:lang w:eastAsia="en-GB"/>
        </w:rPr>
        <w:t xml:space="preserve"> </w:t>
      </w:r>
      <w:r w:rsidR="00617807" w:rsidRPr="008569FF">
        <w:rPr>
          <w:rFonts w:eastAsia="Times New Roman" w:cs="Times New Roman"/>
          <w:noProof/>
          <w:sz w:val="18"/>
          <w:szCs w:val="24"/>
          <w:lang w:eastAsia="en-GB"/>
        </w:rPr>
        <w:t xml:space="preserve">categorization </w:t>
      </w:r>
      <w:r w:rsidRPr="00362EF8">
        <w:rPr>
          <w:rFonts w:eastAsia="Times New Roman" w:cs="Times New Roman"/>
          <w:noProof/>
          <w:sz w:val="18"/>
          <w:szCs w:val="24"/>
          <w:lang w:eastAsia="en-GB"/>
        </w:rPr>
        <w:t>of imported commodities based on the ILAT score 2020 of the country of origin. Based on quantities imported 2015-2019</w:t>
      </w:r>
      <w:r w:rsidRPr="00386C2D">
        <w:rPr>
          <w:rFonts w:eastAsia="Times New Roman" w:cs="Times New Roman"/>
          <w:noProof/>
          <w:szCs w:val="24"/>
          <w:lang w:eastAsia="en-GB"/>
        </w:rPr>
        <w:t>.</w:t>
      </w:r>
    </w:p>
    <w:p w14:paraId="78BFDF3E" w14:textId="04D38411" w:rsidR="00846C5C" w:rsidRPr="007C1494" w:rsidRDefault="00846C5C" w:rsidP="30CC34C4">
      <w:pPr>
        <w:jc w:val="both"/>
        <w:rPr>
          <w:rFonts w:cs="Times New Roman"/>
          <w:noProof/>
          <w:szCs w:val="24"/>
        </w:rPr>
      </w:pPr>
      <w:r w:rsidRPr="007C1494">
        <w:rPr>
          <w:noProof/>
          <w:lang w:eastAsia="en-GB"/>
        </w:rPr>
        <w:drawing>
          <wp:inline distT="0" distB="0" distL="0" distR="0" wp14:anchorId="417E3274" wp14:editId="6BA8CA5D">
            <wp:extent cx="5472430" cy="3304540"/>
            <wp:effectExtent l="0" t="0" r="13970" b="1016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559E7012" w14:textId="6A5B388A" w:rsidR="00023634" w:rsidRDefault="00690C0C" w:rsidP="30CC34C4">
      <w:pPr>
        <w:jc w:val="both"/>
        <w:rPr>
          <w:rFonts w:cs="Times New Roman"/>
          <w:noProof/>
          <w:szCs w:val="24"/>
        </w:rPr>
      </w:pPr>
      <w:r w:rsidRPr="007C1494">
        <w:rPr>
          <w:rFonts w:cs="Times New Roman"/>
          <w:noProof/>
          <w:szCs w:val="24"/>
        </w:rPr>
        <w:t xml:space="preserve">As regards costs for public authorities, </w:t>
      </w:r>
      <w:r w:rsidR="00B937A5" w:rsidRPr="007C1494">
        <w:rPr>
          <w:rFonts w:cs="Times New Roman"/>
          <w:noProof/>
          <w:szCs w:val="24"/>
        </w:rPr>
        <w:t xml:space="preserve">significantly lower </w:t>
      </w:r>
      <w:r w:rsidRPr="007C1494">
        <w:rPr>
          <w:rFonts w:cs="Times New Roman"/>
          <w:noProof/>
          <w:szCs w:val="24"/>
        </w:rPr>
        <w:t xml:space="preserve">costs </w:t>
      </w:r>
      <w:r w:rsidR="00B937A5" w:rsidRPr="007C1494">
        <w:rPr>
          <w:rFonts w:cs="Times New Roman"/>
          <w:noProof/>
          <w:szCs w:val="24"/>
        </w:rPr>
        <w:t>than</w:t>
      </w:r>
      <w:r w:rsidRPr="007C1494">
        <w:rPr>
          <w:rFonts w:cs="Times New Roman"/>
          <w:noProof/>
          <w:szCs w:val="24"/>
        </w:rPr>
        <w:t xml:space="preserve"> under Option 1 are expected. </w:t>
      </w:r>
      <w:r w:rsidR="00B937A5" w:rsidRPr="007C1494">
        <w:rPr>
          <w:rFonts w:cs="Times New Roman"/>
          <w:noProof/>
          <w:szCs w:val="24"/>
        </w:rPr>
        <w:t>T</w:t>
      </w:r>
      <w:r w:rsidRPr="007C1494">
        <w:rPr>
          <w:rFonts w:cs="Times New Roman"/>
          <w:noProof/>
          <w:szCs w:val="24"/>
        </w:rPr>
        <w:t xml:space="preserve">he European Commission will be covering costs associated </w:t>
      </w:r>
      <w:r w:rsidR="006501D3" w:rsidRPr="007C1494">
        <w:rPr>
          <w:rFonts w:cs="Times New Roman"/>
          <w:noProof/>
          <w:szCs w:val="24"/>
        </w:rPr>
        <w:t xml:space="preserve">with </w:t>
      </w:r>
      <w:r w:rsidRPr="007C1494">
        <w:rPr>
          <w:rFonts w:cs="Times New Roman"/>
          <w:noProof/>
          <w:szCs w:val="24"/>
        </w:rPr>
        <w:t xml:space="preserve">setting up the benchmarking </w:t>
      </w:r>
      <w:r w:rsidR="00344342" w:rsidRPr="007C1494">
        <w:rPr>
          <w:rFonts w:cs="Times New Roman"/>
          <w:noProof/>
          <w:szCs w:val="24"/>
        </w:rPr>
        <w:t xml:space="preserve">system </w:t>
      </w:r>
      <w:r w:rsidRPr="007C1494">
        <w:rPr>
          <w:rFonts w:cs="Times New Roman"/>
          <w:noProof/>
          <w:szCs w:val="24"/>
        </w:rPr>
        <w:t xml:space="preserve">and </w:t>
      </w:r>
      <w:r w:rsidR="00B937A5" w:rsidRPr="007C1494">
        <w:rPr>
          <w:rFonts w:cs="Times New Roman"/>
          <w:noProof/>
          <w:szCs w:val="24"/>
        </w:rPr>
        <w:t xml:space="preserve">the </w:t>
      </w:r>
      <w:r w:rsidRPr="007C1494">
        <w:rPr>
          <w:rFonts w:cs="Times New Roman"/>
          <w:noProof/>
          <w:szCs w:val="24"/>
        </w:rPr>
        <w:t xml:space="preserve">processing </w:t>
      </w:r>
      <w:r w:rsidR="00B937A5" w:rsidRPr="007C1494">
        <w:rPr>
          <w:rFonts w:cs="Times New Roman"/>
          <w:noProof/>
          <w:szCs w:val="24"/>
        </w:rPr>
        <w:t xml:space="preserve">of the </w:t>
      </w:r>
      <w:r w:rsidRPr="007C1494">
        <w:rPr>
          <w:rFonts w:cs="Times New Roman"/>
          <w:noProof/>
          <w:szCs w:val="24"/>
        </w:rPr>
        <w:t xml:space="preserve">information received. The </w:t>
      </w:r>
      <w:r w:rsidR="00344342" w:rsidRPr="007C1494">
        <w:rPr>
          <w:rFonts w:cs="Times New Roman"/>
          <w:noProof/>
          <w:szCs w:val="24"/>
        </w:rPr>
        <w:t xml:space="preserve">system </w:t>
      </w:r>
      <w:r w:rsidRPr="007C1494">
        <w:rPr>
          <w:rFonts w:cs="Times New Roman"/>
          <w:noProof/>
          <w:szCs w:val="24"/>
        </w:rPr>
        <w:t xml:space="preserve">will need to be kept up to date to reflect the developments in producer countries. Costs for the establishment of the benchmarking </w:t>
      </w:r>
      <w:r w:rsidR="00344342" w:rsidRPr="007C1494">
        <w:rPr>
          <w:rFonts w:cs="Times New Roman"/>
          <w:noProof/>
          <w:szCs w:val="24"/>
        </w:rPr>
        <w:t xml:space="preserve">system </w:t>
      </w:r>
      <w:r w:rsidRPr="007C1494">
        <w:rPr>
          <w:rFonts w:cs="Times New Roman"/>
          <w:noProof/>
          <w:szCs w:val="24"/>
        </w:rPr>
        <w:t xml:space="preserve">are estimated for year 1 to amount to </w:t>
      </w:r>
      <w:r w:rsidR="00556883">
        <w:rPr>
          <w:rFonts w:cs="Times New Roman"/>
          <w:noProof/>
          <w:szCs w:val="24"/>
        </w:rPr>
        <w:t>€</w:t>
      </w:r>
      <w:r w:rsidRPr="007C1494">
        <w:rPr>
          <w:rFonts w:cs="Times New Roman"/>
          <w:noProof/>
          <w:szCs w:val="24"/>
        </w:rPr>
        <w:t xml:space="preserve">337,000 and thereafter </w:t>
      </w:r>
      <w:r w:rsidR="00556883">
        <w:rPr>
          <w:rFonts w:cs="Times New Roman"/>
          <w:noProof/>
          <w:szCs w:val="24"/>
        </w:rPr>
        <w:t>€</w:t>
      </w:r>
      <w:r w:rsidRPr="007C1494">
        <w:rPr>
          <w:rFonts w:cs="Times New Roman"/>
          <w:noProof/>
          <w:szCs w:val="24"/>
        </w:rPr>
        <w:t>168,000 per year for</w:t>
      </w:r>
      <w:r w:rsidR="007238E2" w:rsidRPr="007C1494">
        <w:rPr>
          <w:rFonts w:cs="Times New Roman"/>
          <w:noProof/>
          <w:szCs w:val="24"/>
        </w:rPr>
        <w:t xml:space="preserve"> its</w:t>
      </w:r>
      <w:r w:rsidRPr="007C1494">
        <w:rPr>
          <w:rFonts w:cs="Times New Roman"/>
          <w:noProof/>
          <w:szCs w:val="24"/>
        </w:rPr>
        <w:t xml:space="preserve"> </w:t>
      </w:r>
      <w:r w:rsidR="007238E2" w:rsidRPr="007C1494">
        <w:rPr>
          <w:rFonts w:cs="Times New Roman"/>
          <w:noProof/>
          <w:szCs w:val="24"/>
        </w:rPr>
        <w:t>maintenance</w:t>
      </w:r>
      <w:r w:rsidRPr="007C1494">
        <w:rPr>
          <w:rFonts w:cs="Times New Roman"/>
          <w:noProof/>
          <w:szCs w:val="24"/>
        </w:rPr>
        <w:t>.</w:t>
      </w:r>
      <w:r w:rsidR="00344342" w:rsidRPr="007C1494">
        <w:rPr>
          <w:rFonts w:cs="Times New Roman"/>
          <w:noProof/>
          <w:szCs w:val="24"/>
        </w:rPr>
        <w:t xml:space="preserve"> This is based on the assumption that the benchmarking </w:t>
      </w:r>
      <w:r w:rsidR="00C65E17" w:rsidRPr="007C1494">
        <w:rPr>
          <w:rFonts w:cs="Times New Roman"/>
          <w:noProof/>
          <w:szCs w:val="24"/>
        </w:rPr>
        <w:t>c</w:t>
      </w:r>
      <w:r w:rsidR="00344342" w:rsidRPr="007C1494">
        <w:rPr>
          <w:rFonts w:cs="Times New Roman"/>
          <w:noProof/>
          <w:szCs w:val="24"/>
        </w:rPr>
        <w:t xml:space="preserve">ould include </w:t>
      </w:r>
      <w:r w:rsidR="00C65E17" w:rsidRPr="007C1494">
        <w:rPr>
          <w:rFonts w:cs="Times New Roman"/>
          <w:noProof/>
          <w:szCs w:val="24"/>
        </w:rPr>
        <w:t xml:space="preserve">up to </w:t>
      </w:r>
      <w:r w:rsidR="00344342" w:rsidRPr="007C1494">
        <w:rPr>
          <w:rFonts w:cs="Times New Roman"/>
          <w:noProof/>
          <w:szCs w:val="24"/>
        </w:rPr>
        <w:t>134 countries</w:t>
      </w:r>
      <w:r w:rsidR="00C65E17" w:rsidRPr="007C1494">
        <w:rPr>
          <w:rFonts w:cs="Times New Roman"/>
          <w:noProof/>
          <w:szCs w:val="24"/>
        </w:rPr>
        <w:t xml:space="preserve"> based on a further analysis of trade flows, which would indicate the need to assess specific countries.</w:t>
      </w:r>
      <w:r w:rsidR="00275381" w:rsidRPr="007C1494">
        <w:rPr>
          <w:rFonts w:cs="Times New Roman"/>
          <w:noProof/>
          <w:szCs w:val="24"/>
        </w:rPr>
        <w:t xml:space="preserve"> </w:t>
      </w:r>
      <w:r w:rsidR="00C65E17" w:rsidRPr="007C1494">
        <w:rPr>
          <w:rFonts w:cs="Times New Roman"/>
          <w:noProof/>
          <w:szCs w:val="24"/>
        </w:rPr>
        <w:t>I</w:t>
      </w:r>
      <w:r w:rsidR="00344342" w:rsidRPr="007C1494">
        <w:rPr>
          <w:rFonts w:cs="Times New Roman"/>
          <w:noProof/>
          <w:szCs w:val="24"/>
        </w:rPr>
        <w:t xml:space="preserve">ts </w:t>
      </w:r>
      <w:r w:rsidR="00F57989" w:rsidRPr="007C1494">
        <w:rPr>
          <w:rFonts w:cs="Times New Roman"/>
          <w:noProof/>
          <w:szCs w:val="24"/>
        </w:rPr>
        <w:t>set up</w:t>
      </w:r>
      <w:r w:rsidR="00344342" w:rsidRPr="007C1494">
        <w:rPr>
          <w:rFonts w:cs="Times New Roman"/>
          <w:noProof/>
          <w:szCs w:val="24"/>
        </w:rPr>
        <w:t xml:space="preserve"> would entail a one-off cost of 20 working days per country and </w:t>
      </w:r>
      <w:r w:rsidR="00607F3B" w:rsidRPr="007C1494">
        <w:rPr>
          <w:rFonts w:cs="Times New Roman"/>
          <w:noProof/>
          <w:szCs w:val="24"/>
        </w:rPr>
        <w:t xml:space="preserve">then </w:t>
      </w:r>
      <w:r w:rsidR="00344342" w:rsidRPr="007C1494">
        <w:rPr>
          <w:rFonts w:cs="Times New Roman"/>
          <w:noProof/>
          <w:szCs w:val="24"/>
        </w:rPr>
        <w:t xml:space="preserve">10 working days per country </w:t>
      </w:r>
      <w:r w:rsidR="00607F3B" w:rsidRPr="007C1494">
        <w:rPr>
          <w:rFonts w:cs="Times New Roman"/>
          <w:noProof/>
          <w:szCs w:val="24"/>
        </w:rPr>
        <w:t xml:space="preserve">per </w:t>
      </w:r>
      <w:r w:rsidR="00344342" w:rsidRPr="007C1494">
        <w:rPr>
          <w:rFonts w:cs="Times New Roman"/>
          <w:noProof/>
          <w:szCs w:val="24"/>
        </w:rPr>
        <w:t xml:space="preserve">year to </w:t>
      </w:r>
      <w:r w:rsidR="00607F3B" w:rsidRPr="007C1494">
        <w:rPr>
          <w:rFonts w:cs="Times New Roman"/>
          <w:noProof/>
          <w:szCs w:val="24"/>
        </w:rPr>
        <w:t xml:space="preserve">keep </w:t>
      </w:r>
      <w:r w:rsidR="00344342" w:rsidRPr="007C1494">
        <w:rPr>
          <w:rFonts w:cs="Times New Roman"/>
          <w:noProof/>
          <w:szCs w:val="24"/>
        </w:rPr>
        <w:t>update</w:t>
      </w:r>
      <w:r w:rsidR="00607F3B" w:rsidRPr="007C1494">
        <w:rPr>
          <w:rFonts w:cs="Times New Roman"/>
          <w:noProof/>
          <w:szCs w:val="24"/>
        </w:rPr>
        <w:t>d</w:t>
      </w:r>
      <w:r w:rsidR="00344342" w:rsidRPr="007C1494">
        <w:rPr>
          <w:rFonts w:cs="Times New Roman"/>
          <w:noProof/>
          <w:szCs w:val="24"/>
        </w:rPr>
        <w:t xml:space="preserve"> the</w:t>
      </w:r>
      <w:r w:rsidR="00607F3B" w:rsidRPr="007C1494">
        <w:rPr>
          <w:rFonts w:cs="Times New Roman"/>
          <w:noProof/>
          <w:szCs w:val="24"/>
        </w:rPr>
        <w:t xml:space="preserve"> benchmarking results</w:t>
      </w:r>
      <w:r w:rsidR="00344342" w:rsidRPr="007C1494">
        <w:rPr>
          <w:rFonts w:cs="Times New Roman"/>
          <w:noProof/>
          <w:szCs w:val="24"/>
        </w:rPr>
        <w:t xml:space="preserve"> </w:t>
      </w:r>
      <w:r w:rsidR="00607F3B" w:rsidRPr="007C1494">
        <w:rPr>
          <w:rFonts w:cs="Times New Roman"/>
          <w:noProof/>
          <w:szCs w:val="24"/>
        </w:rPr>
        <w:t xml:space="preserve">(hourly salary of 15.71€/hour </w:t>
      </w:r>
      <w:r w:rsidR="00DA36C5" w:rsidRPr="007C1494">
        <w:rPr>
          <w:rFonts w:cs="Times New Roman"/>
          <w:noProof/>
          <w:szCs w:val="24"/>
        </w:rPr>
        <w:t xml:space="preserve">was used </w:t>
      </w:r>
      <w:r w:rsidR="00607F3B" w:rsidRPr="007C1494">
        <w:rPr>
          <w:rFonts w:cs="Times New Roman"/>
          <w:noProof/>
          <w:szCs w:val="24"/>
        </w:rPr>
        <w:t>based on Eurostat average labour costs for the public sector in EU).</w:t>
      </w:r>
    </w:p>
    <w:p w14:paraId="0F4D741E" w14:textId="383F5B4F" w:rsidR="009D4FEA" w:rsidRPr="00BF5002" w:rsidRDefault="009D4FEA" w:rsidP="30CC34C4">
      <w:pPr>
        <w:jc w:val="both"/>
        <w:rPr>
          <w:rFonts w:cs="Times New Roman"/>
          <w:noProof/>
          <w:szCs w:val="24"/>
        </w:rPr>
      </w:pPr>
      <w:r w:rsidRPr="009D4FEA">
        <w:rPr>
          <w:rFonts w:cs="Times New Roman"/>
          <w:noProof/>
          <w:szCs w:val="24"/>
        </w:rPr>
        <w:t xml:space="preserve">Given the anticipated greater effectiveness of </w:t>
      </w:r>
      <w:r>
        <w:rPr>
          <w:rFonts w:cs="Times New Roman"/>
          <w:noProof/>
          <w:szCs w:val="24"/>
        </w:rPr>
        <w:t>o</w:t>
      </w:r>
      <w:r w:rsidRPr="009D4FEA">
        <w:rPr>
          <w:rFonts w:cs="Times New Roman"/>
          <w:noProof/>
          <w:szCs w:val="24"/>
        </w:rPr>
        <w:t xml:space="preserve">ption 2 at ensuring EU sourcing is from deforestation-free supply chains, it is important to consider economic impacts on third countries from the benchmarking system, in addition to the impacts described under Option 1. By categorising producer countries as low, standard and high risk, this may increase the costs and/or benefits to those countries. In particular, the explicit labelling as ‘high risk’ of producer countries could lead to economic effects which are greater or take effect sooner, through EU operators switching suppliers and source countries (where available), or by requesting further information and verification from high risk producers. The benchmarking system may also act as a stronger signal to other sensitive markets, further reducing demand for products from ‘high-risk’ countries. Countries likely to be most affected will be those with a high proportion of exports to the EU (and other sensitive markets), high deforestation risk and where the shift to deforestation-free production and supply chain traceability may be lengthy and complex (see Annex 6 case studies including cocoa from West Africa and palm oil from Asia, both of which rely on smallholders in their production). As </w:t>
      </w:r>
      <w:r w:rsidRPr="00BF5002">
        <w:rPr>
          <w:rFonts w:cs="Times New Roman"/>
          <w:noProof/>
          <w:szCs w:val="24"/>
        </w:rPr>
        <w:t>indicated in Figure 7 above, for commodities such as cocoa and coffee, ILAT scores indicate that the majority of producer countries might be ‘high-risk’.</w:t>
      </w:r>
    </w:p>
    <w:p w14:paraId="719EBE7D" w14:textId="61F2832A" w:rsidR="009D4FEA" w:rsidRPr="007C1494" w:rsidRDefault="009D4FEA" w:rsidP="009D4FEA">
      <w:pPr>
        <w:jc w:val="both"/>
        <w:rPr>
          <w:rFonts w:cs="Times New Roman"/>
          <w:noProof/>
          <w:szCs w:val="24"/>
        </w:rPr>
      </w:pPr>
      <w:r w:rsidRPr="00BF5002">
        <w:rPr>
          <w:noProof/>
        </w:rPr>
        <w:t xml:space="preserve">Whilst a desired outcome of EU measures is the shift in public and private sector investment towards low risk supply chains, </w:t>
      </w:r>
      <w:r w:rsidR="000569A5" w:rsidRPr="00BF5002">
        <w:rPr>
          <w:noProof/>
        </w:rPr>
        <w:t xml:space="preserve">strengthening the benefits of the policy option in EU partner countries </w:t>
      </w:r>
      <w:r w:rsidRPr="00BF5002">
        <w:rPr>
          <w:noProof/>
        </w:rPr>
        <w:t>will require targeted financial and</w:t>
      </w:r>
      <w:r w:rsidRPr="00E4284C">
        <w:rPr>
          <w:noProof/>
        </w:rPr>
        <w:t xml:space="preserve"> technical assistance to support high risk countries and producers in the transition towards deforestation-free production practices</w:t>
      </w:r>
      <w:r w:rsidR="000569A5">
        <w:rPr>
          <w:noProof/>
        </w:rPr>
        <w:t xml:space="preserve">. This </w:t>
      </w:r>
      <w:r w:rsidRPr="00E104E1">
        <w:rPr>
          <w:rFonts w:cs="Times New Roman"/>
          <w:noProof/>
        </w:rPr>
        <w:t xml:space="preserve">measures </w:t>
      </w:r>
      <w:r w:rsidR="000569A5">
        <w:rPr>
          <w:rFonts w:cs="Times New Roman"/>
          <w:noProof/>
        </w:rPr>
        <w:t xml:space="preserve">were </w:t>
      </w:r>
      <w:r w:rsidRPr="00E104E1">
        <w:rPr>
          <w:rFonts w:cs="Times New Roman"/>
          <w:noProof/>
        </w:rPr>
        <w:t>identified in the 2019 Communication</w:t>
      </w:r>
      <w:r w:rsidR="000569A5">
        <w:rPr>
          <w:rFonts w:cs="Times New Roman"/>
          <w:noProof/>
        </w:rPr>
        <w:t xml:space="preserve"> and are being developed by Commission services</w:t>
      </w:r>
      <w:r w:rsidRPr="00E4284C">
        <w:rPr>
          <w:noProof/>
        </w:rPr>
        <w:t>.</w:t>
      </w:r>
      <w:r w:rsidRPr="005A2F7D">
        <w:rPr>
          <w:rFonts w:eastAsia="Times New Roman" w:cs="Times New Roman"/>
          <w:noProof/>
          <w:lang w:eastAsia="en-GB"/>
        </w:rPr>
        <w:t xml:space="preserve"> </w:t>
      </w:r>
      <w:r>
        <w:rPr>
          <w:noProof/>
        </w:rPr>
        <w:t>This will a</w:t>
      </w:r>
      <w:r w:rsidRPr="00E104E1">
        <w:rPr>
          <w:noProof/>
        </w:rPr>
        <w:t xml:space="preserve">lso to </w:t>
      </w:r>
      <w:r>
        <w:rPr>
          <w:noProof/>
        </w:rPr>
        <w:t xml:space="preserve">help to </w:t>
      </w:r>
      <w:r w:rsidRPr="00E104E1">
        <w:rPr>
          <w:noProof/>
        </w:rPr>
        <w:t xml:space="preserve">mitigate against supply shortages of deforestation-free products to the EU. </w:t>
      </w:r>
      <w:r w:rsidRPr="005A2F7D">
        <w:rPr>
          <w:rFonts w:eastAsia="Times New Roman" w:cs="Times New Roman"/>
          <w:noProof/>
          <w:lang w:eastAsia="en-GB"/>
        </w:rPr>
        <w:t>For example, some multinational companies have smallholder engagement programs (e.g. for cocoa in Côte d’Ivoire and Ghana, and palm oil in Indonesia and Malaysia</w:t>
      </w:r>
      <w:r w:rsidRPr="005A2F7D">
        <w:rPr>
          <w:rFonts w:eastAsia="Calibri" w:cs="Times New Roman"/>
          <w:noProof/>
          <w:vertAlign w:val="superscript"/>
        </w:rPr>
        <w:footnoteReference w:id="204"/>
      </w:r>
      <w:r w:rsidRPr="005A2F7D">
        <w:rPr>
          <w:rFonts w:eastAsia="Times New Roman" w:cs="Times New Roman"/>
          <w:noProof/>
          <w:lang w:eastAsia="en-GB"/>
        </w:rPr>
        <w:t>) to improve sustainability in their supply base.</w:t>
      </w:r>
      <w:r w:rsidRPr="005A2F7D">
        <w:rPr>
          <w:rFonts w:eastAsiaTheme="minorEastAsia" w:cs="Times New Roman"/>
          <w:noProof/>
          <w:lang w:eastAsia="en-GB"/>
        </w:rPr>
        <w:t xml:space="preserve"> </w:t>
      </w:r>
      <w:r w:rsidRPr="00E104E1">
        <w:rPr>
          <w:noProof/>
        </w:rPr>
        <w:t>The 2020 cut-off date (</w:t>
      </w:r>
      <w:r>
        <w:rPr>
          <w:noProof/>
        </w:rPr>
        <w:t xml:space="preserve">see </w:t>
      </w:r>
      <w:r w:rsidRPr="00E104E1">
        <w:rPr>
          <w:noProof/>
        </w:rPr>
        <w:t>section 4.5) will also be important in minimising immediate impacts and providing time for ‘high-risk’ countries to improve their production systems.</w:t>
      </w:r>
    </w:p>
    <w:p w14:paraId="6407401E" w14:textId="1F83C572" w:rsidR="00E57B43" w:rsidRPr="007C1494" w:rsidRDefault="00335526" w:rsidP="00335526">
      <w:pPr>
        <w:pStyle w:val="Heading2"/>
        <w:rPr>
          <w:noProof/>
        </w:rPr>
      </w:pPr>
      <w:bookmarkStart w:id="191" w:name="_Toc75542201"/>
      <w:bookmarkStart w:id="192" w:name="_Toc75543234"/>
      <w:bookmarkStart w:id="193" w:name="_Toc84591923"/>
      <w:r w:rsidRPr="00335526">
        <w:t>6.4</w:t>
      </w:r>
      <w:r w:rsidRPr="00335526">
        <w:tab/>
      </w:r>
      <w:r w:rsidR="00BF0AE4" w:rsidRPr="007C1494">
        <w:rPr>
          <w:noProof/>
        </w:rPr>
        <w:t xml:space="preserve">Policy </w:t>
      </w:r>
      <w:r w:rsidR="00E57B43" w:rsidRPr="007C1494">
        <w:rPr>
          <w:noProof/>
        </w:rPr>
        <w:t xml:space="preserve">Option </w:t>
      </w:r>
      <w:r w:rsidR="00C73308" w:rsidRPr="007C1494">
        <w:rPr>
          <w:noProof/>
        </w:rPr>
        <w:t>3</w:t>
      </w:r>
      <w:r w:rsidR="00E57B43" w:rsidRPr="007C1494">
        <w:rPr>
          <w:noProof/>
        </w:rPr>
        <w:t xml:space="preserve"> – </w:t>
      </w:r>
      <w:bookmarkEnd w:id="190"/>
      <w:r w:rsidR="000475BA" w:rsidRPr="007C1494">
        <w:rPr>
          <w:noProof/>
        </w:rPr>
        <w:t>Mandatory public certification combined with an improved due diligence requirement, relying on a deforestation free definition</w:t>
      </w:r>
      <w:bookmarkEnd w:id="191"/>
      <w:bookmarkEnd w:id="192"/>
      <w:bookmarkEnd w:id="193"/>
    </w:p>
    <w:p w14:paraId="0D5620FB" w14:textId="32BE3997" w:rsidR="00A605E3" w:rsidRPr="007C1494" w:rsidRDefault="00A605E3">
      <w:pPr>
        <w:jc w:val="both"/>
        <w:rPr>
          <w:rFonts w:eastAsiaTheme="minorEastAsia" w:cs="Times New Roman"/>
          <w:b/>
          <w:noProof/>
          <w:szCs w:val="24"/>
          <w:lang w:eastAsia="en-GB"/>
        </w:rPr>
      </w:pPr>
      <w:bookmarkStart w:id="194" w:name="_Toc67075006"/>
      <w:r w:rsidRPr="007C1494">
        <w:rPr>
          <w:rFonts w:eastAsiaTheme="minorEastAsia" w:cs="Times New Roman"/>
          <w:b/>
          <w:noProof/>
          <w:szCs w:val="24"/>
          <w:lang w:eastAsia="en-GB"/>
        </w:rPr>
        <w:t>Benefits</w:t>
      </w:r>
    </w:p>
    <w:p w14:paraId="73BF961E" w14:textId="21C28095" w:rsidR="00105C12" w:rsidRDefault="00105C12" w:rsidP="00C85B12">
      <w:pPr>
        <w:jc w:val="both"/>
        <w:rPr>
          <w:rFonts w:cs="Times New Roman"/>
          <w:noProof/>
          <w:szCs w:val="24"/>
        </w:rPr>
      </w:pPr>
      <w:r w:rsidRPr="007C1494">
        <w:rPr>
          <w:rFonts w:cs="Times New Roman"/>
          <w:noProof/>
          <w:szCs w:val="24"/>
        </w:rPr>
        <w:t xml:space="preserve">Option </w:t>
      </w:r>
      <w:r>
        <w:rPr>
          <w:rFonts w:cs="Times New Roman"/>
          <w:noProof/>
          <w:szCs w:val="24"/>
        </w:rPr>
        <w:t>3</w:t>
      </w:r>
      <w:r w:rsidRPr="007C1494">
        <w:rPr>
          <w:rFonts w:cs="Times New Roman"/>
          <w:noProof/>
          <w:szCs w:val="24"/>
        </w:rPr>
        <w:t xml:space="preserve"> </w:t>
      </w:r>
      <w:r>
        <w:rPr>
          <w:rFonts w:cs="Times New Roman"/>
          <w:noProof/>
          <w:szCs w:val="24"/>
        </w:rPr>
        <w:t>falls within the same range of expected benefits of option 1</w:t>
      </w:r>
      <w:r w:rsidR="00B45B9C">
        <w:rPr>
          <w:rFonts w:cs="Times New Roman"/>
          <w:noProof/>
          <w:szCs w:val="24"/>
        </w:rPr>
        <w:t xml:space="preserve">. </w:t>
      </w:r>
      <w:r>
        <w:rPr>
          <w:rFonts w:cs="Times New Roman"/>
          <w:noProof/>
          <w:szCs w:val="24"/>
        </w:rPr>
        <w:t xml:space="preserve">Therefore, option 3 is forecast to provide benefits at the middle end above the minimum described in section 6.1.1, that is at least 29% of deforestation driven by consumption and production of the six commodities included in the scope by 2030, and therefore a minimum of 71,920 hectares of forest less affected by EU-driven deforestation and forest degradation </w:t>
      </w:r>
      <w:r w:rsidRPr="007C1494">
        <w:rPr>
          <w:rFonts w:cs="Times New Roman"/>
          <w:noProof/>
          <w:szCs w:val="24"/>
        </w:rPr>
        <w:t>starting in 2030</w:t>
      </w:r>
      <w:r w:rsidRPr="007C1494">
        <w:rPr>
          <w:rStyle w:val="FootnoteReference"/>
          <w:noProof/>
        </w:rPr>
        <w:footnoteReference w:id="205"/>
      </w:r>
      <w:r w:rsidRPr="007C1494">
        <w:rPr>
          <w:rFonts w:cs="Times New Roman"/>
          <w:noProof/>
          <w:szCs w:val="24"/>
        </w:rPr>
        <w:t xml:space="preserve">. </w:t>
      </w:r>
      <w:r>
        <w:rPr>
          <w:rFonts w:cs="Times New Roman"/>
          <w:noProof/>
          <w:szCs w:val="24"/>
        </w:rPr>
        <w:t xml:space="preserve">This would also mean a minimum of </w:t>
      </w:r>
      <w:r w:rsidRPr="00C03274">
        <w:rPr>
          <w:rFonts w:cs="Times New Roman"/>
          <w:noProof/>
          <w:szCs w:val="24"/>
        </w:rPr>
        <w:t>31.9</w:t>
      </w:r>
      <w:r>
        <w:rPr>
          <w:rFonts w:cs="Times New Roman"/>
          <w:noProof/>
          <w:szCs w:val="24"/>
        </w:rPr>
        <w:t xml:space="preserve"> million metric tons of carbon fewer emitted to the atmosphere every year due to EU consumption and production of the relevant commodities, which could be translated into economic savings of at least 3.2 billion EUR annually.</w:t>
      </w:r>
      <w:r w:rsidR="00144433" w:rsidRPr="00144433">
        <w:rPr>
          <w:rFonts w:cs="Times New Roman"/>
          <w:noProof/>
          <w:szCs w:val="24"/>
        </w:rPr>
        <w:t xml:space="preserve"> </w:t>
      </w:r>
      <w:r w:rsidR="00144433">
        <w:rPr>
          <w:rFonts w:cs="Times New Roman"/>
          <w:noProof/>
          <w:szCs w:val="24"/>
        </w:rPr>
        <w:t>Yet, albeit not quantified due to the methodological challenges, it is expected that the enhanced features described in section 5.3.3 will bring slightly high effectiveness.</w:t>
      </w:r>
    </w:p>
    <w:p w14:paraId="5634B750" w14:textId="3CFB61FC" w:rsidR="00C85B12" w:rsidRDefault="00C85B12" w:rsidP="00C85B12">
      <w:pPr>
        <w:jc w:val="both"/>
        <w:rPr>
          <w:rFonts w:cs="Times New Roman"/>
          <w:noProof/>
          <w:szCs w:val="24"/>
        </w:rPr>
      </w:pPr>
      <w:r>
        <w:rPr>
          <w:rFonts w:cs="Times New Roman"/>
          <w:noProof/>
          <w:szCs w:val="24"/>
        </w:rPr>
        <w:t>Option 3 would also contribute to preserving biodiversity by reducing activities that are proven to threat the survival of numerous species.</w:t>
      </w:r>
    </w:p>
    <w:p w14:paraId="25835B43" w14:textId="5993E7AF" w:rsidR="00D602C9" w:rsidRPr="007C1494" w:rsidRDefault="00C85B12">
      <w:pPr>
        <w:jc w:val="both"/>
        <w:rPr>
          <w:rFonts w:eastAsiaTheme="minorEastAsia" w:cs="Times New Roman"/>
          <w:noProof/>
          <w:szCs w:val="24"/>
          <w:lang w:eastAsia="en-GB"/>
        </w:rPr>
      </w:pPr>
      <w:r>
        <w:rPr>
          <w:rFonts w:cs="Times New Roman"/>
          <w:noProof/>
          <w:szCs w:val="24"/>
        </w:rPr>
        <w:t xml:space="preserve">Option 3 </w:t>
      </w:r>
      <w:r w:rsidR="002B038B">
        <w:rPr>
          <w:rFonts w:cs="Times New Roman"/>
          <w:noProof/>
          <w:szCs w:val="24"/>
        </w:rPr>
        <w:t>is also expected to contribute to achieving the specific objectives of the EU intervention, namely minimising the</w:t>
      </w:r>
      <w:r w:rsidR="002B038B" w:rsidRPr="000016B0">
        <w:rPr>
          <w:rFonts w:cs="Times New Roman"/>
          <w:noProof/>
          <w:szCs w:val="24"/>
        </w:rPr>
        <w:t xml:space="preserve"> consumption of products coming from supply chains associated with defo</w:t>
      </w:r>
      <w:r w:rsidR="002B038B">
        <w:rPr>
          <w:rFonts w:cs="Times New Roman"/>
          <w:noProof/>
          <w:szCs w:val="24"/>
        </w:rPr>
        <w:t>restation or forest degradation, and increasing</w:t>
      </w:r>
      <w:r w:rsidR="002B038B" w:rsidRPr="000016B0">
        <w:rPr>
          <w:rFonts w:cs="Times New Roman"/>
          <w:noProof/>
          <w:szCs w:val="24"/>
        </w:rPr>
        <w:t xml:space="preserve"> EU demand for and tr</w:t>
      </w:r>
      <w:r w:rsidR="002B038B">
        <w:rPr>
          <w:rFonts w:cs="Times New Roman"/>
          <w:noProof/>
          <w:szCs w:val="24"/>
        </w:rPr>
        <w:t>ade in legal and ‘deforestation-</w:t>
      </w:r>
      <w:r w:rsidR="002B038B" w:rsidRPr="000016B0">
        <w:rPr>
          <w:rFonts w:cs="Times New Roman"/>
          <w:noProof/>
          <w:szCs w:val="24"/>
        </w:rPr>
        <w:t>free’ commodities and products</w:t>
      </w:r>
      <w:r w:rsidR="002B038B">
        <w:rPr>
          <w:rFonts w:cs="Times New Roman"/>
          <w:noProof/>
          <w:szCs w:val="24"/>
        </w:rPr>
        <w:t xml:space="preserve">. It would also contribute to </w:t>
      </w:r>
      <w:r w:rsidR="002B038B" w:rsidRPr="00A852D0">
        <w:rPr>
          <w:rFonts w:cs="Times New Roman"/>
          <w:noProof/>
          <w:szCs w:val="24"/>
        </w:rPr>
        <w:t>creating a level playing field for companies operating in the EU market</w:t>
      </w:r>
      <w:r w:rsidR="002B038B">
        <w:rPr>
          <w:rFonts w:cs="Times New Roman"/>
          <w:noProof/>
          <w:szCs w:val="24"/>
        </w:rPr>
        <w:t>.</w:t>
      </w:r>
    </w:p>
    <w:p w14:paraId="292A741C" w14:textId="4EA3C4C3" w:rsidR="009C593F" w:rsidRPr="007C1494" w:rsidRDefault="009C593F">
      <w:pPr>
        <w:jc w:val="both"/>
        <w:rPr>
          <w:rFonts w:eastAsiaTheme="minorEastAsia" w:cs="Times New Roman"/>
          <w:noProof/>
          <w:szCs w:val="24"/>
          <w:lang w:eastAsia="en-GB"/>
        </w:rPr>
      </w:pPr>
      <w:r w:rsidRPr="007C1494">
        <w:rPr>
          <w:rFonts w:eastAsiaTheme="minorEastAsia" w:cs="Times New Roman"/>
          <w:noProof/>
          <w:szCs w:val="24"/>
          <w:lang w:eastAsia="en-GB"/>
        </w:rPr>
        <w:t xml:space="preserve">In addition to environmental benefits mentioned under section 6.1, </w:t>
      </w:r>
      <w:r w:rsidR="00E66C80" w:rsidRPr="007C1494">
        <w:rPr>
          <w:rFonts w:eastAsiaTheme="minorEastAsia" w:cs="Times New Roman"/>
          <w:noProof/>
          <w:szCs w:val="24"/>
          <w:lang w:eastAsia="en-GB"/>
        </w:rPr>
        <w:t xml:space="preserve">mandatory public </w:t>
      </w:r>
      <w:r w:rsidRPr="007C1494">
        <w:rPr>
          <w:rFonts w:eastAsiaTheme="minorEastAsia" w:cs="Times New Roman"/>
          <w:noProof/>
          <w:szCs w:val="24"/>
          <w:lang w:eastAsia="en-GB"/>
        </w:rPr>
        <w:t xml:space="preserve">certification </w:t>
      </w:r>
      <w:r w:rsidR="00E66C80" w:rsidRPr="007C1494">
        <w:rPr>
          <w:rFonts w:eastAsiaTheme="minorEastAsia" w:cs="Times New Roman"/>
          <w:noProof/>
          <w:szCs w:val="24"/>
          <w:lang w:eastAsia="en-GB"/>
        </w:rPr>
        <w:t xml:space="preserve">could act as an incentive for those producer countries who opt to use it, to </w:t>
      </w:r>
      <w:r w:rsidR="00E66C80" w:rsidRPr="00E6787F">
        <w:rPr>
          <w:rFonts w:eastAsiaTheme="minorEastAsia" w:cs="Times New Roman"/>
          <w:noProof/>
          <w:szCs w:val="24"/>
          <w:lang w:eastAsia="en-GB"/>
        </w:rPr>
        <w:t>improve their environmental protection and make their supply chains more sustainable.</w:t>
      </w:r>
      <w:r w:rsidRPr="00E6787F">
        <w:rPr>
          <w:rFonts w:eastAsiaTheme="minorEastAsia" w:cs="Times New Roman"/>
          <w:noProof/>
          <w:szCs w:val="24"/>
          <w:lang w:eastAsia="en-GB"/>
        </w:rPr>
        <w:t xml:space="preserve"> </w:t>
      </w:r>
      <w:r w:rsidR="00B45B9C">
        <w:rPr>
          <w:rFonts w:eastAsiaTheme="minorEastAsia" w:cs="Times New Roman"/>
          <w:noProof/>
          <w:szCs w:val="24"/>
          <w:lang w:eastAsia="en-GB"/>
        </w:rPr>
        <w:t>Certification</w:t>
      </w:r>
      <w:r w:rsidR="00B45B9C" w:rsidRPr="00E6787F">
        <w:rPr>
          <w:rFonts w:eastAsiaTheme="minorEastAsia" w:cs="Times New Roman"/>
          <w:noProof/>
          <w:szCs w:val="24"/>
          <w:lang w:eastAsia="en-GB"/>
        </w:rPr>
        <w:t xml:space="preserve"> </w:t>
      </w:r>
      <w:r w:rsidR="006033C9" w:rsidRPr="00E6787F">
        <w:rPr>
          <w:rFonts w:eastAsiaTheme="minorEastAsia" w:cs="Times New Roman"/>
          <w:noProof/>
          <w:szCs w:val="24"/>
          <w:lang w:eastAsia="en-GB"/>
        </w:rPr>
        <w:t>could lead to competitive advantages in other markets as well.</w:t>
      </w:r>
    </w:p>
    <w:p w14:paraId="211DFAB7" w14:textId="6AED31CA" w:rsidR="00A605E3" w:rsidRPr="007C1494" w:rsidRDefault="00A605E3">
      <w:pPr>
        <w:jc w:val="both"/>
        <w:rPr>
          <w:rFonts w:eastAsiaTheme="minorEastAsia" w:cs="Times New Roman"/>
          <w:b/>
          <w:noProof/>
          <w:szCs w:val="24"/>
          <w:lang w:eastAsia="en-GB"/>
        </w:rPr>
      </w:pPr>
      <w:r w:rsidRPr="007C1494">
        <w:rPr>
          <w:rFonts w:eastAsiaTheme="minorEastAsia" w:cs="Times New Roman"/>
          <w:b/>
          <w:noProof/>
          <w:szCs w:val="24"/>
          <w:lang w:eastAsia="en-GB"/>
        </w:rPr>
        <w:t>Costs</w:t>
      </w:r>
    </w:p>
    <w:p w14:paraId="54EE5C1D" w14:textId="192DE0DA" w:rsidR="008F1C9E" w:rsidRPr="007C1494" w:rsidRDefault="00D602C9">
      <w:pPr>
        <w:jc w:val="both"/>
        <w:rPr>
          <w:rFonts w:eastAsiaTheme="minorEastAsia" w:cs="Times New Roman"/>
          <w:noProof/>
          <w:szCs w:val="24"/>
          <w:lang w:eastAsia="en-GB"/>
        </w:rPr>
      </w:pPr>
      <w:r w:rsidRPr="007C1494">
        <w:rPr>
          <w:rFonts w:eastAsiaTheme="minorEastAsia" w:cs="Times New Roman"/>
          <w:noProof/>
          <w:szCs w:val="24"/>
          <w:lang w:eastAsia="en-GB"/>
        </w:rPr>
        <w:t xml:space="preserve">In terms of economic impacts, </w:t>
      </w:r>
      <w:r w:rsidR="00915BDF" w:rsidRPr="007C1494">
        <w:rPr>
          <w:rFonts w:eastAsiaTheme="minorEastAsia" w:cs="Times New Roman"/>
          <w:noProof/>
          <w:szCs w:val="24"/>
          <w:lang w:eastAsia="en-GB"/>
        </w:rPr>
        <w:t xml:space="preserve">the </w:t>
      </w:r>
      <w:r w:rsidR="00B937A5" w:rsidRPr="007C1494">
        <w:rPr>
          <w:rFonts w:eastAsiaTheme="minorEastAsia" w:cs="Times New Roman"/>
          <w:noProof/>
          <w:szCs w:val="24"/>
          <w:lang w:eastAsia="en-GB"/>
        </w:rPr>
        <w:t xml:space="preserve">costs and impacts relating to a </w:t>
      </w:r>
      <w:r w:rsidR="00A605E3" w:rsidRPr="007C1494">
        <w:rPr>
          <w:rFonts w:eastAsiaTheme="minorEastAsia" w:cs="Times New Roman"/>
          <w:noProof/>
          <w:szCs w:val="24"/>
          <w:lang w:eastAsia="en-GB"/>
        </w:rPr>
        <w:t xml:space="preserve">tiered DDS </w:t>
      </w:r>
      <w:r w:rsidR="00B937A5" w:rsidRPr="007C1494">
        <w:rPr>
          <w:rFonts w:eastAsiaTheme="minorEastAsia" w:cs="Times New Roman"/>
          <w:noProof/>
          <w:szCs w:val="24"/>
          <w:lang w:eastAsia="en-GB"/>
        </w:rPr>
        <w:t xml:space="preserve">as </w:t>
      </w:r>
      <w:r w:rsidR="00A605E3" w:rsidRPr="007C1494">
        <w:rPr>
          <w:rFonts w:eastAsiaTheme="minorEastAsia" w:cs="Times New Roman"/>
          <w:noProof/>
          <w:szCs w:val="24"/>
          <w:lang w:eastAsia="en-GB"/>
        </w:rPr>
        <w:t xml:space="preserve">described under </w:t>
      </w:r>
      <w:r w:rsidR="00B45B9C">
        <w:rPr>
          <w:rFonts w:eastAsiaTheme="minorEastAsia" w:cs="Times New Roman"/>
          <w:noProof/>
          <w:szCs w:val="24"/>
          <w:lang w:eastAsia="en-GB"/>
        </w:rPr>
        <w:t>o</w:t>
      </w:r>
      <w:r w:rsidR="00A605E3" w:rsidRPr="007C1494">
        <w:rPr>
          <w:rFonts w:eastAsiaTheme="minorEastAsia" w:cs="Times New Roman"/>
          <w:noProof/>
          <w:szCs w:val="24"/>
          <w:lang w:eastAsia="en-GB"/>
        </w:rPr>
        <w:t>ption 2</w:t>
      </w:r>
      <w:r w:rsidR="00915BDF" w:rsidRPr="007C1494">
        <w:rPr>
          <w:rFonts w:eastAsiaTheme="minorEastAsia" w:cs="Times New Roman"/>
          <w:noProof/>
          <w:szCs w:val="24"/>
          <w:lang w:eastAsia="en-GB"/>
        </w:rPr>
        <w:t xml:space="preserve"> </w:t>
      </w:r>
      <w:r w:rsidR="00B937A5" w:rsidRPr="007C1494">
        <w:rPr>
          <w:rFonts w:eastAsiaTheme="minorEastAsia" w:cs="Times New Roman"/>
          <w:noProof/>
          <w:szCs w:val="24"/>
          <w:lang w:eastAsia="en-GB"/>
        </w:rPr>
        <w:t xml:space="preserve">are also </w:t>
      </w:r>
      <w:r w:rsidR="00915BDF" w:rsidRPr="007C1494">
        <w:rPr>
          <w:rFonts w:eastAsiaTheme="minorEastAsia" w:cs="Times New Roman"/>
          <w:noProof/>
          <w:szCs w:val="24"/>
          <w:lang w:eastAsia="en-GB"/>
        </w:rPr>
        <w:t>relevant here</w:t>
      </w:r>
      <w:r w:rsidR="006B4CA7" w:rsidRPr="007C1494">
        <w:rPr>
          <w:rFonts w:eastAsiaTheme="minorEastAsia" w:cs="Times New Roman"/>
          <w:noProof/>
          <w:szCs w:val="24"/>
          <w:lang w:eastAsia="en-GB"/>
        </w:rPr>
        <w:t xml:space="preserve">. Operators sourcing from countries which have a </w:t>
      </w:r>
      <w:r w:rsidR="00307F54" w:rsidRPr="007C1494">
        <w:rPr>
          <w:rFonts w:eastAsiaTheme="minorEastAsia" w:cs="Times New Roman"/>
          <w:noProof/>
          <w:szCs w:val="24"/>
          <w:lang w:eastAsia="en-GB"/>
        </w:rPr>
        <w:t xml:space="preserve">mandatory </w:t>
      </w:r>
      <w:r w:rsidR="006B4CA7" w:rsidRPr="007C1494">
        <w:rPr>
          <w:rFonts w:eastAsiaTheme="minorEastAsia" w:cs="Times New Roman"/>
          <w:noProof/>
          <w:szCs w:val="24"/>
          <w:lang w:eastAsia="en-GB"/>
        </w:rPr>
        <w:t xml:space="preserve">public certification system recognised by the EU would face lower </w:t>
      </w:r>
      <w:r w:rsidR="00B937A5" w:rsidRPr="007C1494">
        <w:rPr>
          <w:rFonts w:eastAsiaTheme="minorEastAsia" w:cs="Times New Roman"/>
          <w:noProof/>
          <w:szCs w:val="24"/>
          <w:lang w:eastAsia="en-GB"/>
        </w:rPr>
        <w:t xml:space="preserve">compliance costs </w:t>
      </w:r>
      <w:r w:rsidR="0062090B">
        <w:rPr>
          <w:rFonts w:eastAsiaTheme="minorEastAsia" w:cs="Times New Roman"/>
          <w:noProof/>
          <w:szCs w:val="24"/>
          <w:lang w:eastAsia="en-GB"/>
        </w:rPr>
        <w:t>to meet their</w:t>
      </w:r>
      <w:r w:rsidR="00B937A5" w:rsidRPr="007C1494">
        <w:rPr>
          <w:rFonts w:eastAsiaTheme="minorEastAsia" w:cs="Times New Roman"/>
          <w:noProof/>
          <w:szCs w:val="24"/>
          <w:lang w:eastAsia="en-GB"/>
        </w:rPr>
        <w:t xml:space="preserve"> </w:t>
      </w:r>
      <w:r w:rsidR="006B4CA7" w:rsidRPr="007C1494" w:rsidDel="00471E73">
        <w:rPr>
          <w:rFonts w:eastAsiaTheme="minorEastAsia" w:cs="Times New Roman"/>
          <w:noProof/>
          <w:szCs w:val="24"/>
          <w:lang w:eastAsia="en-GB"/>
        </w:rPr>
        <w:t>due diligence</w:t>
      </w:r>
      <w:r w:rsidR="00B937A5" w:rsidRPr="007C1494">
        <w:rPr>
          <w:rFonts w:eastAsiaTheme="minorEastAsia" w:cs="Times New Roman"/>
          <w:noProof/>
          <w:szCs w:val="24"/>
          <w:lang w:eastAsia="en-GB"/>
        </w:rPr>
        <w:t xml:space="preserve"> </w:t>
      </w:r>
      <w:r w:rsidR="0062090B">
        <w:rPr>
          <w:rFonts w:eastAsiaTheme="minorEastAsia" w:cs="Times New Roman"/>
          <w:noProof/>
          <w:szCs w:val="24"/>
          <w:lang w:eastAsia="en-GB"/>
        </w:rPr>
        <w:t>obligation</w:t>
      </w:r>
      <w:r w:rsidR="00915BDF" w:rsidRPr="007C1494">
        <w:rPr>
          <w:rFonts w:eastAsiaTheme="minorEastAsia" w:cs="Times New Roman"/>
          <w:noProof/>
          <w:szCs w:val="24"/>
          <w:lang w:eastAsia="en-GB"/>
        </w:rPr>
        <w:t xml:space="preserve">. </w:t>
      </w:r>
      <w:r w:rsidR="00C85B12">
        <w:rPr>
          <w:rFonts w:eastAsiaTheme="minorEastAsia" w:cs="Times New Roman"/>
          <w:noProof/>
          <w:szCs w:val="24"/>
          <w:lang w:eastAsia="en-GB"/>
        </w:rPr>
        <w:t xml:space="preserve">It is however expected that the share of operations benefiting from lower compliance costs be lower than in </w:t>
      </w:r>
      <w:r w:rsidR="00B45B9C">
        <w:rPr>
          <w:rFonts w:eastAsiaTheme="minorEastAsia" w:cs="Times New Roman"/>
          <w:noProof/>
          <w:szCs w:val="24"/>
          <w:lang w:eastAsia="en-GB"/>
        </w:rPr>
        <w:t>o</w:t>
      </w:r>
      <w:r w:rsidR="00C85B12">
        <w:rPr>
          <w:rFonts w:eastAsiaTheme="minorEastAsia" w:cs="Times New Roman"/>
          <w:noProof/>
          <w:szCs w:val="24"/>
          <w:lang w:eastAsia="en-GB"/>
        </w:rPr>
        <w:t>ption 2.</w:t>
      </w:r>
    </w:p>
    <w:p w14:paraId="4FAD80AE" w14:textId="7D6476D6" w:rsidR="006B1555" w:rsidRPr="007C1494" w:rsidRDefault="00734336">
      <w:pPr>
        <w:jc w:val="both"/>
        <w:rPr>
          <w:rFonts w:eastAsiaTheme="minorEastAsia" w:cs="Times New Roman"/>
          <w:noProof/>
          <w:szCs w:val="24"/>
          <w:lang w:eastAsia="en-GB"/>
        </w:rPr>
      </w:pPr>
      <w:r w:rsidRPr="007C1494">
        <w:rPr>
          <w:rFonts w:eastAsiaTheme="minorEastAsia" w:cs="Times New Roman"/>
          <w:noProof/>
          <w:szCs w:val="24"/>
          <w:lang w:eastAsia="en-GB"/>
        </w:rPr>
        <w:t xml:space="preserve">The cost </w:t>
      </w:r>
      <w:r w:rsidR="00B937A5" w:rsidRPr="007C1494">
        <w:rPr>
          <w:rFonts w:eastAsiaTheme="minorEastAsia" w:cs="Times New Roman"/>
          <w:noProof/>
          <w:szCs w:val="24"/>
          <w:lang w:eastAsia="en-GB"/>
        </w:rPr>
        <w:t>linked to</w:t>
      </w:r>
      <w:r w:rsidRPr="007C1494">
        <w:rPr>
          <w:rFonts w:eastAsiaTheme="minorEastAsia" w:cs="Times New Roman"/>
          <w:noProof/>
          <w:szCs w:val="24"/>
          <w:lang w:eastAsia="en-GB"/>
        </w:rPr>
        <w:t xml:space="preserve"> the tiered </w:t>
      </w:r>
      <w:r w:rsidRPr="007C1494" w:rsidDel="00471E73">
        <w:rPr>
          <w:rFonts w:eastAsiaTheme="minorEastAsia" w:cs="Times New Roman"/>
          <w:noProof/>
          <w:szCs w:val="24"/>
          <w:lang w:eastAsia="en-GB"/>
        </w:rPr>
        <w:t>due diligence</w:t>
      </w:r>
      <w:r w:rsidRPr="007C1494" w:rsidDel="00974952">
        <w:rPr>
          <w:rFonts w:eastAsiaTheme="minorEastAsia" w:cs="Times New Roman"/>
          <w:noProof/>
          <w:szCs w:val="24"/>
          <w:lang w:eastAsia="en-GB"/>
        </w:rPr>
        <w:t xml:space="preserve"> system</w:t>
      </w:r>
      <w:r w:rsidRPr="007C1494">
        <w:rPr>
          <w:rFonts w:eastAsiaTheme="minorEastAsia" w:cs="Times New Roman"/>
          <w:noProof/>
          <w:szCs w:val="24"/>
          <w:lang w:eastAsia="en-GB"/>
        </w:rPr>
        <w:t xml:space="preserve"> would be based on the same assumptions </w:t>
      </w:r>
      <w:r w:rsidR="0062090B">
        <w:rPr>
          <w:rFonts w:eastAsiaTheme="minorEastAsia" w:cs="Times New Roman"/>
          <w:noProof/>
          <w:szCs w:val="24"/>
          <w:lang w:eastAsia="en-GB"/>
        </w:rPr>
        <w:t>as</w:t>
      </w:r>
      <w:r w:rsidRPr="007C1494">
        <w:rPr>
          <w:rFonts w:eastAsiaTheme="minorEastAsia" w:cs="Times New Roman"/>
          <w:noProof/>
          <w:szCs w:val="24"/>
          <w:lang w:eastAsia="en-GB"/>
        </w:rPr>
        <w:t xml:space="preserve"> for </w:t>
      </w:r>
      <w:r w:rsidR="00B45B9C">
        <w:rPr>
          <w:rFonts w:eastAsiaTheme="minorEastAsia" w:cs="Times New Roman"/>
          <w:noProof/>
          <w:szCs w:val="24"/>
          <w:lang w:eastAsia="en-GB"/>
        </w:rPr>
        <w:t>o</w:t>
      </w:r>
      <w:r w:rsidRPr="007C1494">
        <w:rPr>
          <w:rFonts w:eastAsiaTheme="minorEastAsia" w:cs="Times New Roman"/>
          <w:noProof/>
          <w:szCs w:val="24"/>
          <w:lang w:eastAsia="en-GB"/>
        </w:rPr>
        <w:t xml:space="preserve">ption 2, however the split between those operators assumed to be in the simplified </w:t>
      </w:r>
      <w:r w:rsidRPr="007C1494" w:rsidDel="00471E73">
        <w:rPr>
          <w:rFonts w:eastAsiaTheme="minorEastAsia" w:cs="Times New Roman"/>
          <w:noProof/>
          <w:szCs w:val="24"/>
          <w:lang w:eastAsia="en-GB"/>
        </w:rPr>
        <w:t>due diligence</w:t>
      </w:r>
      <w:r w:rsidRPr="007C1494">
        <w:rPr>
          <w:rFonts w:eastAsiaTheme="minorEastAsia" w:cs="Times New Roman"/>
          <w:noProof/>
          <w:szCs w:val="24"/>
          <w:lang w:eastAsia="en-GB"/>
        </w:rPr>
        <w:t xml:space="preserve"> category would be different than in </w:t>
      </w:r>
      <w:r w:rsidR="00B45B9C">
        <w:rPr>
          <w:rFonts w:eastAsiaTheme="minorEastAsia" w:cs="Times New Roman"/>
          <w:noProof/>
          <w:szCs w:val="24"/>
          <w:lang w:eastAsia="en-GB"/>
        </w:rPr>
        <w:t>o</w:t>
      </w:r>
      <w:r w:rsidRPr="007C1494">
        <w:rPr>
          <w:rFonts w:eastAsiaTheme="minorEastAsia" w:cs="Times New Roman"/>
          <w:noProof/>
          <w:szCs w:val="24"/>
          <w:lang w:eastAsia="en-GB"/>
        </w:rPr>
        <w:t>ption 2. This difference is based on the relatively low expected uptake and even lower expected recognition of the public mandatory certification schemes.</w:t>
      </w:r>
      <w:r w:rsidR="006B1555" w:rsidRPr="007C1494">
        <w:rPr>
          <w:rFonts w:eastAsiaTheme="minorEastAsia" w:cs="Times New Roman"/>
          <w:noProof/>
          <w:szCs w:val="24"/>
          <w:lang w:eastAsia="en-GB"/>
        </w:rPr>
        <w:t xml:space="preserve"> To build on lessons learned from previous experiences (</w:t>
      </w:r>
      <w:r w:rsidR="00D37F59" w:rsidRPr="007C1494">
        <w:rPr>
          <w:rFonts w:eastAsiaTheme="minorEastAsia" w:cs="Times New Roman"/>
          <w:noProof/>
          <w:szCs w:val="24"/>
          <w:lang w:eastAsia="en-GB"/>
        </w:rPr>
        <w:t xml:space="preserve">to </w:t>
      </w:r>
      <w:r w:rsidR="006B1555" w:rsidRPr="007C1494">
        <w:rPr>
          <w:rFonts w:eastAsiaTheme="minorEastAsia" w:cs="Times New Roman"/>
          <w:noProof/>
          <w:szCs w:val="24"/>
          <w:lang w:eastAsia="en-GB"/>
        </w:rPr>
        <w:t xml:space="preserve">avoid demand-led processes that might fail to cover the main EU trade partners, while still investing considerable resources), this option would be open for countries to apply under the following criteria: 1) the country exports a significant volume of </w:t>
      </w:r>
      <w:r w:rsidR="00D37F59" w:rsidRPr="007C1494">
        <w:rPr>
          <w:rFonts w:eastAsiaTheme="minorEastAsia" w:cs="Times New Roman"/>
          <w:noProof/>
          <w:szCs w:val="24"/>
          <w:lang w:eastAsia="en-GB"/>
        </w:rPr>
        <w:t xml:space="preserve">commodities or </w:t>
      </w:r>
      <w:r w:rsidR="006B1555" w:rsidRPr="007C1494">
        <w:rPr>
          <w:rFonts w:eastAsiaTheme="minorEastAsia" w:cs="Times New Roman"/>
          <w:noProof/>
          <w:szCs w:val="24"/>
          <w:lang w:eastAsia="en-GB"/>
        </w:rPr>
        <w:t>products covered by the regulation; and 2) the EU consumes a significant volume of the</w:t>
      </w:r>
      <w:r w:rsidR="00D37F59" w:rsidRPr="007C1494">
        <w:rPr>
          <w:rFonts w:eastAsiaTheme="minorEastAsia" w:cs="Times New Roman"/>
          <w:noProof/>
          <w:szCs w:val="24"/>
          <w:lang w:eastAsia="en-GB"/>
        </w:rPr>
        <w:t>se commodities or</w:t>
      </w:r>
      <w:r w:rsidR="006B1555" w:rsidRPr="007C1494">
        <w:rPr>
          <w:rFonts w:eastAsiaTheme="minorEastAsia" w:cs="Times New Roman"/>
          <w:noProof/>
          <w:szCs w:val="24"/>
          <w:lang w:eastAsia="en-GB"/>
        </w:rPr>
        <w:t xml:space="preserve"> products.</w:t>
      </w:r>
    </w:p>
    <w:p w14:paraId="5340015F" w14:textId="55FD92AD" w:rsidR="006B4CA7" w:rsidRPr="007C1494" w:rsidRDefault="00B937A5">
      <w:pPr>
        <w:jc w:val="both"/>
        <w:rPr>
          <w:rFonts w:eastAsiaTheme="minorEastAsia" w:cs="Times New Roman"/>
          <w:noProof/>
          <w:szCs w:val="24"/>
          <w:lang w:eastAsia="en-GB"/>
        </w:rPr>
      </w:pPr>
      <w:r w:rsidRPr="007C1494">
        <w:rPr>
          <w:rFonts w:eastAsiaTheme="minorEastAsia" w:cs="Times New Roman"/>
          <w:noProof/>
          <w:szCs w:val="24"/>
          <w:lang w:eastAsia="en-GB"/>
        </w:rPr>
        <w:t xml:space="preserve">As in </w:t>
      </w:r>
      <w:r w:rsidR="00B45B9C">
        <w:rPr>
          <w:rFonts w:eastAsiaTheme="minorEastAsia" w:cs="Times New Roman"/>
          <w:noProof/>
          <w:szCs w:val="24"/>
          <w:lang w:eastAsia="en-GB"/>
        </w:rPr>
        <w:t>o</w:t>
      </w:r>
      <w:r w:rsidRPr="007C1494">
        <w:rPr>
          <w:rFonts w:eastAsiaTheme="minorEastAsia" w:cs="Times New Roman"/>
          <w:noProof/>
          <w:szCs w:val="24"/>
          <w:lang w:eastAsia="en-GB"/>
        </w:rPr>
        <w:t xml:space="preserve">ption 2, a reduced </w:t>
      </w:r>
      <w:r w:rsidRPr="007C1494" w:rsidDel="00471E73">
        <w:rPr>
          <w:rFonts w:eastAsiaTheme="minorEastAsia" w:cs="Times New Roman"/>
          <w:noProof/>
          <w:szCs w:val="24"/>
          <w:lang w:eastAsia="en-GB"/>
        </w:rPr>
        <w:t>due diligence</w:t>
      </w:r>
      <w:r w:rsidRPr="007C1494">
        <w:rPr>
          <w:rFonts w:eastAsiaTheme="minorEastAsia" w:cs="Times New Roman"/>
          <w:noProof/>
          <w:szCs w:val="24"/>
          <w:lang w:eastAsia="en-GB"/>
        </w:rPr>
        <w:t xml:space="preserve"> cost for sourcing from countries that choose to establish and </w:t>
      </w:r>
      <w:r w:rsidR="00F72A32" w:rsidRPr="007C1494">
        <w:rPr>
          <w:rFonts w:eastAsiaTheme="minorEastAsia" w:cs="Times New Roman"/>
          <w:noProof/>
          <w:szCs w:val="24"/>
          <w:lang w:eastAsia="en-GB"/>
        </w:rPr>
        <w:t xml:space="preserve">obtain </w:t>
      </w:r>
      <w:r w:rsidRPr="007C1494">
        <w:rPr>
          <w:rFonts w:eastAsiaTheme="minorEastAsia" w:cs="Times New Roman"/>
          <w:noProof/>
          <w:szCs w:val="24"/>
          <w:lang w:eastAsia="en-GB"/>
        </w:rPr>
        <w:t>approval for a mandatory certification system is estimated</w:t>
      </w:r>
      <w:r w:rsidRPr="007C1494">
        <w:rPr>
          <w:rFonts w:cs="Times New Roman"/>
          <w:noProof/>
          <w:szCs w:val="24"/>
        </w:rPr>
        <w:t xml:space="preserve"> as 50% reduction compared to </w:t>
      </w:r>
      <w:r w:rsidR="00B45B9C">
        <w:rPr>
          <w:rFonts w:cs="Times New Roman"/>
          <w:noProof/>
          <w:szCs w:val="24"/>
        </w:rPr>
        <w:t>o</w:t>
      </w:r>
      <w:r w:rsidRPr="007C1494">
        <w:rPr>
          <w:rFonts w:cs="Times New Roman"/>
          <w:noProof/>
          <w:szCs w:val="24"/>
        </w:rPr>
        <w:t xml:space="preserve">ption 1. </w:t>
      </w:r>
      <w:r w:rsidR="00395908" w:rsidRPr="007C1494">
        <w:rPr>
          <w:rFonts w:cs="Times New Roman"/>
          <w:noProof/>
          <w:szCs w:val="24"/>
        </w:rPr>
        <w:t xml:space="preserve">The EU recognition process is expected to provide operators </w:t>
      </w:r>
      <w:r w:rsidR="00A16344" w:rsidRPr="007C1494">
        <w:rPr>
          <w:rFonts w:cs="Times New Roman"/>
          <w:noProof/>
          <w:szCs w:val="24"/>
        </w:rPr>
        <w:t>additional a</w:t>
      </w:r>
      <w:r w:rsidR="00395908" w:rsidRPr="007C1494">
        <w:rPr>
          <w:rFonts w:cs="Times New Roman"/>
          <w:noProof/>
          <w:szCs w:val="24"/>
        </w:rPr>
        <w:t>ssurance on the sustainability of the products</w:t>
      </w:r>
      <w:r w:rsidR="00A16344" w:rsidRPr="007C1494">
        <w:rPr>
          <w:rFonts w:cs="Times New Roman"/>
          <w:noProof/>
          <w:szCs w:val="24"/>
        </w:rPr>
        <w:t xml:space="preserve">, so that it would reduce the extent of </w:t>
      </w:r>
      <w:r w:rsidR="00395908" w:rsidRPr="007C1494">
        <w:rPr>
          <w:rFonts w:cs="Times New Roman"/>
          <w:noProof/>
          <w:szCs w:val="24"/>
        </w:rPr>
        <w:t xml:space="preserve">their </w:t>
      </w:r>
      <w:r w:rsidR="00395908" w:rsidRPr="007C1494" w:rsidDel="00471E73">
        <w:rPr>
          <w:rFonts w:cs="Times New Roman"/>
          <w:noProof/>
          <w:szCs w:val="24"/>
        </w:rPr>
        <w:t>due diligence</w:t>
      </w:r>
      <w:r w:rsidR="00395908" w:rsidRPr="007C1494">
        <w:rPr>
          <w:rFonts w:cs="Times New Roman"/>
          <w:noProof/>
          <w:szCs w:val="24"/>
        </w:rPr>
        <w:t xml:space="preserve"> obligations. However, t</w:t>
      </w:r>
      <w:r w:rsidR="006B4CA7" w:rsidRPr="007C1494">
        <w:rPr>
          <w:rFonts w:cs="Times New Roman"/>
          <w:noProof/>
          <w:szCs w:val="24"/>
        </w:rPr>
        <w:t xml:space="preserve">he FLEGT experience shows that it is likely that only a limited number of countries would be </w:t>
      </w:r>
      <w:r w:rsidR="00342AD4" w:rsidRPr="007C1494">
        <w:rPr>
          <w:rFonts w:cs="Times New Roman"/>
          <w:noProof/>
          <w:szCs w:val="24"/>
        </w:rPr>
        <w:t xml:space="preserve">able to or </w:t>
      </w:r>
      <w:r w:rsidR="006B4CA7" w:rsidRPr="007C1494">
        <w:rPr>
          <w:rFonts w:cs="Times New Roman"/>
          <w:noProof/>
          <w:szCs w:val="24"/>
        </w:rPr>
        <w:t>interested in developing a mandatory public certification system and seek its recognition by the EU.</w:t>
      </w:r>
    </w:p>
    <w:p w14:paraId="3B50DB6E" w14:textId="6FC912C4" w:rsidR="00D602C9" w:rsidRDefault="00D2366A">
      <w:pPr>
        <w:jc w:val="both"/>
        <w:rPr>
          <w:rFonts w:cs="Times New Roman"/>
          <w:noProof/>
          <w:szCs w:val="24"/>
        </w:rPr>
      </w:pPr>
      <w:r w:rsidRPr="007C1494">
        <w:rPr>
          <w:rFonts w:cs="Times New Roman"/>
          <w:noProof/>
          <w:szCs w:val="24"/>
        </w:rPr>
        <w:t>Although difficult to predict, for the purpose of the impact assessment it is estimated that 10% of the commodities</w:t>
      </w:r>
      <w:r w:rsidR="00342AD4" w:rsidRPr="007C1494">
        <w:rPr>
          <w:rFonts w:cs="Times New Roman"/>
          <w:noProof/>
          <w:szCs w:val="24"/>
        </w:rPr>
        <w:t xml:space="preserve"> in scope of the regulation</w:t>
      </w:r>
      <w:r w:rsidRPr="007C1494">
        <w:rPr>
          <w:rFonts w:cs="Times New Roman"/>
          <w:noProof/>
          <w:szCs w:val="24"/>
        </w:rPr>
        <w:t xml:space="preserve"> would be sourced from recognised mandatory public certification systems and therefore the operators would be under ‘simplified’ </w:t>
      </w:r>
      <w:r w:rsidRPr="007C1494" w:rsidDel="00471E73">
        <w:rPr>
          <w:rFonts w:cs="Times New Roman"/>
          <w:noProof/>
          <w:szCs w:val="24"/>
        </w:rPr>
        <w:t>due diligence</w:t>
      </w:r>
      <w:r w:rsidRPr="007C1494">
        <w:rPr>
          <w:rFonts w:cs="Times New Roman"/>
          <w:noProof/>
          <w:szCs w:val="24"/>
        </w:rPr>
        <w:t xml:space="preserve"> obligations, incurring in 50% of the costs as compared to </w:t>
      </w:r>
      <w:r w:rsidR="00B45B9C">
        <w:rPr>
          <w:rFonts w:cs="Times New Roman"/>
          <w:noProof/>
          <w:szCs w:val="24"/>
        </w:rPr>
        <w:t>o</w:t>
      </w:r>
      <w:r w:rsidRPr="007C1494">
        <w:rPr>
          <w:rFonts w:cs="Times New Roman"/>
          <w:noProof/>
          <w:szCs w:val="24"/>
        </w:rPr>
        <w:t>ption 1. This results in an estimate</w:t>
      </w:r>
      <w:r w:rsidR="005852A6" w:rsidRPr="007C1494">
        <w:rPr>
          <w:rFonts w:cs="Times New Roman"/>
          <w:noProof/>
          <w:szCs w:val="24"/>
        </w:rPr>
        <w:t xml:space="preserve">d total costs of </w:t>
      </w:r>
      <w:r w:rsidR="005852A6" w:rsidRPr="007C1494" w:rsidDel="00471E73">
        <w:rPr>
          <w:rFonts w:cs="Times New Roman"/>
          <w:noProof/>
          <w:szCs w:val="24"/>
        </w:rPr>
        <w:t>due diligence</w:t>
      </w:r>
      <w:r w:rsidR="005852A6" w:rsidRPr="007C1494">
        <w:rPr>
          <w:rFonts w:cs="Times New Roman"/>
          <w:noProof/>
          <w:szCs w:val="24"/>
        </w:rPr>
        <w:t xml:space="preserve"> under </w:t>
      </w:r>
      <w:r w:rsidR="00B45B9C">
        <w:rPr>
          <w:rFonts w:cs="Times New Roman"/>
          <w:noProof/>
          <w:szCs w:val="24"/>
        </w:rPr>
        <w:t>o</w:t>
      </w:r>
      <w:r w:rsidRPr="007C1494">
        <w:rPr>
          <w:rFonts w:cs="Times New Roman"/>
          <w:noProof/>
          <w:szCs w:val="24"/>
        </w:rPr>
        <w:t xml:space="preserve">ption 3 </w:t>
      </w:r>
      <w:r w:rsidR="00B45B9C">
        <w:rPr>
          <w:rFonts w:cs="Times New Roman"/>
          <w:noProof/>
          <w:szCs w:val="24"/>
        </w:rPr>
        <w:t>ranging between €</w:t>
      </w:r>
      <w:r w:rsidR="008224C7">
        <w:rPr>
          <w:rFonts w:cs="Times New Roman"/>
          <w:noProof/>
          <w:szCs w:val="24"/>
        </w:rPr>
        <w:t>16</w:t>
      </w:r>
      <w:r w:rsidR="003A5AAB">
        <w:rPr>
          <w:rFonts w:cs="Times New Roman"/>
          <w:noProof/>
          <w:szCs w:val="24"/>
        </w:rPr>
        <w:t>6</w:t>
      </w:r>
      <w:r w:rsidR="008224C7" w:rsidRPr="007C1494">
        <w:rPr>
          <w:rFonts w:cs="Times New Roman"/>
          <w:noProof/>
          <w:szCs w:val="24"/>
        </w:rPr>
        <w:t xml:space="preserve"> </w:t>
      </w:r>
      <w:r w:rsidR="00B45B9C">
        <w:rPr>
          <w:rFonts w:cs="Times New Roman"/>
          <w:noProof/>
          <w:szCs w:val="24"/>
        </w:rPr>
        <w:t>and</w:t>
      </w:r>
      <w:r w:rsidR="00B45B9C" w:rsidRPr="007C1494">
        <w:rPr>
          <w:rFonts w:cs="Times New Roman"/>
          <w:noProof/>
          <w:szCs w:val="24"/>
        </w:rPr>
        <w:t xml:space="preserve"> </w:t>
      </w:r>
      <w:r w:rsidR="008224C7">
        <w:rPr>
          <w:rFonts w:cs="Times New Roman"/>
          <w:noProof/>
          <w:szCs w:val="24"/>
        </w:rPr>
        <w:t>2,4</w:t>
      </w:r>
      <w:r w:rsidR="003A5AAB">
        <w:rPr>
          <w:rFonts w:cs="Times New Roman"/>
          <w:noProof/>
          <w:szCs w:val="24"/>
        </w:rPr>
        <w:t>85</w:t>
      </w:r>
      <w:r w:rsidRPr="007C1494">
        <w:rPr>
          <w:rFonts w:cs="Times New Roman"/>
          <w:noProof/>
          <w:szCs w:val="24"/>
        </w:rPr>
        <w:t xml:space="preserve"> million</w:t>
      </w:r>
      <w:r w:rsidR="005852A6" w:rsidRPr="007C1494">
        <w:rPr>
          <w:rFonts w:cs="Times New Roman"/>
          <w:noProof/>
          <w:szCs w:val="24"/>
        </w:rPr>
        <w:t xml:space="preserve"> per year</w:t>
      </w:r>
      <w:r w:rsidRPr="007C1494">
        <w:rPr>
          <w:rFonts w:cs="Times New Roman"/>
          <w:noProof/>
          <w:szCs w:val="24"/>
        </w:rPr>
        <w:t>.</w:t>
      </w:r>
    </w:p>
    <w:p w14:paraId="7C71DDD2" w14:textId="77777777" w:rsidR="00B45B9C" w:rsidRPr="007C1494" w:rsidRDefault="00B45B9C" w:rsidP="00B45B9C">
      <w:pPr>
        <w:jc w:val="both"/>
        <w:rPr>
          <w:rFonts w:eastAsiaTheme="minorEastAsia" w:cs="Times New Roman"/>
          <w:noProof/>
          <w:szCs w:val="24"/>
          <w:lang w:eastAsia="en-GB"/>
        </w:rPr>
      </w:pPr>
      <w:r w:rsidRPr="007C1494">
        <w:rPr>
          <w:rFonts w:eastAsiaTheme="minorEastAsia" w:cs="Times New Roman"/>
          <w:noProof/>
          <w:szCs w:val="24"/>
          <w:lang w:eastAsia="en-GB"/>
        </w:rPr>
        <w:t xml:space="preserve">The costs of enforcement of the scheme are likely to vary depending whether new enforcement infrastructure would be needed. In addition, </w:t>
      </w:r>
      <w:r>
        <w:rPr>
          <w:rFonts w:eastAsiaTheme="minorEastAsia" w:cs="Times New Roman"/>
          <w:noProof/>
          <w:szCs w:val="24"/>
          <w:lang w:eastAsia="en-GB"/>
        </w:rPr>
        <w:t xml:space="preserve">annual </w:t>
      </w:r>
      <w:r w:rsidRPr="007C1494">
        <w:rPr>
          <w:rFonts w:eastAsiaTheme="minorEastAsia" w:cs="Times New Roman"/>
          <w:noProof/>
          <w:szCs w:val="24"/>
          <w:lang w:eastAsia="en-GB"/>
        </w:rPr>
        <w:t xml:space="preserve">costs of reporting to EU institutions are expected and estimated to be between 100,000 - 1,000,000 EUR per country. </w:t>
      </w:r>
    </w:p>
    <w:p w14:paraId="011216B2" w14:textId="50891ED1" w:rsidR="00CB1023" w:rsidRDefault="00B45B9C">
      <w:pPr>
        <w:jc w:val="both"/>
        <w:rPr>
          <w:rFonts w:eastAsiaTheme="minorEastAsia" w:cs="Times New Roman"/>
          <w:noProof/>
          <w:szCs w:val="24"/>
          <w:lang w:eastAsia="en-GB"/>
        </w:rPr>
      </w:pPr>
      <w:r w:rsidRPr="007C1494">
        <w:rPr>
          <w:rFonts w:eastAsiaTheme="minorEastAsia" w:cs="Times New Roman"/>
          <w:noProof/>
          <w:szCs w:val="24"/>
          <w:lang w:eastAsia="en-GB"/>
        </w:rPr>
        <w:t xml:space="preserve">For EU institutions, the main costs are associated with setting up and operating the process of reviewing, assessing and recognising the existing public mandatory certification schemes. It is expected that there will be some costs associated to setting up the process, but the main costs would be the annual operating costs, which would strongly depend on the number of countries seeking recognition for mandatory public certification systems for specific commodities. </w:t>
      </w:r>
      <w:r w:rsidR="00C81BE8" w:rsidRPr="007C1494">
        <w:rPr>
          <w:rFonts w:eastAsiaTheme="minorEastAsia" w:cs="Times New Roman"/>
          <w:noProof/>
          <w:szCs w:val="24"/>
          <w:lang w:eastAsia="en-GB"/>
        </w:rPr>
        <w:t xml:space="preserve">The main cost for </w:t>
      </w:r>
      <w:r w:rsidR="008F1C9E" w:rsidRPr="007C1494">
        <w:rPr>
          <w:rFonts w:eastAsiaTheme="minorEastAsia" w:cs="Times New Roman"/>
          <w:noProof/>
          <w:szCs w:val="24"/>
          <w:lang w:eastAsia="en-GB"/>
        </w:rPr>
        <w:t xml:space="preserve">any </w:t>
      </w:r>
      <w:r w:rsidR="00CB1023" w:rsidRPr="007C1494">
        <w:rPr>
          <w:rFonts w:eastAsiaTheme="minorEastAsia" w:cs="Times New Roman"/>
          <w:noProof/>
          <w:szCs w:val="24"/>
          <w:lang w:eastAsia="en-GB"/>
        </w:rPr>
        <w:t>country</w:t>
      </w:r>
      <w:r w:rsidR="00C81BE8" w:rsidRPr="007C1494">
        <w:rPr>
          <w:rFonts w:eastAsiaTheme="minorEastAsia" w:cs="Times New Roman"/>
          <w:noProof/>
          <w:szCs w:val="24"/>
          <w:lang w:eastAsia="en-GB"/>
        </w:rPr>
        <w:t xml:space="preserve"> </w:t>
      </w:r>
      <w:r w:rsidR="00536EB3">
        <w:rPr>
          <w:rFonts w:eastAsiaTheme="minorEastAsia" w:cs="Times New Roman"/>
          <w:noProof/>
          <w:szCs w:val="24"/>
          <w:lang w:eastAsia="en-GB"/>
        </w:rPr>
        <w:t>choosing</w:t>
      </w:r>
      <w:r w:rsidR="008F1C9E" w:rsidRPr="007C1494">
        <w:rPr>
          <w:rFonts w:eastAsiaTheme="minorEastAsia" w:cs="Times New Roman"/>
          <w:noProof/>
          <w:szCs w:val="24"/>
          <w:lang w:eastAsia="en-GB"/>
        </w:rPr>
        <w:t xml:space="preserve"> to set up such </w:t>
      </w:r>
      <w:r w:rsidR="00536EB3">
        <w:rPr>
          <w:rFonts w:eastAsiaTheme="minorEastAsia" w:cs="Times New Roman"/>
          <w:noProof/>
          <w:szCs w:val="24"/>
          <w:lang w:eastAsia="en-GB"/>
        </w:rPr>
        <w:t>a mandatory certification</w:t>
      </w:r>
      <w:r w:rsidR="00536EB3" w:rsidRPr="007C1494">
        <w:rPr>
          <w:rFonts w:eastAsiaTheme="minorEastAsia" w:cs="Times New Roman"/>
          <w:noProof/>
          <w:szCs w:val="24"/>
          <w:lang w:eastAsia="en-GB"/>
        </w:rPr>
        <w:t xml:space="preserve"> </w:t>
      </w:r>
      <w:r w:rsidR="008F1C9E" w:rsidRPr="007C1494">
        <w:rPr>
          <w:rFonts w:eastAsiaTheme="minorEastAsia" w:cs="Times New Roman"/>
          <w:noProof/>
          <w:szCs w:val="24"/>
          <w:lang w:eastAsia="en-GB"/>
        </w:rPr>
        <w:t>system</w:t>
      </w:r>
      <w:r w:rsidR="00342AD4" w:rsidRPr="007C1494">
        <w:rPr>
          <w:rFonts w:eastAsiaTheme="minorEastAsia" w:cs="Times New Roman"/>
          <w:noProof/>
          <w:szCs w:val="24"/>
          <w:lang w:eastAsia="en-GB"/>
        </w:rPr>
        <w:t xml:space="preserve"> </w:t>
      </w:r>
      <w:r w:rsidR="00536EB3">
        <w:rPr>
          <w:rFonts w:eastAsiaTheme="minorEastAsia" w:cs="Times New Roman"/>
          <w:noProof/>
          <w:szCs w:val="24"/>
          <w:lang w:eastAsia="en-GB"/>
        </w:rPr>
        <w:t xml:space="preserve">would be borne at national level </w:t>
      </w:r>
      <w:r w:rsidR="00C81BE8" w:rsidRPr="007C1494">
        <w:rPr>
          <w:rFonts w:eastAsiaTheme="minorEastAsia" w:cs="Times New Roman"/>
          <w:noProof/>
          <w:szCs w:val="24"/>
          <w:lang w:eastAsia="en-GB"/>
        </w:rPr>
        <w:t xml:space="preserve">, </w:t>
      </w:r>
      <w:r w:rsidR="00536EB3">
        <w:rPr>
          <w:rFonts w:eastAsiaTheme="minorEastAsia" w:cs="Times New Roman"/>
          <w:noProof/>
          <w:szCs w:val="24"/>
          <w:lang w:eastAsia="en-GB"/>
        </w:rPr>
        <w:t>and</w:t>
      </w:r>
      <w:r w:rsidR="00536EB3" w:rsidRPr="007C1494">
        <w:rPr>
          <w:rFonts w:eastAsiaTheme="minorEastAsia" w:cs="Times New Roman"/>
          <w:noProof/>
          <w:szCs w:val="24"/>
          <w:lang w:eastAsia="en-GB"/>
        </w:rPr>
        <w:t xml:space="preserve"> </w:t>
      </w:r>
      <w:r w:rsidR="00C81BE8" w:rsidRPr="007C1494">
        <w:rPr>
          <w:rFonts w:eastAsiaTheme="minorEastAsia" w:cs="Times New Roman"/>
          <w:noProof/>
          <w:szCs w:val="24"/>
          <w:lang w:eastAsia="en-GB"/>
        </w:rPr>
        <w:t xml:space="preserve">is estimated to amount to </w:t>
      </w:r>
      <w:r w:rsidR="00536EB3">
        <w:rPr>
          <w:rFonts w:eastAsiaTheme="minorEastAsia" w:cs="Times New Roman"/>
          <w:noProof/>
          <w:szCs w:val="24"/>
          <w:lang w:eastAsia="en-GB"/>
        </w:rPr>
        <w:t xml:space="preserve">a minimum of </w:t>
      </w:r>
      <w:r>
        <w:rPr>
          <w:rFonts w:eastAsiaTheme="minorEastAsia" w:cs="Times New Roman"/>
          <w:noProof/>
          <w:szCs w:val="24"/>
          <w:lang w:eastAsia="en-GB"/>
        </w:rPr>
        <w:t>€</w:t>
      </w:r>
      <w:r w:rsidR="00C81BE8" w:rsidRPr="007C1494">
        <w:rPr>
          <w:rFonts w:eastAsiaTheme="minorEastAsia" w:cs="Times New Roman"/>
          <w:noProof/>
          <w:szCs w:val="24"/>
          <w:lang w:eastAsia="en-GB"/>
        </w:rPr>
        <w:t xml:space="preserve">1.2 million per </w:t>
      </w:r>
      <w:r w:rsidR="00CB1023" w:rsidRPr="007C1494">
        <w:rPr>
          <w:rFonts w:eastAsiaTheme="minorEastAsia" w:cs="Times New Roman"/>
          <w:noProof/>
          <w:szCs w:val="24"/>
          <w:lang w:eastAsia="en-GB"/>
        </w:rPr>
        <w:t>country</w:t>
      </w:r>
      <w:r w:rsidR="00E55DCA">
        <w:rPr>
          <w:rFonts w:eastAsiaTheme="minorEastAsia" w:cs="Times New Roman"/>
          <w:noProof/>
          <w:szCs w:val="24"/>
          <w:lang w:eastAsia="en-GB"/>
        </w:rPr>
        <w:t xml:space="preserve"> and commodity</w:t>
      </w:r>
      <w:r w:rsidR="00536EB3">
        <w:rPr>
          <w:rFonts w:eastAsiaTheme="minorEastAsia" w:cs="Times New Roman"/>
          <w:noProof/>
          <w:szCs w:val="24"/>
          <w:lang w:eastAsia="en-GB"/>
        </w:rPr>
        <w:t xml:space="preserve"> per year</w:t>
      </w:r>
      <w:r w:rsidR="00C81BE8" w:rsidRPr="007C1494">
        <w:rPr>
          <w:rFonts w:eastAsiaTheme="minorEastAsia" w:cs="Times New Roman"/>
          <w:noProof/>
          <w:szCs w:val="24"/>
          <w:lang w:eastAsia="en-GB"/>
        </w:rPr>
        <w:t>.</w:t>
      </w:r>
      <w:r w:rsidR="008F1C9E" w:rsidRPr="007C1494">
        <w:rPr>
          <w:rFonts w:eastAsiaTheme="minorEastAsia" w:cs="Times New Roman"/>
          <w:noProof/>
          <w:szCs w:val="24"/>
          <w:lang w:eastAsia="en-GB"/>
        </w:rPr>
        <w:t xml:space="preserve"> </w:t>
      </w:r>
      <w:r w:rsidR="00CB1023" w:rsidRPr="007C1494">
        <w:rPr>
          <w:rFonts w:eastAsiaTheme="minorEastAsia" w:cs="Times New Roman"/>
          <w:noProof/>
          <w:szCs w:val="24"/>
          <w:lang w:eastAsia="en-GB"/>
        </w:rPr>
        <w:t xml:space="preserve">The cost of setting up such a scheme </w:t>
      </w:r>
      <w:r w:rsidR="008F1C9E" w:rsidRPr="007C1494">
        <w:rPr>
          <w:rFonts w:eastAsiaTheme="minorEastAsia" w:cs="Times New Roman"/>
          <w:noProof/>
          <w:szCs w:val="24"/>
          <w:lang w:eastAsia="en-GB"/>
        </w:rPr>
        <w:t xml:space="preserve">will depend on the potential risk of commodities and products from a given </w:t>
      </w:r>
      <w:r w:rsidR="00CB1023" w:rsidRPr="007C1494">
        <w:rPr>
          <w:rFonts w:eastAsiaTheme="minorEastAsia" w:cs="Times New Roman"/>
          <w:noProof/>
          <w:szCs w:val="24"/>
          <w:lang w:eastAsia="en-GB"/>
        </w:rPr>
        <w:t>country</w:t>
      </w:r>
      <w:r w:rsidR="008F1C9E" w:rsidRPr="007C1494">
        <w:rPr>
          <w:rFonts w:eastAsiaTheme="minorEastAsia" w:cs="Times New Roman"/>
          <w:noProof/>
          <w:szCs w:val="24"/>
          <w:lang w:eastAsia="en-GB"/>
        </w:rPr>
        <w:t xml:space="preserve"> being associated with deforestation and forest degradation,</w:t>
      </w:r>
      <w:r w:rsidR="00CB1023" w:rsidRPr="007C1494">
        <w:rPr>
          <w:rFonts w:eastAsiaTheme="minorEastAsia" w:cs="Times New Roman"/>
          <w:noProof/>
          <w:szCs w:val="24"/>
          <w:lang w:eastAsia="en-GB"/>
        </w:rPr>
        <w:t xml:space="preserve"> the size and the complexity of the production structures in the country for that particular commodity, and administrative and socioeconomic characteristics</w:t>
      </w:r>
      <w:r w:rsidR="008F1C9E" w:rsidRPr="007C1494">
        <w:rPr>
          <w:rFonts w:eastAsiaTheme="minorEastAsia" w:cs="Times New Roman"/>
          <w:noProof/>
          <w:szCs w:val="24"/>
          <w:lang w:eastAsia="en-GB"/>
        </w:rPr>
        <w:t>.</w:t>
      </w:r>
      <w:r w:rsidR="00B507F8" w:rsidRPr="007C1494">
        <w:rPr>
          <w:rFonts w:eastAsiaTheme="minorEastAsia" w:cs="Times New Roman"/>
          <w:noProof/>
          <w:szCs w:val="24"/>
          <w:lang w:eastAsia="en-GB"/>
        </w:rPr>
        <w:t xml:space="preserve"> Costs for producing countries to implement the system would also be strongly dependent on the specific situation and context</w:t>
      </w:r>
      <w:r w:rsidR="00385CD7" w:rsidRPr="007C1494">
        <w:rPr>
          <w:rFonts w:eastAsiaTheme="minorEastAsia" w:cs="Times New Roman"/>
          <w:noProof/>
          <w:szCs w:val="24"/>
          <w:lang w:eastAsia="en-GB"/>
        </w:rPr>
        <w:t xml:space="preserve">. The following table provides some </w:t>
      </w:r>
      <w:r w:rsidR="00536EB3">
        <w:rPr>
          <w:rFonts w:eastAsiaTheme="minorEastAsia" w:cs="Times New Roman"/>
          <w:noProof/>
          <w:szCs w:val="24"/>
          <w:lang w:eastAsia="en-GB"/>
        </w:rPr>
        <w:t xml:space="preserve">situation specific </w:t>
      </w:r>
      <w:r w:rsidR="00385CD7" w:rsidRPr="007C1494">
        <w:rPr>
          <w:rFonts w:eastAsiaTheme="minorEastAsia" w:cs="Times New Roman"/>
          <w:noProof/>
          <w:szCs w:val="24"/>
          <w:lang w:eastAsia="en-GB"/>
        </w:rPr>
        <w:t xml:space="preserve">examples of costs reported in the literature linked to certification of </w:t>
      </w:r>
      <w:r w:rsidR="00536EB3">
        <w:rPr>
          <w:rFonts w:eastAsiaTheme="minorEastAsia" w:cs="Times New Roman"/>
          <w:noProof/>
          <w:szCs w:val="24"/>
          <w:lang w:eastAsia="en-GB"/>
        </w:rPr>
        <w:t>palm oil in different countries</w:t>
      </w:r>
      <w:r w:rsidR="00C81BE8" w:rsidRPr="007C1494">
        <w:rPr>
          <w:rFonts w:eastAsiaTheme="minorEastAsia" w:cs="Times New Roman"/>
          <w:noProof/>
          <w:szCs w:val="24"/>
          <w:lang w:eastAsia="en-GB"/>
        </w:rPr>
        <w:t xml:space="preserve">. </w:t>
      </w:r>
      <w:r w:rsidR="00342AD4" w:rsidRPr="007C1494">
        <w:rPr>
          <w:rFonts w:eastAsiaTheme="minorEastAsia" w:cs="Times New Roman"/>
          <w:noProof/>
          <w:szCs w:val="24"/>
          <w:lang w:eastAsia="en-GB"/>
        </w:rPr>
        <w:t xml:space="preserve">It should be noted however that this table is for </w:t>
      </w:r>
      <w:r w:rsidR="00536EB3">
        <w:rPr>
          <w:rFonts w:eastAsiaTheme="minorEastAsia" w:cs="Times New Roman"/>
          <w:noProof/>
          <w:szCs w:val="24"/>
          <w:lang w:eastAsia="en-GB"/>
        </w:rPr>
        <w:t xml:space="preserve">the </w:t>
      </w:r>
      <w:r w:rsidR="00342AD4" w:rsidRPr="007C1494">
        <w:rPr>
          <w:rFonts w:eastAsiaTheme="minorEastAsia" w:cs="Times New Roman"/>
          <w:noProof/>
          <w:szCs w:val="24"/>
          <w:lang w:eastAsia="en-GB"/>
        </w:rPr>
        <w:t xml:space="preserve">illustration of costs that are associated </w:t>
      </w:r>
      <w:r w:rsidR="00536EB3">
        <w:rPr>
          <w:rFonts w:eastAsiaTheme="minorEastAsia" w:cs="Times New Roman"/>
          <w:noProof/>
          <w:szCs w:val="24"/>
          <w:lang w:eastAsia="en-GB"/>
        </w:rPr>
        <w:t>with</w:t>
      </w:r>
      <w:r w:rsidR="00536EB3" w:rsidRPr="007C1494">
        <w:rPr>
          <w:rFonts w:eastAsiaTheme="minorEastAsia" w:cs="Times New Roman"/>
          <w:noProof/>
          <w:szCs w:val="24"/>
          <w:lang w:eastAsia="en-GB"/>
        </w:rPr>
        <w:t xml:space="preserve"> </w:t>
      </w:r>
      <w:r w:rsidR="00A16344" w:rsidRPr="007C1494">
        <w:rPr>
          <w:rFonts w:eastAsiaTheme="minorEastAsia" w:cs="Times New Roman"/>
          <w:noProof/>
          <w:szCs w:val="24"/>
          <w:lang w:eastAsia="en-GB"/>
        </w:rPr>
        <w:t xml:space="preserve">some </w:t>
      </w:r>
      <w:r w:rsidR="00342AD4" w:rsidRPr="007C1494">
        <w:rPr>
          <w:rFonts w:eastAsiaTheme="minorEastAsia" w:cs="Times New Roman"/>
          <w:noProof/>
          <w:szCs w:val="24"/>
          <w:lang w:eastAsia="en-GB"/>
        </w:rPr>
        <w:t>existing systems</w:t>
      </w:r>
      <w:r w:rsidR="00536EB3">
        <w:rPr>
          <w:rFonts w:eastAsiaTheme="minorEastAsia" w:cs="Times New Roman"/>
          <w:noProof/>
          <w:szCs w:val="24"/>
          <w:lang w:eastAsia="en-GB"/>
        </w:rPr>
        <w:t>; a</w:t>
      </w:r>
      <w:r w:rsidR="00342AD4" w:rsidRPr="007C1494">
        <w:rPr>
          <w:rFonts w:eastAsiaTheme="minorEastAsia" w:cs="Times New Roman"/>
          <w:noProof/>
          <w:szCs w:val="24"/>
          <w:lang w:eastAsia="en-GB"/>
        </w:rPr>
        <w:t xml:space="preserve"> system that would </w:t>
      </w:r>
      <w:r w:rsidR="00536EB3">
        <w:rPr>
          <w:rFonts w:eastAsiaTheme="minorEastAsia" w:cs="Times New Roman"/>
          <w:noProof/>
          <w:szCs w:val="24"/>
          <w:lang w:eastAsia="en-GB"/>
        </w:rPr>
        <w:t xml:space="preserve">adequately meet the criteria </w:t>
      </w:r>
      <w:r w:rsidR="005852A6" w:rsidRPr="007C1494">
        <w:rPr>
          <w:rFonts w:eastAsiaTheme="minorEastAsia" w:cs="Times New Roman"/>
          <w:noProof/>
          <w:szCs w:val="24"/>
          <w:lang w:eastAsia="en-GB"/>
        </w:rPr>
        <w:t>under O</w:t>
      </w:r>
      <w:r w:rsidR="00342AD4" w:rsidRPr="007C1494">
        <w:rPr>
          <w:rFonts w:eastAsiaTheme="minorEastAsia" w:cs="Times New Roman"/>
          <w:noProof/>
          <w:szCs w:val="24"/>
          <w:lang w:eastAsia="en-GB"/>
        </w:rPr>
        <w:t>ption 3 described above may generate different and additional costs.</w:t>
      </w:r>
    </w:p>
    <w:p w14:paraId="233C8C25" w14:textId="48474B2D" w:rsidR="00616BBB" w:rsidRPr="00E55DCA" w:rsidRDefault="005E6293" w:rsidP="00616BBB">
      <w:pPr>
        <w:keepNext/>
        <w:keepLines/>
        <w:tabs>
          <w:tab w:val="left" w:pos="1134"/>
        </w:tabs>
        <w:spacing w:before="360" w:after="160" w:line="240" w:lineRule="auto"/>
        <w:outlineLvl w:val="3"/>
        <w:rPr>
          <w:rFonts w:cs="Times New Roman"/>
          <w:noProof/>
          <w:sz w:val="22"/>
          <w:szCs w:val="24"/>
        </w:rPr>
      </w:pPr>
      <w:r>
        <w:rPr>
          <w:rFonts w:eastAsia="Times New Roman" w:cs="Times New Roman"/>
          <w:noProof/>
          <w:szCs w:val="24"/>
          <w:lang w:eastAsia="en-GB"/>
        </w:rPr>
        <w:t xml:space="preserve">Table </w:t>
      </w:r>
      <w:r w:rsidR="007B151C">
        <w:rPr>
          <w:rFonts w:eastAsia="Times New Roman" w:cs="Times New Roman"/>
          <w:noProof/>
          <w:szCs w:val="24"/>
          <w:lang w:eastAsia="en-GB"/>
        </w:rPr>
        <w:t>7</w:t>
      </w:r>
      <w:r w:rsidR="00616BBB" w:rsidRPr="00EA04FC">
        <w:rPr>
          <w:rFonts w:eastAsia="Times New Roman" w:cs="Times New Roman"/>
          <w:noProof/>
          <w:szCs w:val="24"/>
          <w:lang w:eastAsia="en-GB"/>
        </w:rPr>
        <w:t xml:space="preserve"> </w:t>
      </w:r>
      <w:r w:rsidR="002031DF">
        <w:rPr>
          <w:rFonts w:eastAsia="Times New Roman" w:cs="Times New Roman"/>
          <w:noProof/>
          <w:szCs w:val="24"/>
          <w:lang w:eastAsia="en-GB"/>
        </w:rPr>
        <w:t>Examples of c</w:t>
      </w:r>
      <w:r w:rsidR="00616BBB">
        <w:rPr>
          <w:rFonts w:eastAsia="Times New Roman" w:cs="Times New Roman"/>
          <w:noProof/>
          <w:szCs w:val="24"/>
          <w:lang w:eastAsia="en-GB"/>
        </w:rPr>
        <w:t>osts of setting up public certification systems</w:t>
      </w:r>
      <w:r w:rsidR="00616BBB" w:rsidRPr="00EA04FC">
        <w:rPr>
          <w:rFonts w:eastAsia="Times New Roman" w:cs="Times New Roman"/>
          <w:noProof/>
          <w:szCs w:val="24"/>
          <w:lang w:eastAsia="en-GB"/>
        </w:rPr>
        <w:t>.</w:t>
      </w:r>
      <w:r w:rsidR="00616BBB">
        <w:rPr>
          <w:rFonts w:eastAsia="Times New Roman" w:cs="Times New Roman"/>
          <w:noProof/>
          <w:szCs w:val="24"/>
          <w:lang w:eastAsia="en-GB"/>
        </w:rPr>
        <w:t xml:space="preserve"> </w:t>
      </w:r>
    </w:p>
    <w:tbl>
      <w:tblPr>
        <w:tblStyle w:val="WoodEISUKReportTable2"/>
        <w:tblW w:w="5000" w:type="pct"/>
        <w:tblLook w:val="04A0" w:firstRow="1" w:lastRow="0" w:firstColumn="1" w:lastColumn="0" w:noHBand="0" w:noVBand="1"/>
      </w:tblPr>
      <w:tblGrid>
        <w:gridCol w:w="2245"/>
        <w:gridCol w:w="2110"/>
        <w:gridCol w:w="2263"/>
        <w:gridCol w:w="2216"/>
      </w:tblGrid>
      <w:tr w:rsidR="00385CD7" w:rsidRPr="007C1494" w14:paraId="7655E412" w14:textId="77777777" w:rsidTr="00A16344">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71" w:type="pct"/>
          </w:tcPr>
          <w:p w14:paraId="7245C624" w14:textId="77777777" w:rsidR="00385CD7" w:rsidRPr="007C1494" w:rsidRDefault="00385CD7" w:rsidP="00385CD7">
            <w:pPr>
              <w:rPr>
                <w:rFonts w:ascii="Segoe UI" w:eastAsia="Calibri" w:hAnsi="Segoe UI" w:cs="Arial"/>
                <w:noProof/>
                <w:color w:val="000000"/>
                <w:sz w:val="16"/>
                <w:lang w:eastAsia="nl-NL"/>
              </w:rPr>
            </w:pPr>
            <w:r w:rsidRPr="007C1494">
              <w:rPr>
                <w:rFonts w:ascii="Segoe UI" w:eastAsia="Calibri" w:hAnsi="Segoe UI" w:cs="Arial"/>
                <w:noProof/>
                <w:color w:val="000000"/>
                <w:sz w:val="16"/>
                <w:lang w:eastAsia="nl-NL"/>
              </w:rPr>
              <w:t>Examples</w:t>
            </w:r>
          </w:p>
        </w:tc>
        <w:tc>
          <w:tcPr>
            <w:tcW w:w="1194" w:type="pct"/>
          </w:tcPr>
          <w:p w14:paraId="79CF3B00" w14:textId="77777777" w:rsidR="00385CD7" w:rsidRPr="007C1494" w:rsidRDefault="00385CD7" w:rsidP="00385CD7">
            <w:pPr>
              <w:cnfStyle w:val="100000000000" w:firstRow="1" w:lastRow="0" w:firstColumn="0" w:lastColumn="0" w:oddVBand="0" w:evenVBand="0" w:oddHBand="0" w:evenHBand="0" w:firstRowFirstColumn="0" w:firstRowLastColumn="0" w:lastRowFirstColumn="0" w:lastRowLastColumn="0"/>
              <w:rPr>
                <w:rFonts w:ascii="Segoe UI" w:eastAsia="Calibri" w:hAnsi="Segoe UI" w:cs="Arial"/>
                <w:noProof/>
                <w:color w:val="000000"/>
                <w:sz w:val="16"/>
                <w:lang w:eastAsia="nl-NL"/>
              </w:rPr>
            </w:pPr>
            <w:r w:rsidRPr="007C1494">
              <w:rPr>
                <w:rFonts w:ascii="Segoe UI" w:eastAsia="Calibri" w:hAnsi="Segoe UI" w:cs="Arial"/>
                <w:noProof/>
                <w:color w:val="000000"/>
                <w:sz w:val="16"/>
                <w:lang w:eastAsia="nl-NL"/>
              </w:rPr>
              <w:t>Cost borne by</w:t>
            </w:r>
          </w:p>
        </w:tc>
        <w:tc>
          <w:tcPr>
            <w:tcW w:w="1281" w:type="pct"/>
          </w:tcPr>
          <w:p w14:paraId="1E176CCF" w14:textId="77777777" w:rsidR="00385CD7" w:rsidRPr="007C1494" w:rsidRDefault="00385CD7" w:rsidP="00385CD7">
            <w:pPr>
              <w:cnfStyle w:val="100000000000" w:firstRow="1" w:lastRow="0" w:firstColumn="0" w:lastColumn="0" w:oddVBand="0" w:evenVBand="0" w:oddHBand="0" w:evenHBand="0" w:firstRowFirstColumn="0" w:firstRowLastColumn="0" w:lastRowFirstColumn="0" w:lastRowLastColumn="0"/>
              <w:rPr>
                <w:rFonts w:ascii="Segoe UI" w:eastAsia="Calibri" w:hAnsi="Segoe UI" w:cs="Arial"/>
                <w:noProof/>
                <w:color w:val="000000"/>
                <w:sz w:val="16"/>
                <w:lang w:eastAsia="nl-NL"/>
              </w:rPr>
            </w:pPr>
            <w:r w:rsidRPr="007C1494">
              <w:rPr>
                <w:rFonts w:ascii="Segoe UI" w:eastAsia="Calibri" w:hAnsi="Segoe UI" w:cs="Arial"/>
                <w:noProof/>
                <w:color w:val="000000"/>
                <w:sz w:val="16"/>
                <w:lang w:eastAsia="nl-NL"/>
              </w:rPr>
              <w:t>Elements included</w:t>
            </w:r>
          </w:p>
        </w:tc>
        <w:tc>
          <w:tcPr>
            <w:tcW w:w="1255" w:type="pct"/>
          </w:tcPr>
          <w:p w14:paraId="03B5F3C8" w14:textId="77777777" w:rsidR="00385CD7" w:rsidRPr="007C1494" w:rsidRDefault="00385CD7" w:rsidP="00385CD7">
            <w:pPr>
              <w:cnfStyle w:val="100000000000" w:firstRow="1" w:lastRow="0" w:firstColumn="0" w:lastColumn="0" w:oddVBand="0" w:evenVBand="0" w:oddHBand="0" w:evenHBand="0" w:firstRowFirstColumn="0" w:firstRowLastColumn="0" w:lastRowFirstColumn="0" w:lastRowLastColumn="0"/>
              <w:rPr>
                <w:rFonts w:ascii="Segoe UI" w:eastAsia="Calibri" w:hAnsi="Segoe UI" w:cs="Arial"/>
                <w:noProof/>
                <w:color w:val="000000"/>
                <w:sz w:val="16"/>
                <w:lang w:eastAsia="nl-NL"/>
              </w:rPr>
            </w:pPr>
            <w:r w:rsidRPr="007C1494">
              <w:rPr>
                <w:rFonts w:ascii="Segoe UI" w:eastAsia="Calibri" w:hAnsi="Segoe UI" w:cs="Arial"/>
                <w:noProof/>
                <w:color w:val="000000"/>
                <w:sz w:val="16"/>
                <w:lang w:eastAsia="nl-NL"/>
              </w:rPr>
              <w:t>Costs</w:t>
            </w:r>
          </w:p>
        </w:tc>
      </w:tr>
      <w:tr w:rsidR="00385CD7" w:rsidRPr="007C1494" w14:paraId="1798CB7E" w14:textId="77777777" w:rsidTr="00A16344">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271" w:type="pct"/>
          </w:tcPr>
          <w:p w14:paraId="581B6B04" w14:textId="77777777" w:rsidR="00385CD7" w:rsidRPr="007C1494" w:rsidRDefault="00385CD7" w:rsidP="00385CD7">
            <w:pPr>
              <w:rPr>
                <w:rFonts w:ascii="Segoe UI" w:eastAsia="Calibri" w:hAnsi="Segoe UI" w:cs="Arial"/>
                <w:noProof/>
                <w:color w:val="000000"/>
                <w:sz w:val="16"/>
                <w:lang w:eastAsia="nl-NL"/>
              </w:rPr>
            </w:pPr>
            <w:r w:rsidRPr="007C1494">
              <w:rPr>
                <w:rFonts w:ascii="Segoe UI" w:eastAsia="Calibri" w:hAnsi="Segoe UI" w:cs="Arial"/>
                <w:noProof/>
                <w:color w:val="000000"/>
                <w:sz w:val="16"/>
              </w:rPr>
              <w:t>Malaysian Sustainable Palm Oil standard (MSPO) – mandatory public</w:t>
            </w:r>
            <w:r w:rsidRPr="007C1494">
              <w:rPr>
                <w:rFonts w:ascii="Segoe UI" w:eastAsia="Calibri" w:hAnsi="Segoe UI" w:cs="Arial"/>
                <w:noProof/>
                <w:color w:val="000000"/>
                <w:sz w:val="16"/>
                <w:vertAlign w:val="superscript"/>
              </w:rPr>
              <w:footnoteReference w:id="206"/>
            </w:r>
          </w:p>
        </w:tc>
        <w:tc>
          <w:tcPr>
            <w:tcW w:w="1194" w:type="pct"/>
          </w:tcPr>
          <w:p w14:paraId="2EE5689F" w14:textId="77777777" w:rsidR="00385CD7" w:rsidRPr="007C1494" w:rsidRDefault="00385CD7" w:rsidP="00385CD7">
            <w:pPr>
              <w:cnfStyle w:val="000000100000" w:firstRow="0" w:lastRow="0" w:firstColumn="0" w:lastColumn="0" w:oddVBand="0" w:evenVBand="0" w:oddHBand="1" w:evenHBand="0" w:firstRowFirstColumn="0" w:firstRowLastColumn="0" w:lastRowFirstColumn="0" w:lastRowLastColumn="0"/>
              <w:rPr>
                <w:rFonts w:ascii="Segoe UI" w:eastAsia="Calibri" w:hAnsi="Segoe UI" w:cs="Arial"/>
                <w:noProof/>
                <w:color w:val="000000"/>
                <w:sz w:val="16"/>
                <w:lang w:eastAsia="nl-NL"/>
              </w:rPr>
            </w:pPr>
            <w:r w:rsidRPr="007C1494">
              <w:rPr>
                <w:rFonts w:ascii="Segoe UI" w:eastAsia="Calibri" w:hAnsi="Segoe UI" w:cs="Arial"/>
                <w:noProof/>
                <w:color w:val="000000"/>
                <w:sz w:val="16"/>
                <w:lang w:eastAsia="nl-NL"/>
              </w:rPr>
              <w:t>Producer</w:t>
            </w:r>
          </w:p>
        </w:tc>
        <w:tc>
          <w:tcPr>
            <w:tcW w:w="1281" w:type="pct"/>
          </w:tcPr>
          <w:p w14:paraId="31EB7261" w14:textId="77777777" w:rsidR="00385CD7" w:rsidRPr="007C1494" w:rsidRDefault="00385CD7" w:rsidP="00385CD7">
            <w:pPr>
              <w:cnfStyle w:val="000000100000" w:firstRow="0" w:lastRow="0" w:firstColumn="0" w:lastColumn="0" w:oddVBand="0" w:evenVBand="0" w:oddHBand="1" w:evenHBand="0" w:firstRowFirstColumn="0" w:firstRowLastColumn="0" w:lastRowFirstColumn="0" w:lastRowLastColumn="0"/>
              <w:rPr>
                <w:rFonts w:ascii="Segoe UI" w:eastAsia="Calibri" w:hAnsi="Segoe UI" w:cs="Arial"/>
                <w:noProof/>
                <w:color w:val="000000"/>
                <w:sz w:val="16"/>
                <w:lang w:eastAsia="nl-NL"/>
              </w:rPr>
            </w:pPr>
            <w:r w:rsidRPr="007C1494">
              <w:rPr>
                <w:rFonts w:ascii="Segoe UI" w:eastAsia="Calibri" w:hAnsi="Segoe UI" w:cs="Arial"/>
                <w:noProof/>
                <w:color w:val="000000"/>
                <w:sz w:val="16"/>
                <w:lang w:eastAsia="nl-NL"/>
              </w:rPr>
              <w:t xml:space="preserve">Support for smallholders farmers in gaining certification </w:t>
            </w:r>
          </w:p>
        </w:tc>
        <w:tc>
          <w:tcPr>
            <w:tcW w:w="1255" w:type="pct"/>
          </w:tcPr>
          <w:p w14:paraId="308FCC2E" w14:textId="77777777" w:rsidR="00385CD7" w:rsidRPr="007C1494" w:rsidRDefault="00385CD7" w:rsidP="00385CD7">
            <w:pPr>
              <w:cnfStyle w:val="000000100000" w:firstRow="0" w:lastRow="0" w:firstColumn="0" w:lastColumn="0" w:oddVBand="0" w:evenVBand="0" w:oddHBand="1" w:evenHBand="0" w:firstRowFirstColumn="0" w:firstRowLastColumn="0" w:lastRowFirstColumn="0" w:lastRowLastColumn="0"/>
              <w:rPr>
                <w:rFonts w:ascii="Segoe UI" w:eastAsia="Calibri" w:hAnsi="Segoe UI" w:cs="Arial"/>
                <w:noProof/>
                <w:color w:val="000000"/>
                <w:sz w:val="16"/>
                <w:lang w:eastAsia="nl-NL"/>
              </w:rPr>
            </w:pPr>
            <w:r w:rsidRPr="007C1494">
              <w:rPr>
                <w:rFonts w:ascii="Segoe UI" w:eastAsia="Calibri" w:hAnsi="Segoe UI" w:cs="Arial"/>
                <w:noProof/>
                <w:color w:val="000000"/>
                <w:sz w:val="16"/>
              </w:rPr>
              <w:t>US$13 million has been allocated to Malaysia’s smallholders</w:t>
            </w:r>
          </w:p>
        </w:tc>
      </w:tr>
      <w:tr w:rsidR="00385CD7" w:rsidRPr="005D6D16" w14:paraId="4FB20210" w14:textId="77777777" w:rsidTr="00A16344">
        <w:trPr>
          <w:cnfStyle w:val="000000010000" w:firstRow="0" w:lastRow="0" w:firstColumn="0" w:lastColumn="0" w:oddVBand="0" w:evenVBand="0" w:oddHBand="0" w:evenHBand="1" w:firstRowFirstColumn="0" w:firstRowLastColumn="0" w:lastRowFirstColumn="0" w:lastRowLastColumn="0"/>
          <w:trHeight w:val="1406"/>
        </w:trPr>
        <w:tc>
          <w:tcPr>
            <w:cnfStyle w:val="001000000000" w:firstRow="0" w:lastRow="0" w:firstColumn="1" w:lastColumn="0" w:oddVBand="0" w:evenVBand="0" w:oddHBand="0" w:evenHBand="0" w:firstRowFirstColumn="0" w:firstRowLastColumn="0" w:lastRowFirstColumn="0" w:lastRowLastColumn="0"/>
            <w:tcW w:w="1271" w:type="pct"/>
          </w:tcPr>
          <w:p w14:paraId="5BC35EE3" w14:textId="77777777" w:rsidR="00385CD7" w:rsidRPr="007C1494" w:rsidRDefault="00385CD7" w:rsidP="00385CD7">
            <w:pPr>
              <w:rPr>
                <w:rFonts w:ascii="Segoe UI" w:eastAsia="Calibri" w:hAnsi="Segoe UI" w:cs="Arial"/>
                <w:noProof/>
                <w:color w:val="000000"/>
                <w:sz w:val="16"/>
                <w:lang w:eastAsia="nl-NL"/>
              </w:rPr>
            </w:pPr>
            <w:r w:rsidRPr="007C1494">
              <w:rPr>
                <w:rFonts w:ascii="Segoe UI" w:eastAsia="Calibri" w:hAnsi="Segoe UI" w:cs="Arial"/>
                <w:noProof/>
                <w:color w:val="000000"/>
                <w:sz w:val="16"/>
              </w:rPr>
              <w:t>Indonesian Sustainable Palm Oil (ISPO) scheme – mandatory public</w:t>
            </w:r>
            <w:r w:rsidRPr="007C1494">
              <w:rPr>
                <w:rFonts w:ascii="Segoe UI" w:eastAsia="Calibri" w:hAnsi="Segoe UI" w:cs="Arial"/>
                <w:noProof/>
                <w:color w:val="000000"/>
                <w:sz w:val="16"/>
                <w:vertAlign w:val="superscript"/>
              </w:rPr>
              <w:footnoteReference w:id="207"/>
            </w:r>
          </w:p>
        </w:tc>
        <w:tc>
          <w:tcPr>
            <w:tcW w:w="1194" w:type="pct"/>
          </w:tcPr>
          <w:p w14:paraId="711C1A8E" w14:textId="77777777" w:rsidR="00385CD7" w:rsidRPr="007C1494" w:rsidRDefault="00385CD7" w:rsidP="00385CD7">
            <w:pPr>
              <w:cnfStyle w:val="000000010000" w:firstRow="0" w:lastRow="0" w:firstColumn="0" w:lastColumn="0" w:oddVBand="0" w:evenVBand="0" w:oddHBand="0" w:evenHBand="1" w:firstRowFirstColumn="0" w:firstRowLastColumn="0" w:lastRowFirstColumn="0" w:lastRowLastColumn="0"/>
              <w:rPr>
                <w:rFonts w:ascii="Segoe UI" w:eastAsia="Calibri" w:hAnsi="Segoe UI" w:cs="Arial"/>
                <w:noProof/>
                <w:color w:val="000000"/>
                <w:sz w:val="16"/>
              </w:rPr>
            </w:pPr>
            <w:r w:rsidRPr="007C1494">
              <w:rPr>
                <w:rFonts w:ascii="Segoe UI" w:eastAsia="Calibri" w:hAnsi="Segoe UI" w:cs="Arial"/>
                <w:noProof/>
                <w:color w:val="000000"/>
                <w:sz w:val="16"/>
              </w:rPr>
              <w:t>Producer</w:t>
            </w:r>
          </w:p>
        </w:tc>
        <w:tc>
          <w:tcPr>
            <w:tcW w:w="1281" w:type="pct"/>
          </w:tcPr>
          <w:p w14:paraId="5E33AF99" w14:textId="77777777" w:rsidR="00385CD7" w:rsidRPr="007C1494" w:rsidRDefault="00385CD7" w:rsidP="00385CD7">
            <w:pPr>
              <w:cnfStyle w:val="000000010000" w:firstRow="0" w:lastRow="0" w:firstColumn="0" w:lastColumn="0" w:oddVBand="0" w:evenVBand="0" w:oddHBand="0" w:evenHBand="1" w:firstRowFirstColumn="0" w:firstRowLastColumn="0" w:lastRowFirstColumn="0" w:lastRowLastColumn="0"/>
              <w:rPr>
                <w:rFonts w:ascii="Segoe UI" w:eastAsia="Calibri" w:hAnsi="Segoe UI" w:cs="Arial"/>
                <w:noProof/>
                <w:color w:val="000000"/>
                <w:sz w:val="16"/>
              </w:rPr>
            </w:pPr>
            <w:r w:rsidRPr="007C1494">
              <w:rPr>
                <w:rFonts w:ascii="Segoe UI" w:eastAsia="Calibri" w:hAnsi="Segoe UI" w:cs="Arial"/>
                <w:noProof/>
                <w:color w:val="000000"/>
                <w:sz w:val="16"/>
              </w:rPr>
              <w:t>Other costs identified include:</w:t>
            </w:r>
          </w:p>
          <w:p w14:paraId="7FE45DB7" w14:textId="77777777" w:rsidR="00385CD7" w:rsidRPr="007C1494" w:rsidRDefault="00385CD7" w:rsidP="00385CD7">
            <w:pPr>
              <w:cnfStyle w:val="000000010000" w:firstRow="0" w:lastRow="0" w:firstColumn="0" w:lastColumn="0" w:oddVBand="0" w:evenVBand="0" w:oddHBand="0" w:evenHBand="1" w:firstRowFirstColumn="0" w:firstRowLastColumn="0" w:lastRowFirstColumn="0" w:lastRowLastColumn="0"/>
              <w:rPr>
                <w:rFonts w:ascii="Segoe UI" w:eastAsia="Calibri" w:hAnsi="Segoe UI" w:cs="Arial"/>
                <w:noProof/>
                <w:color w:val="000000"/>
                <w:sz w:val="16"/>
              </w:rPr>
            </w:pPr>
            <w:r w:rsidRPr="007C1494">
              <w:rPr>
                <w:rFonts w:ascii="Segoe UI" w:eastAsia="Calibri" w:hAnsi="Segoe UI" w:cs="Arial"/>
                <w:noProof/>
                <w:color w:val="000000"/>
                <w:sz w:val="16"/>
              </w:rPr>
              <w:t xml:space="preserve">Initial costs of certification IDR </w:t>
            </w:r>
          </w:p>
          <w:p w14:paraId="76EC2D36" w14:textId="77777777" w:rsidR="00385CD7" w:rsidRPr="007C1494" w:rsidRDefault="00385CD7" w:rsidP="00385CD7">
            <w:pPr>
              <w:cnfStyle w:val="000000010000" w:firstRow="0" w:lastRow="0" w:firstColumn="0" w:lastColumn="0" w:oddVBand="0" w:evenVBand="0" w:oddHBand="0" w:evenHBand="1" w:firstRowFirstColumn="0" w:firstRowLastColumn="0" w:lastRowFirstColumn="0" w:lastRowLastColumn="0"/>
              <w:rPr>
                <w:rFonts w:ascii="Segoe UI" w:eastAsia="Calibri" w:hAnsi="Segoe UI" w:cs="Arial"/>
                <w:noProof/>
                <w:color w:val="000000"/>
                <w:sz w:val="16"/>
              </w:rPr>
            </w:pPr>
            <w:r w:rsidRPr="007C1494">
              <w:rPr>
                <w:rFonts w:ascii="Segoe UI" w:eastAsia="Calibri" w:hAnsi="Segoe UI" w:cs="Arial"/>
                <w:noProof/>
                <w:color w:val="000000"/>
                <w:sz w:val="16"/>
              </w:rPr>
              <w:t xml:space="preserve">Corrective costs (in Year 2) </w:t>
            </w:r>
          </w:p>
          <w:p w14:paraId="5D8F7B02" w14:textId="77777777" w:rsidR="00385CD7" w:rsidRPr="007C1494" w:rsidRDefault="00385CD7" w:rsidP="00385CD7">
            <w:pPr>
              <w:cnfStyle w:val="000000010000" w:firstRow="0" w:lastRow="0" w:firstColumn="0" w:lastColumn="0" w:oddVBand="0" w:evenVBand="0" w:oddHBand="0" w:evenHBand="1" w:firstRowFirstColumn="0" w:firstRowLastColumn="0" w:lastRowFirstColumn="0" w:lastRowLastColumn="0"/>
              <w:rPr>
                <w:rFonts w:ascii="Segoe UI" w:eastAsia="Calibri" w:hAnsi="Segoe UI" w:cs="Arial"/>
                <w:noProof/>
                <w:color w:val="000000"/>
                <w:sz w:val="16"/>
                <w:lang w:eastAsia="nl-NL"/>
              </w:rPr>
            </w:pPr>
            <w:r w:rsidRPr="007C1494">
              <w:rPr>
                <w:rFonts w:ascii="Segoe UI" w:eastAsia="Calibri" w:hAnsi="Segoe UI" w:cs="Arial"/>
                <w:noProof/>
                <w:color w:val="000000"/>
                <w:sz w:val="16"/>
              </w:rPr>
              <w:t xml:space="preserve">Maintenance and monitoring costs </w:t>
            </w:r>
          </w:p>
        </w:tc>
        <w:tc>
          <w:tcPr>
            <w:tcW w:w="1255" w:type="pct"/>
          </w:tcPr>
          <w:p w14:paraId="646EE872" w14:textId="77777777" w:rsidR="00385CD7" w:rsidRPr="00A34516" w:rsidRDefault="00385CD7" w:rsidP="00385CD7">
            <w:pPr>
              <w:cnfStyle w:val="000000010000" w:firstRow="0" w:lastRow="0" w:firstColumn="0" w:lastColumn="0" w:oddVBand="0" w:evenVBand="0" w:oddHBand="0" w:evenHBand="1" w:firstRowFirstColumn="0" w:firstRowLastColumn="0" w:lastRowFirstColumn="0" w:lastRowLastColumn="0"/>
              <w:rPr>
                <w:rFonts w:ascii="Segoe UI" w:eastAsia="Calibri" w:hAnsi="Segoe UI" w:cs="Arial"/>
                <w:noProof/>
                <w:color w:val="000000"/>
                <w:sz w:val="16"/>
                <w:lang w:val="sv-SE"/>
              </w:rPr>
            </w:pPr>
            <w:r w:rsidRPr="00A34516">
              <w:rPr>
                <w:rFonts w:ascii="Segoe UI" w:eastAsia="Calibri" w:hAnsi="Segoe UI" w:cs="Arial"/>
                <w:noProof/>
                <w:color w:val="000000"/>
                <w:sz w:val="16"/>
                <w:lang w:val="sv-SE"/>
              </w:rPr>
              <w:t>35,000/ha (EUR 2/ha)</w:t>
            </w:r>
          </w:p>
          <w:p w14:paraId="0DD84CC3" w14:textId="77777777" w:rsidR="00385CD7" w:rsidRPr="00A34516" w:rsidRDefault="00385CD7" w:rsidP="00385CD7">
            <w:pPr>
              <w:cnfStyle w:val="000000010000" w:firstRow="0" w:lastRow="0" w:firstColumn="0" w:lastColumn="0" w:oddVBand="0" w:evenVBand="0" w:oddHBand="0" w:evenHBand="1" w:firstRowFirstColumn="0" w:firstRowLastColumn="0" w:lastRowFirstColumn="0" w:lastRowLastColumn="0"/>
              <w:rPr>
                <w:rFonts w:ascii="Segoe UI" w:eastAsia="Calibri" w:hAnsi="Segoe UI" w:cs="Arial"/>
                <w:noProof/>
                <w:color w:val="000000"/>
                <w:sz w:val="16"/>
                <w:lang w:val="sv-SE"/>
              </w:rPr>
            </w:pPr>
            <w:r w:rsidRPr="00A34516">
              <w:rPr>
                <w:rFonts w:ascii="Segoe UI" w:eastAsia="Calibri" w:hAnsi="Segoe UI" w:cs="Arial"/>
                <w:noProof/>
                <w:color w:val="000000"/>
                <w:sz w:val="16"/>
                <w:lang w:val="sv-SE"/>
              </w:rPr>
              <w:t>IDR 400,000/ha (EUR 23.5/ha)</w:t>
            </w:r>
          </w:p>
          <w:p w14:paraId="3E05852B" w14:textId="77777777" w:rsidR="00385CD7" w:rsidRPr="00A34516" w:rsidRDefault="00385CD7" w:rsidP="00385CD7">
            <w:pPr>
              <w:cnfStyle w:val="000000010000" w:firstRow="0" w:lastRow="0" w:firstColumn="0" w:lastColumn="0" w:oddVBand="0" w:evenVBand="0" w:oddHBand="0" w:evenHBand="1" w:firstRowFirstColumn="0" w:firstRowLastColumn="0" w:lastRowFirstColumn="0" w:lastRowLastColumn="0"/>
              <w:rPr>
                <w:rFonts w:ascii="Segoe UI" w:eastAsia="Calibri" w:hAnsi="Segoe UI" w:cs="Arial"/>
                <w:noProof/>
                <w:color w:val="000000"/>
                <w:sz w:val="16"/>
                <w:lang w:val="sv-SE"/>
              </w:rPr>
            </w:pPr>
            <w:r w:rsidRPr="00A34516">
              <w:rPr>
                <w:rFonts w:ascii="Segoe UI" w:eastAsia="Calibri" w:hAnsi="Segoe UI" w:cs="Arial"/>
                <w:noProof/>
                <w:color w:val="000000"/>
                <w:sz w:val="16"/>
                <w:lang w:val="sv-SE"/>
              </w:rPr>
              <w:t>IDR 130,000/ha (EUR 7.65/ha)</w:t>
            </w:r>
          </w:p>
          <w:p w14:paraId="74D2A287" w14:textId="77777777" w:rsidR="00385CD7" w:rsidRPr="00A34516" w:rsidRDefault="00385CD7" w:rsidP="00385CD7">
            <w:pPr>
              <w:cnfStyle w:val="000000010000" w:firstRow="0" w:lastRow="0" w:firstColumn="0" w:lastColumn="0" w:oddVBand="0" w:evenVBand="0" w:oddHBand="0" w:evenHBand="1" w:firstRowFirstColumn="0" w:firstRowLastColumn="0" w:lastRowFirstColumn="0" w:lastRowLastColumn="0"/>
              <w:rPr>
                <w:rFonts w:ascii="Segoe UI" w:eastAsia="Calibri" w:hAnsi="Segoe UI" w:cs="Arial"/>
                <w:noProof/>
                <w:color w:val="000000"/>
                <w:sz w:val="16"/>
                <w:lang w:val="sv-SE" w:eastAsia="nl-NL"/>
              </w:rPr>
            </w:pPr>
          </w:p>
        </w:tc>
      </w:tr>
    </w:tbl>
    <w:p w14:paraId="235B7D5D" w14:textId="2F293ACE" w:rsidR="00385CD7" w:rsidRDefault="00385CD7">
      <w:pPr>
        <w:jc w:val="both"/>
        <w:rPr>
          <w:rFonts w:eastAsiaTheme="minorEastAsia" w:cs="Times New Roman"/>
          <w:noProof/>
          <w:szCs w:val="24"/>
          <w:lang w:val="sv-SE" w:eastAsia="en-GB"/>
        </w:rPr>
      </w:pPr>
    </w:p>
    <w:p w14:paraId="6D368340" w14:textId="6E063008" w:rsidR="009D4FEA" w:rsidRPr="000F1D5D" w:rsidRDefault="009D4FEA" w:rsidP="009D4FEA">
      <w:pPr>
        <w:jc w:val="both"/>
        <w:rPr>
          <w:rFonts w:eastAsiaTheme="minorEastAsia" w:cs="Times New Roman"/>
          <w:noProof/>
          <w:szCs w:val="24"/>
          <w:lang w:val="en-US" w:eastAsia="en-GB"/>
        </w:rPr>
      </w:pPr>
      <w:r w:rsidRPr="000F1D5D">
        <w:rPr>
          <w:rFonts w:eastAsiaTheme="minorEastAsia" w:cs="Times New Roman"/>
          <w:noProof/>
          <w:szCs w:val="24"/>
          <w:lang w:val="en-US" w:eastAsia="en-GB"/>
        </w:rPr>
        <w:t xml:space="preserve">Producer countries most likely to develop a public certification system </w:t>
      </w:r>
      <w:r w:rsidR="00CE6DE1">
        <w:rPr>
          <w:rFonts w:eastAsiaTheme="minorEastAsia" w:cs="Times New Roman"/>
          <w:noProof/>
          <w:szCs w:val="24"/>
          <w:lang w:val="en-US" w:eastAsia="en-GB"/>
        </w:rPr>
        <w:t>could</w:t>
      </w:r>
      <w:r w:rsidRPr="000F1D5D">
        <w:rPr>
          <w:rFonts w:eastAsiaTheme="minorEastAsia" w:cs="Times New Roman"/>
          <w:noProof/>
          <w:szCs w:val="24"/>
          <w:lang w:val="en-US" w:eastAsia="en-GB"/>
        </w:rPr>
        <w:t xml:space="preserve"> include those where EU trade is particularly important to the economy, and where the nature of supply chains and conditions within the country are conducive to setting up such a scheme. For example, the palm oil industry is important for Indonesia and a high proportion of trade is already covered by certification schemes, including the Indonesian Sustainable Palm Oil standard (Annex 6). Indonesia’s experience in developing a FLEGT </w:t>
      </w:r>
      <w:r w:rsidR="00DD6B69" w:rsidRPr="000F1D5D">
        <w:rPr>
          <w:rFonts w:eastAsiaTheme="minorEastAsia" w:cs="Times New Roman"/>
          <w:noProof/>
          <w:szCs w:val="24"/>
          <w:lang w:val="en-US" w:eastAsia="en-GB"/>
        </w:rPr>
        <w:t>licensing</w:t>
      </w:r>
      <w:r w:rsidRPr="000F1D5D">
        <w:rPr>
          <w:rFonts w:eastAsiaTheme="minorEastAsia" w:cs="Times New Roman"/>
          <w:noProof/>
          <w:szCs w:val="24"/>
          <w:lang w:val="en-US" w:eastAsia="en-GB"/>
        </w:rPr>
        <w:t xml:space="preserve"> scheme</w:t>
      </w:r>
      <w:r w:rsidR="00CE6DE1">
        <w:rPr>
          <w:rFonts w:eastAsiaTheme="minorEastAsia" w:cs="Times New Roman"/>
          <w:noProof/>
          <w:szCs w:val="24"/>
          <w:lang w:val="en-US" w:eastAsia="en-GB"/>
        </w:rPr>
        <w:t xml:space="preserve"> could also facilitate the setting up of a </w:t>
      </w:r>
      <w:r w:rsidRPr="000F1D5D">
        <w:rPr>
          <w:rFonts w:eastAsiaTheme="minorEastAsia" w:cs="Times New Roman"/>
          <w:noProof/>
          <w:szCs w:val="24"/>
          <w:lang w:val="en-US" w:eastAsia="en-GB"/>
        </w:rPr>
        <w:t xml:space="preserve">mandatory public certification for palm oil. </w:t>
      </w:r>
    </w:p>
    <w:p w14:paraId="5F5631BF" w14:textId="6FF92973" w:rsidR="009D4FEA" w:rsidRPr="000F1D5D" w:rsidRDefault="009D4FEA" w:rsidP="009D4FEA">
      <w:pPr>
        <w:jc w:val="both"/>
        <w:rPr>
          <w:rFonts w:eastAsiaTheme="minorEastAsia" w:cs="Times New Roman"/>
          <w:noProof/>
          <w:lang w:val="en-US" w:eastAsia="en-GB"/>
        </w:rPr>
      </w:pPr>
      <w:r w:rsidRPr="000F1D5D">
        <w:rPr>
          <w:rFonts w:eastAsiaTheme="minorEastAsia" w:cs="Times New Roman"/>
          <w:noProof/>
          <w:lang w:val="en-US" w:eastAsia="en-GB"/>
        </w:rPr>
        <w:t xml:space="preserve">Costs to producer countries would also include the costs to individual producers in reaching and maintaining certification. </w:t>
      </w:r>
    </w:p>
    <w:p w14:paraId="08BF6433" w14:textId="77777777" w:rsidR="009D4FEA" w:rsidRPr="000F1D5D" w:rsidRDefault="009D4FEA" w:rsidP="009D4FEA">
      <w:pPr>
        <w:jc w:val="both"/>
        <w:rPr>
          <w:rFonts w:eastAsiaTheme="minorEastAsia" w:cs="Times New Roman"/>
          <w:noProof/>
          <w:lang w:val="en-US" w:eastAsia="en-GB"/>
        </w:rPr>
      </w:pPr>
      <w:r w:rsidRPr="000F1D5D">
        <w:rPr>
          <w:rFonts w:eastAsiaTheme="minorEastAsia" w:cs="Times New Roman"/>
          <w:noProof/>
          <w:lang w:val="en-US" w:eastAsia="en-GB"/>
        </w:rPr>
        <w:t>Producer countries choosing to develop mandatory public certification schemes would also be taking an economic risk, with considerable outlay in developing a scheme which may not attain recognition from the EU.</w:t>
      </w:r>
    </w:p>
    <w:p w14:paraId="5BC1B3E5" w14:textId="77777777" w:rsidR="009D4FEA" w:rsidRPr="00841C68" w:rsidRDefault="009D4FEA">
      <w:pPr>
        <w:jc w:val="both"/>
        <w:rPr>
          <w:rFonts w:eastAsiaTheme="minorEastAsia" w:cs="Times New Roman"/>
          <w:noProof/>
          <w:szCs w:val="24"/>
          <w:lang w:val="en-US" w:eastAsia="en-GB"/>
        </w:rPr>
      </w:pPr>
    </w:p>
    <w:p w14:paraId="7BFDEE82" w14:textId="16DFB732" w:rsidR="00C73308" w:rsidRPr="007C1494" w:rsidRDefault="00335526" w:rsidP="00335526">
      <w:pPr>
        <w:pStyle w:val="Heading2"/>
        <w:rPr>
          <w:noProof/>
        </w:rPr>
      </w:pPr>
      <w:bookmarkStart w:id="195" w:name="_Toc75542202"/>
      <w:bookmarkStart w:id="196" w:name="_Toc75543235"/>
      <w:bookmarkStart w:id="197" w:name="_Toc84591924"/>
      <w:r w:rsidRPr="00335526">
        <w:t>6.5</w:t>
      </w:r>
      <w:r w:rsidRPr="00335526">
        <w:tab/>
      </w:r>
      <w:r w:rsidR="00C73308" w:rsidRPr="007C1494">
        <w:rPr>
          <w:noProof/>
        </w:rPr>
        <w:t xml:space="preserve">Policy option 4 – </w:t>
      </w:r>
      <w:bookmarkEnd w:id="194"/>
      <w:r w:rsidR="000475BA" w:rsidRPr="007C1494">
        <w:rPr>
          <w:noProof/>
        </w:rPr>
        <w:t>Mandatory labelling combined with an improved due diligence requirement, relying on a deforestation free definition</w:t>
      </w:r>
      <w:bookmarkEnd w:id="195"/>
      <w:bookmarkEnd w:id="196"/>
      <w:bookmarkEnd w:id="197"/>
    </w:p>
    <w:p w14:paraId="7C76A57E" w14:textId="4415A170" w:rsidR="00EA09D9" w:rsidRPr="007C1494" w:rsidRDefault="00EA09D9">
      <w:pPr>
        <w:jc w:val="both"/>
        <w:rPr>
          <w:rFonts w:eastAsiaTheme="minorEastAsia" w:cs="Times New Roman"/>
          <w:b/>
          <w:noProof/>
          <w:szCs w:val="24"/>
          <w:lang w:eastAsia="en-GB"/>
        </w:rPr>
      </w:pPr>
      <w:bookmarkStart w:id="198" w:name="_Toc67075007"/>
      <w:r w:rsidRPr="007C1494">
        <w:rPr>
          <w:rFonts w:eastAsiaTheme="minorEastAsia" w:cs="Times New Roman"/>
          <w:b/>
          <w:noProof/>
          <w:szCs w:val="24"/>
          <w:lang w:eastAsia="en-GB"/>
        </w:rPr>
        <w:t>Benefits</w:t>
      </w:r>
    </w:p>
    <w:p w14:paraId="3ACEE171" w14:textId="2655AA5F" w:rsidR="002031DF" w:rsidRDefault="00E130FE" w:rsidP="002031DF">
      <w:pPr>
        <w:jc w:val="both"/>
        <w:rPr>
          <w:rFonts w:cs="Times New Roman"/>
          <w:noProof/>
          <w:szCs w:val="24"/>
        </w:rPr>
      </w:pPr>
      <w:r w:rsidRPr="007C1494">
        <w:rPr>
          <w:rFonts w:cs="Times New Roman"/>
          <w:noProof/>
          <w:szCs w:val="24"/>
        </w:rPr>
        <w:t xml:space="preserve">Option </w:t>
      </w:r>
      <w:r>
        <w:rPr>
          <w:rFonts w:cs="Times New Roman"/>
          <w:noProof/>
          <w:szCs w:val="24"/>
        </w:rPr>
        <w:t>4</w:t>
      </w:r>
      <w:r w:rsidRPr="007C1494">
        <w:rPr>
          <w:rFonts w:cs="Times New Roman"/>
          <w:noProof/>
          <w:szCs w:val="24"/>
        </w:rPr>
        <w:t xml:space="preserve"> </w:t>
      </w:r>
      <w:r>
        <w:rPr>
          <w:rFonts w:cs="Times New Roman"/>
          <w:noProof/>
          <w:szCs w:val="24"/>
        </w:rPr>
        <w:t xml:space="preserve">falls within the same range of expected benefits of option 1 and it is expected to bring the same effectiveness. Therefore, option 4 is forecast to provide benefits at low-middle end above the minimum described in section </w:t>
      </w:r>
      <w:r w:rsidR="00E6787F">
        <w:rPr>
          <w:rFonts w:cs="Times New Roman"/>
          <w:noProof/>
          <w:szCs w:val="24"/>
        </w:rPr>
        <w:t>6.1.1 that</w:t>
      </w:r>
      <w:r>
        <w:rPr>
          <w:rFonts w:cs="Times New Roman"/>
          <w:noProof/>
          <w:szCs w:val="24"/>
        </w:rPr>
        <w:t xml:space="preserve"> is at least 29% of deforestation driven by consumption and production of the six commodities included in the scope by 2030, and therefore a minimum of 71,920 hectares of forest less affected by EU-driven deforestation and forest degradation </w:t>
      </w:r>
      <w:r w:rsidRPr="007C1494">
        <w:rPr>
          <w:rFonts w:cs="Times New Roman"/>
          <w:noProof/>
          <w:szCs w:val="24"/>
        </w:rPr>
        <w:t>starting in 2030</w:t>
      </w:r>
      <w:r w:rsidRPr="007C1494">
        <w:rPr>
          <w:rStyle w:val="FootnoteReference"/>
          <w:noProof/>
        </w:rPr>
        <w:footnoteReference w:id="208"/>
      </w:r>
      <w:r w:rsidRPr="007C1494">
        <w:rPr>
          <w:rFonts w:cs="Times New Roman"/>
          <w:noProof/>
          <w:szCs w:val="24"/>
        </w:rPr>
        <w:t xml:space="preserve">. </w:t>
      </w:r>
      <w:r>
        <w:rPr>
          <w:rFonts w:cs="Times New Roman"/>
          <w:noProof/>
          <w:szCs w:val="24"/>
        </w:rPr>
        <w:t xml:space="preserve">This would also mean a minimum of </w:t>
      </w:r>
      <w:r w:rsidRPr="00C03274">
        <w:rPr>
          <w:rFonts w:cs="Times New Roman"/>
          <w:noProof/>
          <w:szCs w:val="24"/>
        </w:rPr>
        <w:t>31.9</w:t>
      </w:r>
      <w:r>
        <w:rPr>
          <w:rFonts w:cs="Times New Roman"/>
          <w:noProof/>
          <w:szCs w:val="24"/>
        </w:rPr>
        <w:t xml:space="preserve"> million metric tons of carbon fewer emitted to the atmosphere every year due to EU consumption and production of the relevant commodities, which could be translated into economic savings of at least 3.2 billion EUR annually.</w:t>
      </w:r>
    </w:p>
    <w:p w14:paraId="1825EC3F" w14:textId="7F1889E1" w:rsidR="00C75D39" w:rsidRPr="00C75D39" w:rsidRDefault="002031DF" w:rsidP="00C75D39">
      <w:pPr>
        <w:jc w:val="both"/>
        <w:rPr>
          <w:rFonts w:cs="Times New Roman"/>
          <w:noProof/>
          <w:szCs w:val="24"/>
        </w:rPr>
      </w:pPr>
      <w:r>
        <w:rPr>
          <w:rFonts w:cs="Times New Roman"/>
          <w:noProof/>
          <w:szCs w:val="24"/>
        </w:rPr>
        <w:t xml:space="preserve">The label is expected to increase </w:t>
      </w:r>
      <w:r w:rsidRPr="002031DF">
        <w:rPr>
          <w:rFonts w:cs="Times New Roman"/>
          <w:noProof/>
          <w:szCs w:val="24"/>
        </w:rPr>
        <w:t xml:space="preserve">awareness </w:t>
      </w:r>
      <w:r>
        <w:rPr>
          <w:rFonts w:cs="Times New Roman"/>
          <w:noProof/>
          <w:szCs w:val="24"/>
        </w:rPr>
        <w:t xml:space="preserve">about deforestation </w:t>
      </w:r>
      <w:r w:rsidRPr="002031DF">
        <w:rPr>
          <w:rFonts w:cs="Times New Roman"/>
          <w:noProof/>
          <w:szCs w:val="24"/>
        </w:rPr>
        <w:t xml:space="preserve">and </w:t>
      </w:r>
      <w:r>
        <w:rPr>
          <w:rFonts w:cs="Times New Roman"/>
          <w:noProof/>
          <w:szCs w:val="24"/>
        </w:rPr>
        <w:t xml:space="preserve">might contribute to shift consumer </w:t>
      </w:r>
      <w:r w:rsidRPr="002031DF">
        <w:rPr>
          <w:rFonts w:cs="Times New Roman"/>
          <w:noProof/>
          <w:szCs w:val="24"/>
        </w:rPr>
        <w:t xml:space="preserve">preferences for deforestation-free products, </w:t>
      </w:r>
      <w:r>
        <w:rPr>
          <w:rFonts w:cs="Times New Roman"/>
          <w:noProof/>
          <w:szCs w:val="24"/>
        </w:rPr>
        <w:t xml:space="preserve">but </w:t>
      </w:r>
      <w:r w:rsidRPr="002031DF">
        <w:rPr>
          <w:rFonts w:cs="Times New Roman"/>
          <w:noProof/>
          <w:szCs w:val="24"/>
        </w:rPr>
        <w:t xml:space="preserve">it is </w:t>
      </w:r>
      <w:r>
        <w:rPr>
          <w:rFonts w:cs="Times New Roman"/>
          <w:noProof/>
          <w:szCs w:val="24"/>
        </w:rPr>
        <w:t xml:space="preserve">expected </w:t>
      </w:r>
      <w:r w:rsidRPr="002031DF">
        <w:rPr>
          <w:rFonts w:cs="Times New Roman"/>
          <w:noProof/>
          <w:szCs w:val="24"/>
        </w:rPr>
        <w:t xml:space="preserve">that </w:t>
      </w:r>
      <w:r>
        <w:rPr>
          <w:rFonts w:cs="Times New Roman"/>
          <w:noProof/>
          <w:szCs w:val="24"/>
        </w:rPr>
        <w:t>its</w:t>
      </w:r>
      <w:r w:rsidRPr="002031DF">
        <w:rPr>
          <w:rFonts w:cs="Times New Roman"/>
          <w:noProof/>
          <w:szCs w:val="24"/>
        </w:rPr>
        <w:t xml:space="preserve"> impact </w:t>
      </w:r>
      <w:r>
        <w:rPr>
          <w:rFonts w:cs="Times New Roman"/>
          <w:noProof/>
          <w:szCs w:val="24"/>
        </w:rPr>
        <w:t xml:space="preserve">in terms of increasing the baseline effectiveness of the due diligence system </w:t>
      </w:r>
      <w:r w:rsidRPr="002031DF">
        <w:rPr>
          <w:rFonts w:cs="Times New Roman"/>
          <w:noProof/>
          <w:szCs w:val="24"/>
        </w:rPr>
        <w:t>be limited compared to other options.</w:t>
      </w:r>
    </w:p>
    <w:p w14:paraId="01E4F92B" w14:textId="43F4B54C" w:rsidR="00C75D39" w:rsidRPr="00C75D39" w:rsidRDefault="00C75D39" w:rsidP="00C75D39">
      <w:pPr>
        <w:jc w:val="both"/>
        <w:rPr>
          <w:rFonts w:cs="Times New Roman"/>
          <w:noProof/>
          <w:szCs w:val="24"/>
        </w:rPr>
      </w:pPr>
      <w:r w:rsidRPr="00C75D39">
        <w:rPr>
          <w:rFonts w:cs="Times New Roman"/>
          <w:noProof/>
          <w:szCs w:val="24"/>
        </w:rPr>
        <w:t xml:space="preserve">Option </w:t>
      </w:r>
      <w:r>
        <w:rPr>
          <w:rFonts w:cs="Times New Roman"/>
          <w:noProof/>
          <w:szCs w:val="24"/>
        </w:rPr>
        <w:t>4</w:t>
      </w:r>
      <w:r w:rsidRPr="00C75D39">
        <w:rPr>
          <w:rFonts w:cs="Times New Roman"/>
          <w:noProof/>
          <w:szCs w:val="24"/>
        </w:rPr>
        <w:t xml:space="preserve"> would also contribute to preserving biodiversity by reducing activities that are proven to threat the survival of numerous species.</w:t>
      </w:r>
    </w:p>
    <w:p w14:paraId="63D9787B" w14:textId="74319337" w:rsidR="002031DF" w:rsidRDefault="00C75D39" w:rsidP="00C75D39">
      <w:pPr>
        <w:jc w:val="both"/>
        <w:rPr>
          <w:rFonts w:cs="Times New Roman"/>
          <w:noProof/>
          <w:szCs w:val="24"/>
        </w:rPr>
      </w:pPr>
      <w:r>
        <w:rPr>
          <w:rFonts w:cs="Times New Roman"/>
          <w:noProof/>
          <w:szCs w:val="24"/>
        </w:rPr>
        <w:t>Option 4</w:t>
      </w:r>
      <w:r w:rsidRPr="00C75D39">
        <w:rPr>
          <w:rFonts w:cs="Times New Roman"/>
          <w:noProof/>
          <w:szCs w:val="24"/>
        </w:rPr>
        <w:t xml:space="preserve"> </w:t>
      </w:r>
      <w:r w:rsidR="002B038B">
        <w:rPr>
          <w:rFonts w:cs="Times New Roman"/>
          <w:noProof/>
          <w:szCs w:val="24"/>
        </w:rPr>
        <w:t>is also expected to contribute to achieving the specific objectives of the EU intervention, namely minimising the</w:t>
      </w:r>
      <w:r w:rsidR="002B038B" w:rsidRPr="000016B0">
        <w:rPr>
          <w:rFonts w:cs="Times New Roman"/>
          <w:noProof/>
          <w:szCs w:val="24"/>
        </w:rPr>
        <w:t xml:space="preserve"> consumption of products coming from supply chains associated with defo</w:t>
      </w:r>
      <w:r w:rsidR="002B038B">
        <w:rPr>
          <w:rFonts w:cs="Times New Roman"/>
          <w:noProof/>
          <w:szCs w:val="24"/>
        </w:rPr>
        <w:t>restation or forest degradation, and increasing</w:t>
      </w:r>
      <w:r w:rsidR="002B038B" w:rsidRPr="000016B0">
        <w:rPr>
          <w:rFonts w:cs="Times New Roman"/>
          <w:noProof/>
          <w:szCs w:val="24"/>
        </w:rPr>
        <w:t xml:space="preserve"> EU demand for and tr</w:t>
      </w:r>
      <w:r w:rsidR="002B038B">
        <w:rPr>
          <w:rFonts w:cs="Times New Roman"/>
          <w:noProof/>
          <w:szCs w:val="24"/>
        </w:rPr>
        <w:t>ade in legal and ‘deforestation-</w:t>
      </w:r>
      <w:r w:rsidR="002B038B" w:rsidRPr="000016B0">
        <w:rPr>
          <w:rFonts w:cs="Times New Roman"/>
          <w:noProof/>
          <w:szCs w:val="24"/>
        </w:rPr>
        <w:t>free’ commodities and products</w:t>
      </w:r>
      <w:r w:rsidR="002B038B">
        <w:rPr>
          <w:rFonts w:cs="Times New Roman"/>
          <w:noProof/>
          <w:szCs w:val="24"/>
        </w:rPr>
        <w:t xml:space="preserve">. It would also contribute to </w:t>
      </w:r>
      <w:r w:rsidR="002B038B" w:rsidRPr="00A852D0">
        <w:rPr>
          <w:rFonts w:cs="Times New Roman"/>
          <w:noProof/>
          <w:szCs w:val="24"/>
        </w:rPr>
        <w:t>creating a level playing field for companies operating in the EU market</w:t>
      </w:r>
      <w:r w:rsidR="002B038B">
        <w:rPr>
          <w:rFonts w:cs="Times New Roman"/>
          <w:noProof/>
          <w:szCs w:val="24"/>
        </w:rPr>
        <w:t>.</w:t>
      </w:r>
    </w:p>
    <w:p w14:paraId="61ACBDAE" w14:textId="08B69A60" w:rsidR="009C7A3E" w:rsidRPr="007C1494" w:rsidRDefault="009C7A3E">
      <w:pPr>
        <w:jc w:val="both"/>
        <w:rPr>
          <w:rFonts w:eastAsiaTheme="minorEastAsia" w:cs="Times New Roman"/>
          <w:b/>
          <w:noProof/>
          <w:szCs w:val="24"/>
          <w:lang w:eastAsia="en-GB"/>
        </w:rPr>
      </w:pPr>
      <w:r w:rsidRPr="007C1494">
        <w:rPr>
          <w:rFonts w:eastAsiaTheme="minorEastAsia" w:cs="Times New Roman"/>
          <w:b/>
          <w:noProof/>
          <w:szCs w:val="24"/>
          <w:lang w:eastAsia="en-GB"/>
        </w:rPr>
        <w:t>Costs</w:t>
      </w:r>
    </w:p>
    <w:p w14:paraId="20BBFD68" w14:textId="264BEB30" w:rsidR="001E068D" w:rsidRPr="00386C2D" w:rsidRDefault="001E068D">
      <w:pPr>
        <w:jc w:val="both"/>
        <w:rPr>
          <w:rFonts w:eastAsiaTheme="minorEastAsia" w:cs="Times New Roman"/>
          <w:noProof/>
          <w:color w:val="000000" w:themeColor="text1"/>
          <w:szCs w:val="24"/>
          <w:lang w:eastAsia="en-GB"/>
        </w:rPr>
      </w:pPr>
      <w:r w:rsidRPr="007C1494">
        <w:rPr>
          <w:rFonts w:eastAsiaTheme="minorEastAsia" w:cs="Times New Roman"/>
          <w:noProof/>
          <w:szCs w:val="24"/>
          <w:lang w:eastAsia="en-GB"/>
        </w:rPr>
        <w:t xml:space="preserve">A key additional cost component under this option, besides costs identified under Option 1, will be the costs of labelling. Administrative costs related to labelling obligations can include costs to assimilate/obtain relevant information to comply with labelling regulations, translations for labelling in different languages, redesign of the label and packaging, production of the printing plate, printing of the label, auditing, submitting information to the regulator, etc. Based on examples from food labelling legislation, it is estimated that that operators and traders will face a minimum of </w:t>
      </w:r>
      <w:r w:rsidR="0086389C">
        <w:rPr>
          <w:rFonts w:eastAsiaTheme="minorEastAsia" w:cs="Times New Roman"/>
          <w:noProof/>
          <w:szCs w:val="24"/>
          <w:lang w:eastAsia="en-GB"/>
        </w:rPr>
        <w:t>€</w:t>
      </w:r>
      <w:r w:rsidRPr="007C1494">
        <w:rPr>
          <w:rFonts w:eastAsiaTheme="minorEastAsia" w:cs="Times New Roman"/>
          <w:noProof/>
          <w:szCs w:val="24"/>
          <w:lang w:eastAsia="en-GB"/>
        </w:rPr>
        <w:t xml:space="preserve">10.6 and a maximum of </w:t>
      </w:r>
      <w:r w:rsidR="0086389C">
        <w:rPr>
          <w:rFonts w:eastAsiaTheme="minorEastAsia" w:cs="Times New Roman"/>
          <w:noProof/>
          <w:color w:val="000000" w:themeColor="text1"/>
          <w:szCs w:val="24"/>
          <w:lang w:eastAsia="en-GB"/>
        </w:rPr>
        <w:t>€</w:t>
      </w:r>
      <w:r w:rsidRPr="00362EF8">
        <w:rPr>
          <w:rFonts w:eastAsiaTheme="minorEastAsia" w:cs="Times New Roman"/>
          <w:noProof/>
          <w:color w:val="000000" w:themeColor="text1"/>
          <w:szCs w:val="24"/>
          <w:lang w:eastAsia="en-GB"/>
        </w:rPr>
        <w:t xml:space="preserve">831.5 in labelling costs on average. It can be assumed that SMEs will face lower labelling costs in comparison to large companies due to the lower number of products that </w:t>
      </w:r>
      <w:r w:rsidRPr="00706CD1">
        <w:rPr>
          <w:rFonts w:eastAsiaTheme="minorEastAsia" w:cs="Times New Roman"/>
          <w:noProof/>
          <w:color w:val="000000" w:themeColor="text1"/>
          <w:szCs w:val="24"/>
          <w:lang w:eastAsia="en-GB"/>
        </w:rPr>
        <w:t>w</w:t>
      </w:r>
      <w:r w:rsidR="0062090B">
        <w:rPr>
          <w:rFonts w:eastAsiaTheme="minorEastAsia" w:cs="Times New Roman"/>
          <w:noProof/>
          <w:color w:val="000000" w:themeColor="text1"/>
          <w:szCs w:val="24"/>
          <w:lang w:eastAsia="en-GB"/>
        </w:rPr>
        <w:t>ould</w:t>
      </w:r>
      <w:r w:rsidRPr="00362EF8">
        <w:rPr>
          <w:rFonts w:eastAsiaTheme="minorEastAsia" w:cs="Times New Roman"/>
          <w:noProof/>
          <w:color w:val="000000" w:themeColor="text1"/>
          <w:szCs w:val="24"/>
          <w:lang w:eastAsia="en-GB"/>
        </w:rPr>
        <w:t xml:space="preserve"> need to</w:t>
      </w:r>
      <w:r w:rsidRPr="00386C2D">
        <w:rPr>
          <w:rFonts w:eastAsiaTheme="minorEastAsia" w:cs="Times New Roman"/>
          <w:noProof/>
          <w:color w:val="000000" w:themeColor="text1"/>
          <w:szCs w:val="24"/>
          <w:lang w:eastAsia="en-GB"/>
        </w:rPr>
        <w:t xml:space="preserve"> be labelled. </w:t>
      </w:r>
      <w:r w:rsidR="00C04944">
        <w:rPr>
          <w:rFonts w:eastAsiaTheme="minorEastAsia" w:cs="Times New Roman"/>
          <w:noProof/>
          <w:color w:val="000000" w:themeColor="text1"/>
          <w:szCs w:val="24"/>
          <w:lang w:eastAsia="en-GB"/>
        </w:rPr>
        <w:t xml:space="preserve">Across </w:t>
      </w:r>
      <w:r w:rsidRPr="00386C2D">
        <w:rPr>
          <w:rFonts w:eastAsiaTheme="minorEastAsia" w:cs="Times New Roman"/>
          <w:noProof/>
          <w:color w:val="000000" w:themeColor="text1"/>
          <w:szCs w:val="24"/>
          <w:lang w:eastAsia="en-GB"/>
        </w:rPr>
        <w:t xml:space="preserve">all sizes, an average cost of </w:t>
      </w:r>
      <w:r w:rsidR="00C04944">
        <w:rPr>
          <w:rFonts w:eastAsiaTheme="minorEastAsia" w:cs="Times New Roman"/>
          <w:noProof/>
          <w:color w:val="000000" w:themeColor="text1"/>
          <w:szCs w:val="24"/>
          <w:lang w:eastAsia="en-GB"/>
        </w:rPr>
        <w:t>€</w:t>
      </w:r>
      <w:r w:rsidRPr="00386C2D">
        <w:rPr>
          <w:rFonts w:eastAsiaTheme="minorEastAsia" w:cs="Times New Roman"/>
          <w:noProof/>
          <w:color w:val="000000" w:themeColor="text1"/>
          <w:szCs w:val="24"/>
          <w:lang w:eastAsia="en-GB"/>
        </w:rPr>
        <w:t xml:space="preserve">421 per business </w:t>
      </w:r>
      <w:r w:rsidR="00C04944">
        <w:rPr>
          <w:rFonts w:eastAsiaTheme="minorEastAsia" w:cs="Times New Roman"/>
          <w:noProof/>
          <w:color w:val="000000" w:themeColor="text1"/>
          <w:szCs w:val="24"/>
          <w:lang w:eastAsia="en-GB"/>
        </w:rPr>
        <w:t xml:space="preserve"> can be expected, with t</w:t>
      </w:r>
      <w:r w:rsidRPr="00386C2D">
        <w:rPr>
          <w:rFonts w:eastAsiaTheme="minorEastAsia" w:cs="Times New Roman"/>
          <w:noProof/>
          <w:color w:val="000000" w:themeColor="text1"/>
          <w:szCs w:val="24"/>
          <w:lang w:eastAsia="en-GB"/>
        </w:rPr>
        <w:t xml:space="preserve">otal labelling costs </w:t>
      </w:r>
      <w:r w:rsidR="00C04944">
        <w:rPr>
          <w:rFonts w:eastAsiaTheme="minorEastAsia" w:cs="Times New Roman"/>
          <w:noProof/>
          <w:color w:val="000000" w:themeColor="text1"/>
          <w:szCs w:val="24"/>
          <w:lang w:eastAsia="en-GB"/>
        </w:rPr>
        <w:t xml:space="preserve">for EU business potentially </w:t>
      </w:r>
      <w:r w:rsidRPr="00386C2D">
        <w:rPr>
          <w:rFonts w:eastAsiaTheme="minorEastAsia" w:cs="Times New Roman"/>
          <w:noProof/>
          <w:color w:val="000000" w:themeColor="text1"/>
          <w:szCs w:val="24"/>
          <w:lang w:eastAsia="en-GB"/>
        </w:rPr>
        <w:t>amount</w:t>
      </w:r>
      <w:r w:rsidR="00C04944">
        <w:rPr>
          <w:rFonts w:eastAsiaTheme="minorEastAsia" w:cs="Times New Roman"/>
          <w:noProof/>
          <w:color w:val="000000" w:themeColor="text1"/>
          <w:szCs w:val="24"/>
          <w:lang w:eastAsia="en-GB"/>
        </w:rPr>
        <w:t>ing</w:t>
      </w:r>
      <w:r w:rsidRPr="00386C2D">
        <w:rPr>
          <w:rFonts w:eastAsiaTheme="minorEastAsia" w:cs="Times New Roman"/>
          <w:noProof/>
          <w:color w:val="000000" w:themeColor="text1"/>
          <w:szCs w:val="24"/>
          <w:lang w:eastAsia="en-GB"/>
        </w:rPr>
        <w:t xml:space="preserve"> to </w:t>
      </w:r>
      <w:r w:rsidR="00C04944">
        <w:rPr>
          <w:rFonts w:eastAsiaTheme="minorEastAsia" w:cs="Times New Roman"/>
          <w:noProof/>
          <w:color w:val="000000" w:themeColor="text1"/>
          <w:szCs w:val="24"/>
          <w:lang w:eastAsia="en-GB"/>
        </w:rPr>
        <w:t>€</w:t>
      </w:r>
      <w:r w:rsidRPr="00386C2D">
        <w:rPr>
          <w:rFonts w:eastAsiaTheme="minorEastAsia" w:cs="Times New Roman"/>
          <w:noProof/>
          <w:color w:val="000000" w:themeColor="text1"/>
          <w:szCs w:val="24"/>
          <w:lang w:eastAsia="en-GB"/>
        </w:rPr>
        <w:t xml:space="preserve">35.3 million. The costs for SMEs were calculated as </w:t>
      </w:r>
      <w:r w:rsidR="00C04944">
        <w:rPr>
          <w:rFonts w:eastAsiaTheme="minorEastAsia" w:cs="Times New Roman"/>
          <w:noProof/>
          <w:color w:val="000000" w:themeColor="text1"/>
          <w:szCs w:val="24"/>
          <w:lang w:eastAsia="en-GB"/>
        </w:rPr>
        <w:t>€</w:t>
      </w:r>
      <w:r w:rsidRPr="00386C2D">
        <w:rPr>
          <w:rFonts w:eastAsiaTheme="minorEastAsia" w:cs="Times New Roman"/>
          <w:noProof/>
          <w:color w:val="000000" w:themeColor="text1"/>
          <w:szCs w:val="24"/>
          <w:lang w:eastAsia="en-GB"/>
        </w:rPr>
        <w:t>14.2 million for intra-EU traders.</w:t>
      </w:r>
    </w:p>
    <w:p w14:paraId="2793EB69" w14:textId="7289A73C" w:rsidR="001E068D" w:rsidRDefault="006C1F7E">
      <w:pPr>
        <w:jc w:val="both"/>
        <w:rPr>
          <w:rFonts w:eastAsiaTheme="minorEastAsia" w:cs="Times New Roman"/>
          <w:noProof/>
          <w:szCs w:val="24"/>
          <w:lang w:eastAsia="en-GB"/>
        </w:rPr>
      </w:pPr>
      <w:r w:rsidRPr="007C1494">
        <w:rPr>
          <w:rFonts w:eastAsiaTheme="minorEastAsia" w:cs="Times New Roman"/>
          <w:noProof/>
          <w:szCs w:val="24"/>
          <w:lang w:eastAsia="en-GB"/>
        </w:rPr>
        <w:t xml:space="preserve">The European Commission would bear the costs of developing the content of the label and the requirements for its use (i.e. scope of commodities to be covered, label definitions, as well as issue EU-wide guidance on the use of the label to support implementation at </w:t>
      </w:r>
      <w:r w:rsidR="00B0483D" w:rsidRPr="007C1494" w:rsidDel="00F2026D">
        <w:rPr>
          <w:rFonts w:eastAsiaTheme="minorEastAsia" w:cs="Times New Roman"/>
          <w:noProof/>
          <w:szCs w:val="24"/>
          <w:lang w:eastAsia="en-GB"/>
        </w:rPr>
        <w:t>Member State</w:t>
      </w:r>
      <w:r w:rsidR="00B0483D" w:rsidRPr="007C1494">
        <w:rPr>
          <w:rFonts w:eastAsiaTheme="minorEastAsia" w:cs="Times New Roman"/>
          <w:noProof/>
          <w:szCs w:val="24"/>
          <w:lang w:eastAsia="en-GB"/>
        </w:rPr>
        <w:t xml:space="preserve"> </w:t>
      </w:r>
      <w:r w:rsidRPr="007C1494">
        <w:rPr>
          <w:rFonts w:eastAsiaTheme="minorEastAsia" w:cs="Times New Roman"/>
          <w:noProof/>
          <w:szCs w:val="24"/>
          <w:lang w:eastAsia="en-GB"/>
        </w:rPr>
        <w:t xml:space="preserve">level, possibly issuing harmonised pictograms to be used throughout </w:t>
      </w:r>
      <w:r w:rsidRPr="007C1494" w:rsidDel="00F2026D">
        <w:rPr>
          <w:rFonts w:eastAsiaTheme="minorEastAsia" w:cs="Times New Roman"/>
          <w:noProof/>
          <w:szCs w:val="24"/>
          <w:lang w:eastAsia="en-GB"/>
        </w:rPr>
        <w:t xml:space="preserve">Member </w:t>
      </w:r>
      <w:r w:rsidRPr="007C1494">
        <w:rPr>
          <w:rFonts w:eastAsiaTheme="minorEastAsia" w:cs="Times New Roman"/>
          <w:noProof/>
          <w:szCs w:val="24"/>
          <w:lang w:eastAsia="en-GB"/>
        </w:rPr>
        <w:t xml:space="preserve">States (e.g. size and design). Based on experience with EU Ecolabel, these costs are </w:t>
      </w:r>
      <w:r w:rsidR="00094436">
        <w:rPr>
          <w:rFonts w:eastAsiaTheme="minorEastAsia" w:cs="Times New Roman"/>
          <w:noProof/>
          <w:szCs w:val="24"/>
          <w:lang w:eastAsia="en-GB"/>
        </w:rPr>
        <w:t>un</w:t>
      </w:r>
      <w:r w:rsidRPr="007C1494">
        <w:rPr>
          <w:rFonts w:eastAsiaTheme="minorEastAsia" w:cs="Times New Roman"/>
          <w:noProof/>
          <w:szCs w:val="24"/>
          <w:lang w:eastAsia="en-GB"/>
        </w:rPr>
        <w:t xml:space="preserve">likely to significantly exceed an average annual management cost of 1.1 million EUR. </w:t>
      </w:r>
      <w:r w:rsidRPr="007C1494" w:rsidDel="00F2026D">
        <w:rPr>
          <w:rFonts w:eastAsiaTheme="minorEastAsia" w:cs="Times New Roman"/>
          <w:noProof/>
          <w:szCs w:val="24"/>
          <w:lang w:eastAsia="en-GB"/>
        </w:rPr>
        <w:t xml:space="preserve">Member </w:t>
      </w:r>
      <w:r w:rsidRPr="007C1494">
        <w:rPr>
          <w:rFonts w:eastAsiaTheme="minorEastAsia" w:cs="Times New Roman"/>
          <w:noProof/>
          <w:szCs w:val="24"/>
          <w:lang w:eastAsia="en-GB"/>
        </w:rPr>
        <w:t xml:space="preserve">States would bear costs for implementing and enforcing the legislation, and ensuring that products are correctly labelled. In addition to </w:t>
      </w:r>
      <w:r w:rsidR="00B32DC0" w:rsidRPr="007C1494">
        <w:rPr>
          <w:rFonts w:eastAsiaTheme="minorEastAsia" w:cs="Times New Roman"/>
          <w:noProof/>
          <w:szCs w:val="24"/>
          <w:lang w:eastAsia="en-GB"/>
        </w:rPr>
        <w:t xml:space="preserve">DDS </w:t>
      </w:r>
      <w:r w:rsidRPr="007C1494">
        <w:rPr>
          <w:rFonts w:eastAsiaTheme="minorEastAsia" w:cs="Times New Roman"/>
          <w:noProof/>
          <w:szCs w:val="24"/>
          <w:lang w:eastAsia="en-GB"/>
        </w:rPr>
        <w:t xml:space="preserve">costs, EU institutions and </w:t>
      </w:r>
      <w:r w:rsidRPr="007C1494" w:rsidDel="00F2026D">
        <w:rPr>
          <w:rFonts w:eastAsiaTheme="minorEastAsia" w:cs="Times New Roman"/>
          <w:noProof/>
          <w:szCs w:val="24"/>
          <w:lang w:eastAsia="en-GB"/>
        </w:rPr>
        <w:t xml:space="preserve">Member </w:t>
      </w:r>
      <w:r w:rsidRPr="007C1494">
        <w:rPr>
          <w:rFonts w:eastAsiaTheme="minorEastAsia" w:cs="Times New Roman"/>
          <w:noProof/>
          <w:szCs w:val="24"/>
          <w:lang w:eastAsia="en-GB"/>
        </w:rPr>
        <w:t xml:space="preserve">State authorities would need to ensure compliance with labelling. Based on existing labelling schemes in </w:t>
      </w:r>
      <w:r w:rsidR="00425C28" w:rsidRPr="007C1494">
        <w:rPr>
          <w:rFonts w:eastAsiaTheme="minorEastAsia" w:cs="Times New Roman"/>
          <w:noProof/>
          <w:szCs w:val="24"/>
          <w:lang w:eastAsia="en-GB"/>
        </w:rPr>
        <w:t xml:space="preserve">the </w:t>
      </w:r>
      <w:r w:rsidRPr="007C1494">
        <w:rPr>
          <w:rFonts w:eastAsiaTheme="minorEastAsia" w:cs="Times New Roman"/>
          <w:noProof/>
          <w:szCs w:val="24"/>
          <w:lang w:eastAsia="en-GB"/>
        </w:rPr>
        <w:t>energy sector, these costs are estimate</w:t>
      </w:r>
      <w:r w:rsidR="00EF5142" w:rsidRPr="007C1494">
        <w:rPr>
          <w:rFonts w:eastAsiaTheme="minorEastAsia" w:cs="Times New Roman"/>
          <w:noProof/>
          <w:szCs w:val="24"/>
          <w:lang w:eastAsia="en-GB"/>
        </w:rPr>
        <w:t>d</w:t>
      </w:r>
      <w:r w:rsidRPr="007C1494">
        <w:rPr>
          <w:rFonts w:eastAsiaTheme="minorEastAsia" w:cs="Times New Roman"/>
          <w:noProof/>
          <w:szCs w:val="24"/>
          <w:lang w:eastAsia="en-GB"/>
        </w:rPr>
        <w:t xml:space="preserve"> to be between 148,148 and 296,296 EUR per </w:t>
      </w:r>
      <w:r w:rsidRPr="007C1494" w:rsidDel="00F2026D">
        <w:rPr>
          <w:rFonts w:eastAsiaTheme="minorEastAsia" w:cs="Times New Roman"/>
          <w:noProof/>
          <w:szCs w:val="24"/>
          <w:lang w:eastAsia="en-GB"/>
        </w:rPr>
        <w:t>M</w:t>
      </w:r>
      <w:r w:rsidR="00ED560A" w:rsidRPr="007C1494" w:rsidDel="00F2026D">
        <w:rPr>
          <w:rFonts w:eastAsiaTheme="minorEastAsia" w:cs="Times New Roman"/>
          <w:noProof/>
          <w:szCs w:val="24"/>
          <w:lang w:eastAsia="en-GB"/>
        </w:rPr>
        <w:t xml:space="preserve">ember </w:t>
      </w:r>
      <w:r w:rsidRPr="007C1494" w:rsidDel="00F2026D">
        <w:rPr>
          <w:rFonts w:eastAsiaTheme="minorEastAsia" w:cs="Times New Roman"/>
          <w:noProof/>
          <w:szCs w:val="24"/>
          <w:lang w:eastAsia="en-GB"/>
        </w:rPr>
        <w:t>S</w:t>
      </w:r>
      <w:r w:rsidR="00ED560A" w:rsidRPr="007C1494" w:rsidDel="00F2026D">
        <w:rPr>
          <w:rFonts w:eastAsiaTheme="minorEastAsia" w:cs="Times New Roman"/>
          <w:noProof/>
          <w:szCs w:val="24"/>
          <w:lang w:eastAsia="en-GB"/>
        </w:rPr>
        <w:t>tate</w:t>
      </w:r>
      <w:r w:rsidRPr="007C1494">
        <w:rPr>
          <w:rFonts w:eastAsiaTheme="minorEastAsia" w:cs="Times New Roman"/>
          <w:noProof/>
          <w:szCs w:val="24"/>
          <w:lang w:eastAsia="en-GB"/>
        </w:rPr>
        <w:t>, annually.</w:t>
      </w:r>
    </w:p>
    <w:p w14:paraId="53C0EA76" w14:textId="4119B27E" w:rsidR="00EB7D5A" w:rsidRPr="007C1494" w:rsidDel="0016042E" w:rsidRDefault="00EB7D5A">
      <w:pPr>
        <w:jc w:val="both"/>
        <w:rPr>
          <w:rFonts w:eastAsiaTheme="minorEastAsia" w:cs="Times New Roman"/>
          <w:noProof/>
          <w:szCs w:val="24"/>
          <w:lang w:eastAsia="en-GB"/>
        </w:rPr>
      </w:pPr>
      <w:r w:rsidRPr="00C10BE5">
        <w:rPr>
          <w:rFonts w:eastAsiaTheme="minorEastAsia" w:cs="Times New Roman"/>
          <w:noProof/>
          <w:szCs w:val="24"/>
          <w:lang w:eastAsia="en-GB"/>
        </w:rPr>
        <w:t xml:space="preserve">There are not anticipated to be additional </w:t>
      </w:r>
      <w:r>
        <w:rPr>
          <w:rFonts w:eastAsiaTheme="minorEastAsia" w:cs="Times New Roman"/>
          <w:noProof/>
          <w:szCs w:val="24"/>
          <w:lang w:eastAsia="en-GB"/>
        </w:rPr>
        <w:t>costs to</w:t>
      </w:r>
      <w:r w:rsidRPr="00C10BE5">
        <w:rPr>
          <w:rFonts w:eastAsiaTheme="minorEastAsia" w:cs="Times New Roman"/>
          <w:noProof/>
          <w:szCs w:val="24"/>
          <w:lang w:eastAsia="en-GB"/>
        </w:rPr>
        <w:t xml:space="preserve"> third countries from labelling, as these costs will be borne by the EU and are unrelated to the choice of country from which commodities are sourced.</w:t>
      </w:r>
      <w:r>
        <w:rPr>
          <w:rFonts w:eastAsiaTheme="minorEastAsia" w:cs="Times New Roman"/>
          <w:noProof/>
          <w:szCs w:val="24"/>
          <w:lang w:eastAsia="en-GB"/>
        </w:rPr>
        <w:t xml:space="preserve"> However, economic impacts slightly higher than already laid out under option 1 already may arise through reduced consumer demand of goods failing to meet </w:t>
      </w:r>
      <w:r w:rsidRPr="002031DF">
        <w:rPr>
          <w:rFonts w:cs="Times New Roman"/>
          <w:noProof/>
          <w:szCs w:val="24"/>
        </w:rPr>
        <w:t xml:space="preserve">deforestation-free </w:t>
      </w:r>
      <w:r>
        <w:rPr>
          <w:rFonts w:cs="Times New Roman"/>
          <w:noProof/>
          <w:szCs w:val="24"/>
        </w:rPr>
        <w:t xml:space="preserve">criteria. </w:t>
      </w:r>
      <w:r>
        <w:rPr>
          <w:rFonts w:eastAsiaTheme="minorEastAsia" w:cs="Times New Roman"/>
          <w:noProof/>
          <w:szCs w:val="24"/>
          <w:lang w:eastAsia="en-GB"/>
        </w:rPr>
        <w:t xml:space="preserve">  </w:t>
      </w:r>
    </w:p>
    <w:p w14:paraId="0BF2E3FD" w14:textId="3414A3E1" w:rsidR="00C73308" w:rsidRPr="007C1494" w:rsidRDefault="00335526" w:rsidP="00335526">
      <w:pPr>
        <w:pStyle w:val="Heading2"/>
        <w:rPr>
          <w:noProof/>
        </w:rPr>
      </w:pPr>
      <w:bookmarkStart w:id="199" w:name="_Toc75542203"/>
      <w:bookmarkStart w:id="200" w:name="_Toc75543236"/>
      <w:bookmarkStart w:id="201" w:name="_Toc84591925"/>
      <w:r w:rsidRPr="00335526">
        <w:t>6.6</w:t>
      </w:r>
      <w:r w:rsidRPr="00335526">
        <w:tab/>
      </w:r>
      <w:r w:rsidR="00C73308" w:rsidRPr="007C1494">
        <w:rPr>
          <w:noProof/>
        </w:rPr>
        <w:t xml:space="preserve">Policy option 5 - </w:t>
      </w:r>
      <w:bookmarkEnd w:id="198"/>
      <w:r w:rsidR="0030758D" w:rsidRPr="007C1494">
        <w:rPr>
          <w:noProof/>
        </w:rPr>
        <w:t>Deforestation-free requirement for placing on the EU market supported by benchmarking and country card systems</w:t>
      </w:r>
      <w:bookmarkEnd w:id="199"/>
      <w:bookmarkEnd w:id="200"/>
      <w:bookmarkEnd w:id="201"/>
    </w:p>
    <w:p w14:paraId="2D421B70" w14:textId="7DFB4716" w:rsidR="008D618C" w:rsidRDefault="008D618C" w:rsidP="008D618C">
      <w:pPr>
        <w:jc w:val="both"/>
        <w:rPr>
          <w:rFonts w:cs="Times New Roman"/>
          <w:noProof/>
          <w:szCs w:val="24"/>
        </w:rPr>
      </w:pPr>
      <w:r w:rsidRPr="00362EF8">
        <w:rPr>
          <w:rFonts w:eastAsiaTheme="minorEastAsia" w:cs="Times New Roman"/>
          <w:noProof/>
          <w:szCs w:val="24"/>
          <w:lang w:eastAsia="en-GB"/>
        </w:rPr>
        <w:t>The challen</w:t>
      </w:r>
      <w:r>
        <w:rPr>
          <w:rFonts w:cs="Times New Roman"/>
          <w:noProof/>
          <w:szCs w:val="24"/>
        </w:rPr>
        <w:t xml:space="preserve">ges of estimating the benefits for this policy option were greater due to the lack of precise quantitative information on the effectiveness of the </w:t>
      </w:r>
      <w:r w:rsidRPr="008D618C">
        <w:rPr>
          <w:rFonts w:cs="Times New Roman"/>
          <w:noProof/>
          <w:szCs w:val="24"/>
        </w:rPr>
        <w:t>EU regulation to prevent, deter and eliminate illegal, unreported and unregulated fishing (IUU Regulation</w:t>
      </w:r>
      <w:r>
        <w:rPr>
          <w:rFonts w:cs="Times New Roman"/>
          <w:noProof/>
          <w:szCs w:val="24"/>
        </w:rPr>
        <w:t>), from which the system is adapted. Therefore, the range of impacts used below,</w:t>
      </w:r>
      <w:r w:rsidR="00DD6B69">
        <w:rPr>
          <w:rFonts w:cs="Times New Roman"/>
          <w:noProof/>
          <w:szCs w:val="24"/>
        </w:rPr>
        <w:t xml:space="preserve"> and</w:t>
      </w:r>
      <w:r>
        <w:rPr>
          <w:rFonts w:cs="Times New Roman"/>
          <w:noProof/>
          <w:szCs w:val="24"/>
        </w:rPr>
        <w:t xml:space="preserve"> the uncertainty of the conclusions, is larger than for policy options 1 to 4.</w:t>
      </w:r>
    </w:p>
    <w:p w14:paraId="2E42A3BB" w14:textId="2BE314F3" w:rsidR="00EB7D5A" w:rsidRPr="007C1494" w:rsidRDefault="008D618C" w:rsidP="008D618C">
      <w:pPr>
        <w:jc w:val="both"/>
        <w:rPr>
          <w:rFonts w:eastAsiaTheme="minorEastAsia" w:cs="Times New Roman"/>
          <w:noProof/>
          <w:szCs w:val="24"/>
          <w:lang w:eastAsia="en-GB"/>
        </w:rPr>
      </w:pPr>
      <w:r>
        <w:rPr>
          <w:rFonts w:eastAsiaTheme="minorEastAsia" w:cs="Times New Roman"/>
          <w:noProof/>
          <w:szCs w:val="24"/>
          <w:lang w:eastAsia="en-GB"/>
        </w:rPr>
        <w:t>T</w:t>
      </w:r>
      <w:r w:rsidRPr="007C1494">
        <w:rPr>
          <w:rFonts w:eastAsiaTheme="minorEastAsia" w:cs="Times New Roman"/>
          <w:noProof/>
          <w:szCs w:val="24"/>
          <w:lang w:eastAsia="en-GB"/>
        </w:rPr>
        <w:t>he experience</w:t>
      </w:r>
      <w:r>
        <w:rPr>
          <w:rFonts w:eastAsiaTheme="minorEastAsia" w:cs="Times New Roman"/>
          <w:noProof/>
          <w:szCs w:val="24"/>
          <w:lang w:eastAsia="en-GB"/>
        </w:rPr>
        <w:t xml:space="preserve"> of IUU implementation suggest</w:t>
      </w:r>
      <w:r w:rsidR="00EB7D5A">
        <w:rPr>
          <w:rFonts w:eastAsiaTheme="minorEastAsia" w:cs="Times New Roman"/>
          <w:noProof/>
          <w:szCs w:val="24"/>
          <w:lang w:eastAsia="en-GB"/>
        </w:rPr>
        <w:t>s</w:t>
      </w:r>
      <w:r>
        <w:rPr>
          <w:rFonts w:eastAsiaTheme="minorEastAsia" w:cs="Times New Roman"/>
          <w:noProof/>
          <w:szCs w:val="24"/>
          <w:lang w:eastAsia="en-GB"/>
        </w:rPr>
        <w:t xml:space="preserve"> that </w:t>
      </w:r>
      <w:r w:rsidRPr="007C1494">
        <w:rPr>
          <w:rFonts w:eastAsiaTheme="minorEastAsia" w:cs="Times New Roman"/>
          <w:noProof/>
          <w:szCs w:val="24"/>
          <w:lang w:eastAsia="en-GB"/>
        </w:rPr>
        <w:t xml:space="preserve">country carding systems were successful in </w:t>
      </w:r>
      <w:r>
        <w:rPr>
          <w:rFonts w:eastAsiaTheme="minorEastAsia" w:cs="Times New Roman"/>
          <w:noProof/>
          <w:szCs w:val="24"/>
          <w:lang w:eastAsia="en-GB"/>
        </w:rPr>
        <w:t xml:space="preserve">driving positive reforms in </w:t>
      </w:r>
      <w:r w:rsidRPr="007C1494">
        <w:rPr>
          <w:rFonts w:eastAsiaTheme="minorEastAsia" w:cs="Times New Roman"/>
          <w:noProof/>
          <w:szCs w:val="24"/>
          <w:lang w:eastAsia="en-GB"/>
        </w:rPr>
        <w:t>countries and that</w:t>
      </w:r>
      <w:r>
        <w:rPr>
          <w:rFonts w:eastAsiaTheme="minorEastAsia" w:cs="Times New Roman"/>
          <w:noProof/>
          <w:szCs w:val="24"/>
          <w:lang w:eastAsia="en-GB"/>
        </w:rPr>
        <w:t>,</w:t>
      </w:r>
      <w:r w:rsidRPr="007C1494">
        <w:rPr>
          <w:rFonts w:eastAsiaTheme="minorEastAsia" w:cs="Times New Roman"/>
          <w:noProof/>
          <w:szCs w:val="24"/>
          <w:lang w:eastAsia="en-GB"/>
        </w:rPr>
        <w:t xml:space="preserve"> on the back of yellow and red cards, most of the countries showed commitment to improve their management and control systems and a willingness to cooperate closely with the EU.</w:t>
      </w:r>
      <w:r w:rsidRPr="007C1494">
        <w:rPr>
          <w:rStyle w:val="FootnoteReference"/>
          <w:noProof/>
        </w:rPr>
        <w:footnoteReference w:id="209"/>
      </w:r>
      <w:r w:rsidRPr="007C1494">
        <w:rPr>
          <w:rFonts w:eastAsiaTheme="minorEastAsia" w:cs="Times New Roman"/>
          <w:noProof/>
          <w:szCs w:val="24"/>
          <w:lang w:eastAsia="en-GB"/>
        </w:rPr>
        <w:t xml:space="preserve">  </w:t>
      </w:r>
      <w:r>
        <w:rPr>
          <w:rFonts w:eastAsiaTheme="minorEastAsia" w:cs="Times New Roman"/>
          <w:noProof/>
          <w:szCs w:val="24"/>
          <w:lang w:eastAsia="en-GB"/>
        </w:rPr>
        <w:t>Yet, there is a lack of precise quantification on the effectiveness of this policy measure.</w:t>
      </w:r>
    </w:p>
    <w:p w14:paraId="154AE240" w14:textId="72FF47F5" w:rsidR="00503422" w:rsidRPr="007C1494" w:rsidRDefault="00503422">
      <w:pPr>
        <w:jc w:val="both"/>
        <w:rPr>
          <w:rFonts w:eastAsiaTheme="minorEastAsia" w:cs="Times New Roman"/>
          <w:b/>
          <w:noProof/>
          <w:szCs w:val="24"/>
          <w:lang w:eastAsia="en-GB"/>
        </w:rPr>
      </w:pPr>
      <w:r w:rsidRPr="007C1494">
        <w:rPr>
          <w:rFonts w:eastAsiaTheme="minorEastAsia" w:cs="Times New Roman"/>
          <w:b/>
          <w:noProof/>
          <w:szCs w:val="24"/>
          <w:lang w:eastAsia="en-GB"/>
        </w:rPr>
        <w:t>Benefits</w:t>
      </w:r>
    </w:p>
    <w:p w14:paraId="69898FE2" w14:textId="5C65D4CC" w:rsidR="008D618C" w:rsidRDefault="008D618C" w:rsidP="008D618C">
      <w:pPr>
        <w:jc w:val="both"/>
        <w:rPr>
          <w:rFonts w:eastAsiaTheme="minorEastAsia" w:cs="Times New Roman"/>
          <w:noProof/>
          <w:szCs w:val="24"/>
          <w:lang w:eastAsia="en-GB"/>
        </w:rPr>
      </w:pPr>
      <w:r>
        <w:rPr>
          <w:rFonts w:eastAsiaTheme="minorEastAsia" w:cs="Times New Roman"/>
          <w:noProof/>
          <w:szCs w:val="24"/>
          <w:lang w:eastAsia="en-GB"/>
        </w:rPr>
        <w:t xml:space="preserve">The challenges of quantifying impacts for this option means that it is necessary to assess its impacts qualitatively and work within the full range of possible benefits as described in figure 11. </w:t>
      </w:r>
    </w:p>
    <w:p w14:paraId="57A381CA" w14:textId="41A76ECA" w:rsidR="008D618C" w:rsidRDefault="008D618C" w:rsidP="008D618C">
      <w:pPr>
        <w:jc w:val="both"/>
        <w:rPr>
          <w:rFonts w:cs="Times New Roman"/>
          <w:noProof/>
          <w:szCs w:val="24"/>
        </w:rPr>
      </w:pPr>
      <w:r>
        <w:rPr>
          <w:rFonts w:cs="Times New Roman"/>
          <w:noProof/>
          <w:szCs w:val="24"/>
        </w:rPr>
        <w:t>Option 5</w:t>
      </w:r>
      <w:r w:rsidRPr="007C1494">
        <w:rPr>
          <w:rFonts w:cs="Times New Roman"/>
          <w:noProof/>
          <w:szCs w:val="24"/>
        </w:rPr>
        <w:t xml:space="preserve"> </w:t>
      </w:r>
      <w:r>
        <w:rPr>
          <w:rFonts w:cs="Times New Roman"/>
          <w:noProof/>
          <w:szCs w:val="24"/>
        </w:rPr>
        <w:t>is expected to contribute to curb EU-driven deforestation, and in turn greenhouse gas emissions</w:t>
      </w:r>
      <w:r w:rsidR="00DD6B69">
        <w:rPr>
          <w:rFonts w:cs="Times New Roman"/>
          <w:noProof/>
          <w:szCs w:val="24"/>
        </w:rPr>
        <w:t xml:space="preserve"> and  to preserve biodiversity by reducing activities that are proven to threat the survival of numerous species</w:t>
      </w:r>
    </w:p>
    <w:p w14:paraId="27E72EF2" w14:textId="7D564FCD" w:rsidR="008D618C" w:rsidRDefault="008D618C">
      <w:pPr>
        <w:jc w:val="both"/>
        <w:rPr>
          <w:rFonts w:cs="Times New Roman"/>
          <w:noProof/>
          <w:szCs w:val="24"/>
        </w:rPr>
      </w:pPr>
      <w:r>
        <w:rPr>
          <w:rFonts w:cs="Times New Roman"/>
          <w:noProof/>
          <w:szCs w:val="24"/>
        </w:rPr>
        <w:t>Option 5 is also expected to contribute to achieving the specific objectives of the EU intervention, namely minimising the</w:t>
      </w:r>
      <w:r w:rsidRPr="000016B0">
        <w:rPr>
          <w:rFonts w:cs="Times New Roman"/>
          <w:noProof/>
          <w:szCs w:val="24"/>
        </w:rPr>
        <w:t xml:space="preserve"> consumption of products coming from supply chains associated with defo</w:t>
      </w:r>
      <w:r w:rsidR="00A852D0">
        <w:rPr>
          <w:rFonts w:cs="Times New Roman"/>
          <w:noProof/>
          <w:szCs w:val="24"/>
        </w:rPr>
        <w:t>restation or forest degradation</w:t>
      </w:r>
      <w:r>
        <w:rPr>
          <w:rFonts w:cs="Times New Roman"/>
          <w:noProof/>
          <w:szCs w:val="24"/>
        </w:rPr>
        <w:t xml:space="preserve"> and increasing</w:t>
      </w:r>
      <w:r w:rsidRPr="000016B0">
        <w:rPr>
          <w:rFonts w:cs="Times New Roman"/>
          <w:noProof/>
          <w:szCs w:val="24"/>
        </w:rPr>
        <w:t xml:space="preserve"> EU demand for and tr</w:t>
      </w:r>
      <w:r>
        <w:rPr>
          <w:rFonts w:cs="Times New Roman"/>
          <w:noProof/>
          <w:szCs w:val="24"/>
        </w:rPr>
        <w:t>ade in legal and ‘deforestation-</w:t>
      </w:r>
      <w:r w:rsidRPr="000016B0">
        <w:rPr>
          <w:rFonts w:cs="Times New Roman"/>
          <w:noProof/>
          <w:szCs w:val="24"/>
        </w:rPr>
        <w:t>free’ commodities and products</w:t>
      </w:r>
      <w:r>
        <w:rPr>
          <w:rFonts w:cs="Times New Roman"/>
          <w:noProof/>
          <w:szCs w:val="24"/>
        </w:rPr>
        <w:t xml:space="preserve">. </w:t>
      </w:r>
      <w:r w:rsidR="00A852D0">
        <w:rPr>
          <w:rFonts w:cs="Times New Roman"/>
          <w:noProof/>
          <w:szCs w:val="24"/>
        </w:rPr>
        <w:t xml:space="preserve">It would also contribute to </w:t>
      </w:r>
      <w:r w:rsidR="00A852D0" w:rsidRPr="00A852D0">
        <w:rPr>
          <w:rFonts w:cs="Times New Roman"/>
          <w:noProof/>
          <w:szCs w:val="24"/>
        </w:rPr>
        <w:t>creating a level playing field for companies operating in the EU market</w:t>
      </w:r>
      <w:r w:rsidR="00A852D0">
        <w:rPr>
          <w:rFonts w:cs="Times New Roman"/>
          <w:noProof/>
          <w:szCs w:val="24"/>
        </w:rPr>
        <w:t>.</w:t>
      </w:r>
    </w:p>
    <w:p w14:paraId="5F4F6926" w14:textId="77777777" w:rsidR="00EB7D5A" w:rsidRPr="00EB7D5A" w:rsidRDefault="00EB7D5A" w:rsidP="00EB7D5A">
      <w:pPr>
        <w:jc w:val="both"/>
        <w:rPr>
          <w:rFonts w:eastAsiaTheme="minorEastAsia" w:cs="Times New Roman"/>
          <w:noProof/>
          <w:szCs w:val="24"/>
          <w:lang w:eastAsia="en-GB"/>
        </w:rPr>
      </w:pPr>
      <w:r w:rsidRPr="00EB7D5A">
        <w:rPr>
          <w:rFonts w:eastAsiaTheme="minorEastAsia" w:cs="Times New Roman"/>
          <w:noProof/>
          <w:szCs w:val="24"/>
          <w:lang w:eastAsia="en-GB"/>
        </w:rPr>
        <w:t xml:space="preserve">As Option 5 is the only option not to include a due diligence obligation, EU operators and traders would benefit from this option compared to Options 1-4, as they would not need to set up and maintain due diligence systems for each of their supply chains. </w:t>
      </w:r>
    </w:p>
    <w:p w14:paraId="0481B418" w14:textId="77777777" w:rsidR="00EB7D5A" w:rsidRPr="00EB7D5A" w:rsidRDefault="00EB7D5A" w:rsidP="00EB7D5A">
      <w:pPr>
        <w:jc w:val="both"/>
        <w:rPr>
          <w:rFonts w:eastAsiaTheme="minorEastAsia" w:cs="Times New Roman"/>
          <w:noProof/>
          <w:szCs w:val="24"/>
          <w:lang w:eastAsia="en-GB"/>
        </w:rPr>
      </w:pPr>
      <w:r w:rsidRPr="00EB7D5A">
        <w:rPr>
          <w:rFonts w:eastAsiaTheme="minorEastAsia" w:cs="Times New Roman"/>
          <w:noProof/>
          <w:szCs w:val="24"/>
          <w:lang w:eastAsia="en-GB"/>
        </w:rPr>
        <w:t xml:space="preserve">A benefit of Option 5 to third countries, in comparison to Options 1-4, could be the adaptation of their own public certification systems to the local context. Countries where private certification schemes already cover a high proportion of their exports and where certification has long been used to improve forest management and improve sustainability of supply chains may favour this option, as the transition to public certification would build on existing national efforts and enable more national control in ensuring their products meet the EU requirements. </w:t>
      </w:r>
    </w:p>
    <w:p w14:paraId="02FD5462" w14:textId="29AEA78B" w:rsidR="0000208B" w:rsidRPr="007C1494" w:rsidRDefault="0000208B">
      <w:pPr>
        <w:jc w:val="both"/>
        <w:rPr>
          <w:rFonts w:eastAsiaTheme="minorEastAsia" w:cs="Times New Roman"/>
          <w:b/>
          <w:noProof/>
          <w:szCs w:val="24"/>
          <w:lang w:eastAsia="en-GB"/>
        </w:rPr>
      </w:pPr>
      <w:r w:rsidRPr="007C1494">
        <w:rPr>
          <w:rFonts w:eastAsiaTheme="minorEastAsia" w:cs="Times New Roman"/>
          <w:b/>
          <w:noProof/>
          <w:szCs w:val="24"/>
          <w:lang w:eastAsia="en-GB"/>
        </w:rPr>
        <w:t>Costs</w:t>
      </w:r>
    </w:p>
    <w:p w14:paraId="56EC39B1" w14:textId="6C2A4641" w:rsidR="00D602C9" w:rsidRPr="007C1494" w:rsidRDefault="00D602C9">
      <w:pPr>
        <w:jc w:val="both"/>
        <w:rPr>
          <w:noProof/>
          <w:szCs w:val="24"/>
        </w:rPr>
      </w:pPr>
      <w:r w:rsidRPr="007C1494">
        <w:rPr>
          <w:rFonts w:eastAsiaTheme="minorEastAsia" w:cs="Times New Roman"/>
          <w:noProof/>
          <w:szCs w:val="24"/>
          <w:lang w:eastAsia="en-GB"/>
        </w:rPr>
        <w:t xml:space="preserve">The administrative burden of this policy option depends on the different components of the policy option, i.e. the benchmarking system, the country carding system, and the certification requirement. The costs of the benchmarking system and the carding system would be </w:t>
      </w:r>
      <w:r w:rsidR="0016042E" w:rsidRPr="007C1494">
        <w:rPr>
          <w:rFonts w:eastAsiaTheme="minorEastAsia" w:cs="Times New Roman"/>
          <w:noProof/>
          <w:szCs w:val="24"/>
          <w:lang w:eastAsia="en-GB"/>
        </w:rPr>
        <w:t xml:space="preserve">borne </w:t>
      </w:r>
      <w:r w:rsidRPr="007C1494">
        <w:rPr>
          <w:rFonts w:eastAsiaTheme="minorEastAsia" w:cs="Times New Roman"/>
          <w:noProof/>
          <w:szCs w:val="24"/>
          <w:lang w:eastAsia="en-GB"/>
        </w:rPr>
        <w:t>by the European Commission</w:t>
      </w:r>
      <w:r w:rsidR="0000208B" w:rsidRPr="007C1494">
        <w:rPr>
          <w:rFonts w:eastAsiaTheme="minorEastAsia" w:cs="Times New Roman"/>
          <w:noProof/>
          <w:szCs w:val="24"/>
          <w:lang w:eastAsia="en-GB"/>
        </w:rPr>
        <w:t>. For the 136 countries of relevance</w:t>
      </w:r>
      <w:r w:rsidR="00A34BE9">
        <w:rPr>
          <w:rFonts w:eastAsiaTheme="minorEastAsia" w:cs="Times New Roman"/>
          <w:noProof/>
          <w:szCs w:val="24"/>
          <w:lang w:eastAsia="en-GB"/>
        </w:rPr>
        <w:t>, which export significant quantities of any of the commodities during the past 5 years</w:t>
      </w:r>
      <w:r w:rsidR="0000208B" w:rsidRPr="007C1494">
        <w:rPr>
          <w:rFonts w:eastAsiaTheme="minorEastAsia" w:cs="Times New Roman"/>
          <w:noProof/>
          <w:szCs w:val="24"/>
          <w:lang w:eastAsia="en-GB"/>
        </w:rPr>
        <w:t xml:space="preserve">, the costs of benchmarking is estimated to be </w:t>
      </w:r>
      <w:r w:rsidR="00EB7D5A">
        <w:rPr>
          <w:rFonts w:eastAsiaTheme="minorEastAsia" w:cs="Times New Roman"/>
          <w:noProof/>
          <w:szCs w:val="24"/>
          <w:lang w:eastAsia="en-GB"/>
        </w:rPr>
        <w:t>€</w:t>
      </w:r>
      <w:r w:rsidR="0000208B" w:rsidRPr="007C1494">
        <w:rPr>
          <w:noProof/>
          <w:szCs w:val="24"/>
        </w:rPr>
        <w:t>1,025,712 in year 1</w:t>
      </w:r>
      <w:r w:rsidR="00EB7D5A">
        <w:rPr>
          <w:noProof/>
          <w:szCs w:val="24"/>
        </w:rPr>
        <w:t>,</w:t>
      </w:r>
      <w:r w:rsidR="0000208B" w:rsidRPr="007C1494">
        <w:rPr>
          <w:noProof/>
          <w:szCs w:val="24"/>
        </w:rPr>
        <w:t xml:space="preserve"> and </w:t>
      </w:r>
      <w:r w:rsidR="00EB7D5A">
        <w:rPr>
          <w:noProof/>
          <w:szCs w:val="24"/>
        </w:rPr>
        <w:t>€</w:t>
      </w:r>
      <w:r w:rsidR="0000208B" w:rsidRPr="007C1494">
        <w:rPr>
          <w:noProof/>
          <w:szCs w:val="24"/>
        </w:rPr>
        <w:t>598,264 annually</w:t>
      </w:r>
      <w:r w:rsidR="00EB7D5A" w:rsidRPr="00EB7D5A">
        <w:rPr>
          <w:noProof/>
          <w:szCs w:val="24"/>
        </w:rPr>
        <w:t xml:space="preserve"> </w:t>
      </w:r>
      <w:r w:rsidR="00EB7D5A" w:rsidRPr="007C1494">
        <w:rPr>
          <w:noProof/>
          <w:szCs w:val="24"/>
        </w:rPr>
        <w:t>afterwards</w:t>
      </w:r>
      <w:r w:rsidR="0000208B" w:rsidRPr="007C1494">
        <w:rPr>
          <w:noProof/>
          <w:szCs w:val="24"/>
        </w:rPr>
        <w:t xml:space="preserve">. The costs of the carding system, associated mainly with the necessary country site visits are expected to amount to </w:t>
      </w:r>
      <w:r w:rsidR="00EB7D5A">
        <w:rPr>
          <w:noProof/>
          <w:szCs w:val="24"/>
        </w:rPr>
        <w:t>€</w:t>
      </w:r>
      <w:r w:rsidR="0000208B" w:rsidRPr="007C1494">
        <w:rPr>
          <w:noProof/>
          <w:szCs w:val="24"/>
        </w:rPr>
        <w:t>75,600 per year.</w:t>
      </w:r>
      <w:r w:rsidR="00B571B6" w:rsidRPr="007C1494">
        <w:rPr>
          <w:rFonts w:eastAsiaTheme="minorEastAsia" w:cs="Times New Roman"/>
          <w:noProof/>
          <w:szCs w:val="24"/>
          <w:lang w:eastAsia="en-GB"/>
        </w:rPr>
        <w:t xml:space="preserve"> </w:t>
      </w:r>
      <w:r w:rsidR="00D35275" w:rsidRPr="007C1494">
        <w:rPr>
          <w:noProof/>
          <w:szCs w:val="24"/>
        </w:rPr>
        <w:t xml:space="preserve">At </w:t>
      </w:r>
      <w:r w:rsidR="00D35275" w:rsidRPr="007C1494" w:rsidDel="00F2026D">
        <w:rPr>
          <w:noProof/>
          <w:szCs w:val="24"/>
        </w:rPr>
        <w:t>Member State</w:t>
      </w:r>
      <w:r w:rsidR="00D35275" w:rsidRPr="007C1494">
        <w:rPr>
          <w:noProof/>
          <w:szCs w:val="24"/>
        </w:rPr>
        <w:t xml:space="preserve"> level, it is expected that more </w:t>
      </w:r>
      <w:r w:rsidR="00B0483D" w:rsidRPr="007C1494">
        <w:rPr>
          <w:noProof/>
          <w:szCs w:val="24"/>
        </w:rPr>
        <w:t>resources</w:t>
      </w:r>
      <w:r w:rsidR="00D35275" w:rsidRPr="007C1494">
        <w:rPr>
          <w:noProof/>
          <w:szCs w:val="24"/>
        </w:rPr>
        <w:t xml:space="preserve"> would be needed to control the certifications of commodities and products. An annual costs of </w:t>
      </w:r>
      <w:r w:rsidR="00EB7D5A">
        <w:rPr>
          <w:noProof/>
          <w:szCs w:val="24"/>
        </w:rPr>
        <w:t>€</w:t>
      </w:r>
      <w:r w:rsidR="00A07699" w:rsidRPr="007C1494">
        <w:rPr>
          <w:noProof/>
          <w:szCs w:val="24"/>
        </w:rPr>
        <w:t xml:space="preserve">22,539,794 </w:t>
      </w:r>
      <w:r w:rsidR="00A07699">
        <w:rPr>
          <w:noProof/>
          <w:szCs w:val="24"/>
        </w:rPr>
        <w:t xml:space="preserve">for </w:t>
      </w:r>
      <w:r w:rsidR="00EB7D5A">
        <w:rPr>
          <w:noProof/>
          <w:szCs w:val="24"/>
        </w:rPr>
        <w:t xml:space="preserve">Member </w:t>
      </w:r>
      <w:r w:rsidR="00A07699">
        <w:rPr>
          <w:noProof/>
          <w:szCs w:val="24"/>
        </w:rPr>
        <w:t>S</w:t>
      </w:r>
      <w:r w:rsidR="00EB7D5A">
        <w:rPr>
          <w:noProof/>
          <w:szCs w:val="24"/>
        </w:rPr>
        <w:t xml:space="preserve">tates overall </w:t>
      </w:r>
      <w:r w:rsidR="00D35275" w:rsidRPr="007C1494">
        <w:rPr>
          <w:noProof/>
          <w:szCs w:val="24"/>
        </w:rPr>
        <w:t>is estimated.</w:t>
      </w:r>
    </w:p>
    <w:p w14:paraId="0016F7E6" w14:textId="1EAADAE6" w:rsidR="003871B8" w:rsidRDefault="00A34BE9">
      <w:pPr>
        <w:jc w:val="both"/>
        <w:rPr>
          <w:rFonts w:cs="Times New Roman"/>
          <w:noProof/>
          <w:szCs w:val="24"/>
        </w:rPr>
      </w:pPr>
      <w:r>
        <w:rPr>
          <w:rFonts w:cs="Times New Roman"/>
          <w:noProof/>
          <w:szCs w:val="24"/>
        </w:rPr>
        <w:t xml:space="preserve">Under this option there are no </w:t>
      </w:r>
      <w:r w:rsidRPr="007C1494">
        <w:rPr>
          <w:rFonts w:cs="Times New Roman"/>
          <w:noProof/>
          <w:szCs w:val="24"/>
        </w:rPr>
        <w:t xml:space="preserve">direct costs </w:t>
      </w:r>
      <w:r>
        <w:rPr>
          <w:rFonts w:cs="Times New Roman"/>
          <w:noProof/>
          <w:szCs w:val="24"/>
        </w:rPr>
        <w:t>for EU businesses</w:t>
      </w:r>
      <w:r w:rsidRPr="007C1494">
        <w:rPr>
          <w:rFonts w:cs="Times New Roman"/>
          <w:noProof/>
          <w:szCs w:val="24"/>
        </w:rPr>
        <w:t xml:space="preserve">. </w:t>
      </w:r>
      <w:r>
        <w:rPr>
          <w:rFonts w:cs="Times New Roman"/>
          <w:noProof/>
          <w:szCs w:val="24"/>
        </w:rPr>
        <w:t xml:space="preserve">However, EU businesses </w:t>
      </w:r>
      <w:r w:rsidRPr="007C1494">
        <w:rPr>
          <w:rFonts w:cs="Times New Roman"/>
          <w:noProof/>
          <w:szCs w:val="24"/>
        </w:rPr>
        <w:t xml:space="preserve">may </w:t>
      </w:r>
      <w:r>
        <w:rPr>
          <w:rFonts w:cs="Times New Roman"/>
          <w:noProof/>
          <w:szCs w:val="24"/>
        </w:rPr>
        <w:t>incur in costs when changing source country as a consequence of a ‘red card’ decision by the EU. Given that such ‘red card’ would imply a ban to place certain products on the EU market, the businesses sourcing from such a country would need to find alternative supply chains in other markets.</w:t>
      </w:r>
    </w:p>
    <w:p w14:paraId="445F2B68" w14:textId="7423AB7C" w:rsidR="00EB7D5A" w:rsidRPr="00267A37" w:rsidRDefault="00EB7D5A" w:rsidP="00EB7D5A">
      <w:pPr>
        <w:jc w:val="both"/>
        <w:rPr>
          <w:rFonts w:eastAsiaTheme="minorEastAsia" w:cs="Times New Roman"/>
          <w:noProof/>
          <w:lang w:eastAsia="en-GB"/>
        </w:rPr>
      </w:pPr>
      <w:r w:rsidRPr="00267A37">
        <w:rPr>
          <w:rFonts w:eastAsiaTheme="minorEastAsia" w:cs="Times New Roman"/>
          <w:noProof/>
          <w:lang w:eastAsia="en-GB"/>
        </w:rPr>
        <w:t>The economic impact on third countrie</w:t>
      </w:r>
      <w:r w:rsidR="00DD6B69">
        <w:rPr>
          <w:rFonts w:eastAsiaTheme="minorEastAsia" w:cs="Times New Roman"/>
          <w:noProof/>
          <w:lang w:eastAsia="en-GB"/>
        </w:rPr>
        <w:t>s is likely to be greatest for o</w:t>
      </w:r>
      <w:r w:rsidRPr="00267A37">
        <w:rPr>
          <w:rFonts w:eastAsiaTheme="minorEastAsia" w:cs="Times New Roman"/>
          <w:noProof/>
          <w:lang w:eastAsia="en-GB"/>
        </w:rPr>
        <w:t>ption 5, where any producer country wanting to place commodities and products on the EU market would need to develop a public certification system</w:t>
      </w:r>
      <w:r>
        <w:rPr>
          <w:rFonts w:eastAsiaTheme="minorEastAsia" w:cs="Times New Roman"/>
          <w:noProof/>
          <w:lang w:eastAsia="en-GB"/>
        </w:rPr>
        <w:t>, or adapt a pre-existing one</w:t>
      </w:r>
      <w:r w:rsidR="00DD6B69">
        <w:rPr>
          <w:rFonts w:eastAsiaTheme="minorEastAsia" w:cs="Times New Roman"/>
          <w:noProof/>
          <w:lang w:eastAsia="en-GB"/>
        </w:rPr>
        <w:t>. As discussed under o</w:t>
      </w:r>
      <w:r w:rsidRPr="00267A37">
        <w:rPr>
          <w:rFonts w:eastAsiaTheme="minorEastAsia" w:cs="Times New Roman"/>
          <w:noProof/>
          <w:lang w:eastAsia="en-GB"/>
        </w:rPr>
        <w:t xml:space="preserve">ption 3, the costs to public authorities and ease of developing such systems would depend on </w:t>
      </w:r>
      <w:r w:rsidRPr="00267A37">
        <w:rPr>
          <w:rFonts w:eastAsiaTheme="minorEastAsia" w:cs="Times New Roman"/>
          <w:i/>
          <w:iCs/>
          <w:noProof/>
          <w:lang w:eastAsia="en-GB"/>
        </w:rPr>
        <w:t>inter alia</w:t>
      </w:r>
      <w:r w:rsidRPr="00267A37">
        <w:rPr>
          <w:rFonts w:eastAsiaTheme="minorEastAsia" w:cs="Times New Roman"/>
          <w:noProof/>
          <w:lang w:eastAsia="en-GB"/>
        </w:rPr>
        <w:t xml:space="preserve"> the length and complexity of supply chains, size of the country and area under production, volumes of commodities concerned and the risk of deforestation in the supply chains. The transition to public certification </w:t>
      </w:r>
      <w:r>
        <w:rPr>
          <w:rFonts w:eastAsiaTheme="minorEastAsia" w:cs="Times New Roman"/>
          <w:noProof/>
          <w:lang w:eastAsia="en-GB"/>
        </w:rPr>
        <w:t>less costly</w:t>
      </w:r>
      <w:r w:rsidRPr="00267A37">
        <w:rPr>
          <w:rFonts w:eastAsiaTheme="minorEastAsia" w:cs="Times New Roman"/>
          <w:noProof/>
          <w:lang w:eastAsia="en-GB"/>
        </w:rPr>
        <w:t xml:space="preserve"> for countries where a high proportion of the </w:t>
      </w:r>
      <w:r w:rsidRPr="00233560">
        <w:rPr>
          <w:rFonts w:eastAsiaTheme="minorEastAsia" w:cs="Times New Roman"/>
          <w:noProof/>
          <w:lang w:val="en-US" w:eastAsia="en-GB"/>
        </w:rPr>
        <w:t>commodities exported are already covered by private certification schemes</w:t>
      </w:r>
      <w:r w:rsidRPr="00267A37">
        <w:rPr>
          <w:rFonts w:eastAsiaTheme="minorEastAsia" w:cs="Times New Roman"/>
          <w:noProof/>
          <w:lang w:eastAsia="en-GB"/>
        </w:rPr>
        <w:t>.</w:t>
      </w:r>
    </w:p>
    <w:p w14:paraId="1211196A" w14:textId="528D52B7" w:rsidR="00EB7D5A" w:rsidRPr="00267A37" w:rsidRDefault="00EB7D5A" w:rsidP="00EB7D5A">
      <w:pPr>
        <w:jc w:val="both"/>
        <w:rPr>
          <w:rFonts w:eastAsiaTheme="minorEastAsia" w:cs="Times New Roman"/>
          <w:noProof/>
          <w:lang w:eastAsia="en-GB"/>
        </w:rPr>
      </w:pPr>
      <w:r w:rsidRPr="00267A37">
        <w:rPr>
          <w:rFonts w:eastAsiaTheme="minorEastAsia" w:cs="Times New Roman"/>
          <w:noProof/>
          <w:lang w:eastAsia="en-GB"/>
        </w:rPr>
        <w:t xml:space="preserve">As all options 1-5 would require producers to make the necessary improvements to their production practices to meet the legality and deforestation-free requirements, additional costs to producers </w:t>
      </w:r>
      <w:r>
        <w:rPr>
          <w:rFonts w:eastAsiaTheme="minorEastAsia" w:cs="Times New Roman"/>
          <w:noProof/>
          <w:lang w:eastAsia="en-GB"/>
        </w:rPr>
        <w:t xml:space="preserve">countries </w:t>
      </w:r>
      <w:r w:rsidR="00DD6B69">
        <w:rPr>
          <w:rFonts w:eastAsiaTheme="minorEastAsia" w:cs="Times New Roman"/>
          <w:noProof/>
          <w:lang w:eastAsia="en-GB"/>
        </w:rPr>
        <w:t>under o</w:t>
      </w:r>
      <w:r w:rsidRPr="00267A37">
        <w:rPr>
          <w:rFonts w:eastAsiaTheme="minorEastAsia" w:cs="Times New Roman"/>
          <w:noProof/>
          <w:lang w:eastAsia="en-GB"/>
        </w:rPr>
        <w:t xml:space="preserve">ption 5 would relate to gaining public certification. </w:t>
      </w:r>
    </w:p>
    <w:p w14:paraId="2840FAF9" w14:textId="16B40D4A" w:rsidR="00EB7D5A" w:rsidRPr="00267A37" w:rsidRDefault="00EB7D5A" w:rsidP="00094436">
      <w:pPr>
        <w:jc w:val="both"/>
        <w:rPr>
          <w:rFonts w:eastAsiaTheme="minorEastAsia" w:cs="Times New Roman"/>
          <w:noProof/>
          <w:lang w:eastAsia="en-GB"/>
        </w:rPr>
      </w:pPr>
      <w:r>
        <w:rPr>
          <w:rFonts w:eastAsiaTheme="minorEastAsia" w:cs="Times New Roman"/>
          <w:noProof/>
          <w:lang w:eastAsia="en-GB"/>
        </w:rPr>
        <w:t>C</w:t>
      </w:r>
      <w:r w:rsidRPr="00267A37">
        <w:rPr>
          <w:rFonts w:eastAsiaTheme="minorEastAsia" w:cs="Times New Roman"/>
          <w:noProof/>
          <w:lang w:eastAsia="en-GB"/>
        </w:rPr>
        <w:t>ountry carding will not only signal which countries have high rates of deforestation/degradation and inadequate measures in place (yellow card), but the red card option will be the basis for an EU ban on trade</w:t>
      </w:r>
      <w:r>
        <w:rPr>
          <w:rFonts w:eastAsiaTheme="minorEastAsia" w:cs="Times New Roman"/>
          <w:noProof/>
          <w:lang w:eastAsia="en-GB"/>
        </w:rPr>
        <w:t>, with the sharpest economic impact on countries concerned</w:t>
      </w:r>
      <w:r w:rsidRPr="00267A37">
        <w:rPr>
          <w:rFonts w:eastAsiaTheme="minorEastAsia" w:cs="Times New Roman"/>
          <w:noProof/>
          <w:lang w:eastAsia="en-GB"/>
        </w:rPr>
        <w:t xml:space="preserve">. This could have a strong economic impact on high risk countries unable to </w:t>
      </w:r>
      <w:r>
        <w:rPr>
          <w:rFonts w:eastAsiaTheme="minorEastAsia" w:cs="Times New Roman"/>
          <w:noProof/>
          <w:lang w:eastAsia="en-GB"/>
        </w:rPr>
        <w:t xml:space="preserve">efficiently </w:t>
      </w:r>
      <w:r w:rsidRPr="00267A37">
        <w:rPr>
          <w:rFonts w:eastAsiaTheme="minorEastAsia" w:cs="Times New Roman"/>
          <w:noProof/>
          <w:lang w:eastAsia="en-GB"/>
        </w:rPr>
        <w:t xml:space="preserve">remove deforestation risk from their supply chains, especially where exports to the EU contribute a sizeable proportion of their GDP. </w:t>
      </w:r>
    </w:p>
    <w:p w14:paraId="1CDA01E9" w14:textId="0659618D" w:rsidR="00AA6806" w:rsidRDefault="00EB7D5A" w:rsidP="00EA7989">
      <w:pPr>
        <w:jc w:val="both"/>
        <w:rPr>
          <w:rFonts w:eastAsiaTheme="minorEastAsia" w:cs="Times New Roman"/>
          <w:noProof/>
          <w:lang w:eastAsia="en-GB"/>
        </w:rPr>
      </w:pPr>
      <w:r w:rsidRPr="00267A37">
        <w:rPr>
          <w:rFonts w:eastAsiaTheme="minorEastAsia" w:cs="Times New Roman"/>
          <w:noProof/>
          <w:lang w:eastAsia="en-GB"/>
        </w:rPr>
        <w:t>As detailed in section 6.1, supply chains in some high risk countries and for some commodities rely on large numbers of smallholders (e.g. cocoa in Côte d’Ivoire and Ghana, palm oil in Indonesia and Malaysia), and additional EU support and funding focused on such countries would be needed to assist in the transition to deforestation-free production, to minimise the economic and social</w:t>
      </w:r>
      <w:r w:rsidRPr="00267A37" w:rsidDel="00BB3C43">
        <w:rPr>
          <w:rFonts w:eastAsiaTheme="minorEastAsia" w:cs="Times New Roman"/>
          <w:noProof/>
          <w:lang w:eastAsia="en-GB"/>
        </w:rPr>
        <w:t xml:space="preserve"> </w:t>
      </w:r>
      <w:r w:rsidRPr="00267A37">
        <w:rPr>
          <w:rFonts w:eastAsiaTheme="minorEastAsia" w:cs="Times New Roman"/>
          <w:noProof/>
          <w:lang w:eastAsia="en-GB"/>
        </w:rPr>
        <w:t>impacts on vulnerable communities (</w:t>
      </w:r>
      <w:r w:rsidR="0092078A">
        <w:rPr>
          <w:rFonts w:eastAsiaTheme="minorEastAsia" w:cs="Times New Roman"/>
          <w:noProof/>
          <w:lang w:eastAsia="en-GB"/>
        </w:rPr>
        <w:t xml:space="preserve">as foreseen </w:t>
      </w:r>
      <w:r w:rsidRPr="00267A37">
        <w:rPr>
          <w:rFonts w:eastAsiaTheme="minorEastAsia" w:cs="Times New Roman"/>
          <w:noProof/>
          <w:lang w:eastAsia="en-GB"/>
        </w:rPr>
        <w:t xml:space="preserve">under Priority 2 of the 2019 Communication). </w:t>
      </w:r>
      <w:bookmarkStart w:id="202" w:name="_Toc75542204"/>
      <w:bookmarkStart w:id="203" w:name="_Toc75543305"/>
    </w:p>
    <w:p w14:paraId="3D499322" w14:textId="2EE6BD0C" w:rsidR="005D6D16" w:rsidRDefault="005D6D16">
      <w:pPr>
        <w:rPr>
          <w:rFonts w:eastAsiaTheme="minorEastAsia" w:cs="Times New Roman"/>
          <w:noProof/>
          <w:lang w:eastAsia="en-GB"/>
        </w:rPr>
        <w:sectPr w:rsidR="005D6D16" w:rsidSect="00AA6806">
          <w:headerReference w:type="even" r:id="rId46"/>
          <w:headerReference w:type="default" r:id="rId47"/>
          <w:footerReference w:type="even" r:id="rId48"/>
          <w:footerReference w:type="default" r:id="rId49"/>
          <w:headerReference w:type="first" r:id="rId50"/>
          <w:footerReference w:type="first" r:id="rId51"/>
          <w:pgSz w:w="11906" w:h="16838"/>
          <w:pgMar w:top="1020" w:right="1701" w:bottom="1020" w:left="1587" w:header="601" w:footer="1077" w:gutter="0"/>
          <w:cols w:space="720"/>
          <w:titlePg/>
          <w:docGrid w:linePitch="326"/>
        </w:sectPr>
      </w:pPr>
    </w:p>
    <w:p w14:paraId="6B2FDD01" w14:textId="3FB27BF1" w:rsidR="005D6D16" w:rsidRDefault="005D6D16">
      <w:pPr>
        <w:rPr>
          <w:rFonts w:eastAsiaTheme="minorEastAsia" w:cs="Times New Roman"/>
          <w:noProof/>
          <w:lang w:eastAsia="en-GB"/>
        </w:rPr>
      </w:pPr>
    </w:p>
    <w:p w14:paraId="2A5F9E3F" w14:textId="373E35F1" w:rsidR="00BD2EDD" w:rsidRPr="007C1494" w:rsidRDefault="00335526" w:rsidP="00335526">
      <w:pPr>
        <w:pStyle w:val="Heading1"/>
        <w:rPr>
          <w:noProof/>
        </w:rPr>
      </w:pPr>
      <w:bookmarkStart w:id="204" w:name="_Toc84591926"/>
      <w:r w:rsidRPr="00335526">
        <w:t>7</w:t>
      </w:r>
      <w:r w:rsidRPr="00335526">
        <w:tab/>
      </w:r>
      <w:r w:rsidR="006C1138" w:rsidRPr="007C1494">
        <w:rPr>
          <w:noProof/>
        </w:rPr>
        <w:t>H</w:t>
      </w:r>
      <w:r w:rsidR="00B34B8F" w:rsidRPr="007C1494">
        <w:rPr>
          <w:noProof/>
        </w:rPr>
        <w:t>ow do the options compare</w:t>
      </w:r>
      <w:r w:rsidR="006C1138" w:rsidRPr="007C1494">
        <w:rPr>
          <w:noProof/>
        </w:rPr>
        <w:t>?</w:t>
      </w:r>
      <w:bookmarkEnd w:id="202"/>
      <w:bookmarkEnd w:id="203"/>
      <w:bookmarkEnd w:id="204"/>
    </w:p>
    <w:p w14:paraId="20BDA4AF" w14:textId="59B51462" w:rsidR="00CF7B15" w:rsidRDefault="009B018D" w:rsidP="00304EDA">
      <w:pPr>
        <w:jc w:val="both"/>
        <w:rPr>
          <w:rFonts w:eastAsiaTheme="minorEastAsia" w:cs="Times New Roman"/>
          <w:noProof/>
          <w:szCs w:val="24"/>
          <w:lang w:eastAsia="en-GB"/>
        </w:rPr>
      </w:pPr>
      <w:r>
        <w:rPr>
          <w:rFonts w:eastAsiaTheme="minorEastAsia" w:cs="Times New Roman"/>
          <w:noProof/>
          <w:szCs w:val="24"/>
          <w:lang w:eastAsia="en-GB"/>
        </w:rPr>
        <w:t xml:space="preserve">The </w:t>
      </w:r>
      <w:r w:rsidR="004B4EAA">
        <w:rPr>
          <w:rFonts w:eastAsiaTheme="minorEastAsia" w:cs="Times New Roman"/>
          <w:noProof/>
          <w:szCs w:val="24"/>
          <w:lang w:eastAsia="en-GB"/>
        </w:rPr>
        <w:t>t</w:t>
      </w:r>
      <w:r w:rsidR="007B2233">
        <w:rPr>
          <w:rFonts w:eastAsiaTheme="minorEastAsia" w:cs="Times New Roman"/>
          <w:noProof/>
          <w:szCs w:val="24"/>
          <w:lang w:eastAsia="en-GB"/>
        </w:rPr>
        <w:t>able</w:t>
      </w:r>
      <w:r w:rsidR="004B4EAA" w:rsidRPr="007C1494">
        <w:rPr>
          <w:rFonts w:eastAsiaTheme="minorEastAsia" w:cs="Times New Roman"/>
          <w:noProof/>
          <w:szCs w:val="24"/>
          <w:lang w:eastAsia="en-GB"/>
        </w:rPr>
        <w:t xml:space="preserve"> below give an overview of the analysis of the impacts as discussed in Section 6. It summarises the conclusions on the environmental, economic and social impacts and provides simple overview how the options compare </w:t>
      </w:r>
      <w:r w:rsidR="00DD2D2E">
        <w:rPr>
          <w:rFonts w:eastAsiaTheme="minorEastAsia" w:cs="Times New Roman"/>
          <w:noProof/>
          <w:szCs w:val="24"/>
          <w:lang w:eastAsia="en-GB"/>
        </w:rPr>
        <w:t>against baseline situation</w:t>
      </w:r>
      <w:r w:rsidR="004B4EAA" w:rsidRPr="007C1494">
        <w:rPr>
          <w:rFonts w:eastAsiaTheme="minorEastAsia" w:cs="Times New Roman"/>
          <w:noProof/>
          <w:szCs w:val="24"/>
          <w:lang w:eastAsia="en-GB"/>
        </w:rPr>
        <w:t xml:space="preserve"> in terms of effectiveness</w:t>
      </w:r>
      <w:r w:rsidR="004B4EAA">
        <w:rPr>
          <w:rFonts w:eastAsiaTheme="minorEastAsia" w:cs="Times New Roman"/>
          <w:noProof/>
          <w:szCs w:val="24"/>
          <w:lang w:eastAsia="en-GB"/>
        </w:rPr>
        <w:t xml:space="preserve"> and</w:t>
      </w:r>
      <w:r w:rsidR="004B4EAA" w:rsidRPr="007C1494">
        <w:rPr>
          <w:rFonts w:eastAsiaTheme="minorEastAsia" w:cs="Times New Roman"/>
          <w:noProof/>
          <w:szCs w:val="24"/>
          <w:lang w:eastAsia="en-GB"/>
        </w:rPr>
        <w:t xml:space="preserve"> efficiency</w:t>
      </w:r>
      <w:r w:rsidR="004B4EAA" w:rsidRPr="007C1494">
        <w:rPr>
          <w:rStyle w:val="FootnoteReference"/>
          <w:rFonts w:eastAsiaTheme="minorEastAsia" w:cs="Times New Roman"/>
          <w:noProof/>
          <w:szCs w:val="24"/>
          <w:lang w:eastAsia="en-GB"/>
        </w:rPr>
        <w:footnoteReference w:id="210"/>
      </w:r>
      <w:r w:rsidR="004B4EAA" w:rsidRPr="007C1494">
        <w:rPr>
          <w:rFonts w:eastAsiaTheme="minorEastAsia" w:cs="Times New Roman"/>
          <w:noProof/>
          <w:szCs w:val="24"/>
          <w:lang w:eastAsia="en-GB"/>
        </w:rPr>
        <w:t>.</w:t>
      </w:r>
      <w:r w:rsidR="007B2233">
        <w:rPr>
          <w:rFonts w:eastAsiaTheme="minorEastAsia" w:cs="Times New Roman"/>
          <w:noProof/>
          <w:szCs w:val="24"/>
          <w:lang w:eastAsia="en-GB"/>
        </w:rPr>
        <w:t xml:space="preserve"> A more comprehensive comparison is contained in annex 8.</w:t>
      </w:r>
    </w:p>
    <w:p w14:paraId="3046A283" w14:textId="77777777" w:rsidR="000C0519" w:rsidRPr="00A852D0" w:rsidRDefault="000C0519" w:rsidP="000C0519">
      <w:pPr>
        <w:keepNext/>
        <w:keepLines/>
        <w:tabs>
          <w:tab w:val="left" w:pos="1134"/>
        </w:tabs>
        <w:spacing w:before="360" w:after="160" w:line="240" w:lineRule="auto"/>
        <w:outlineLvl w:val="3"/>
        <w:rPr>
          <w:rFonts w:eastAsia="Times New Roman" w:cs="Times New Roman"/>
          <w:noProof/>
          <w:szCs w:val="24"/>
          <w:lang w:eastAsia="en-GB"/>
        </w:rPr>
      </w:pPr>
      <w:r>
        <w:rPr>
          <w:rFonts w:eastAsia="Times New Roman" w:cs="Times New Roman"/>
          <w:noProof/>
          <w:szCs w:val="24"/>
          <w:lang w:eastAsia="en-GB"/>
        </w:rPr>
        <w:t>Table</w:t>
      </w:r>
      <w:r w:rsidRPr="00A852D0">
        <w:rPr>
          <w:rFonts w:eastAsia="Times New Roman" w:cs="Times New Roman"/>
          <w:noProof/>
          <w:szCs w:val="24"/>
          <w:lang w:eastAsia="en-GB"/>
        </w:rPr>
        <w:t xml:space="preserve"> </w:t>
      </w:r>
      <w:r>
        <w:rPr>
          <w:rFonts w:eastAsia="Times New Roman" w:cs="Times New Roman"/>
          <w:noProof/>
          <w:szCs w:val="24"/>
          <w:lang w:eastAsia="en-GB"/>
        </w:rPr>
        <w:t>8</w:t>
      </w:r>
      <w:r w:rsidRPr="00A852D0">
        <w:rPr>
          <w:rFonts w:eastAsia="Times New Roman" w:cs="Times New Roman"/>
          <w:noProof/>
          <w:szCs w:val="24"/>
          <w:lang w:eastAsia="en-GB"/>
        </w:rPr>
        <w:tab/>
        <w:t>Option comparison</w:t>
      </w:r>
      <w:r>
        <w:rPr>
          <w:rFonts w:eastAsia="Times New Roman" w:cs="Times New Roman"/>
          <w:noProof/>
          <w:szCs w:val="24"/>
          <w:lang w:eastAsia="en-GB"/>
        </w:rPr>
        <w:t xml:space="preserve"> against baseline</w:t>
      </w:r>
      <w:r w:rsidRPr="00A852D0">
        <w:rPr>
          <w:rFonts w:eastAsia="Times New Roman" w:cs="Times New Roman"/>
          <w:noProof/>
          <w:szCs w:val="24"/>
          <w:lang w:eastAsia="en-GB"/>
        </w:rPr>
        <w:t xml:space="preserve"> in terms of effectiveness</w:t>
      </w:r>
      <w:r>
        <w:rPr>
          <w:rFonts w:eastAsia="Times New Roman" w:cs="Times New Roman"/>
          <w:noProof/>
          <w:szCs w:val="24"/>
          <w:lang w:eastAsia="en-GB"/>
        </w:rPr>
        <w:t xml:space="preserve"> and</w:t>
      </w:r>
      <w:r w:rsidRPr="00A852D0">
        <w:rPr>
          <w:rFonts w:eastAsia="Times New Roman" w:cs="Times New Roman"/>
          <w:noProof/>
          <w:szCs w:val="24"/>
          <w:lang w:eastAsia="en-GB"/>
        </w:rPr>
        <w:t xml:space="preserve"> efficiency </w:t>
      </w:r>
    </w:p>
    <w:tbl>
      <w:tblPr>
        <w:tblStyle w:val="TableGrid"/>
        <w:tblW w:w="14228" w:type="dxa"/>
        <w:jc w:val="center"/>
        <w:tblLayout w:type="fixed"/>
        <w:tblLook w:val="04A0" w:firstRow="1" w:lastRow="0" w:firstColumn="1" w:lastColumn="0" w:noHBand="0" w:noVBand="1"/>
      </w:tblPr>
      <w:tblGrid>
        <w:gridCol w:w="6913"/>
        <w:gridCol w:w="1976"/>
        <w:gridCol w:w="2761"/>
        <w:gridCol w:w="1289"/>
        <w:gridCol w:w="1289"/>
      </w:tblGrid>
      <w:tr w:rsidR="00EA7989" w:rsidRPr="007C1494" w14:paraId="5279CBA8" w14:textId="77777777" w:rsidTr="00AA6806">
        <w:trPr>
          <w:cantSplit/>
          <w:trHeight w:hRule="exact" w:val="567"/>
          <w:tblHeader/>
          <w:jc w:val="center"/>
        </w:trPr>
        <w:tc>
          <w:tcPr>
            <w:tcW w:w="6913" w:type="dxa"/>
            <w:shd w:val="clear" w:color="auto" w:fill="D9D9D9" w:themeFill="background1" w:themeFillShade="D9"/>
            <w:vAlign w:val="center"/>
          </w:tcPr>
          <w:p w14:paraId="20D556A2" w14:textId="77777777" w:rsidR="00EA7989" w:rsidRPr="007C1494" w:rsidRDefault="00EA7989" w:rsidP="00EA7989">
            <w:pPr>
              <w:rPr>
                <w:rFonts w:eastAsiaTheme="minorEastAsia"/>
                <w:b/>
                <w:noProof/>
                <w:sz w:val="22"/>
                <w:szCs w:val="22"/>
                <w:lang w:eastAsia="en-US"/>
              </w:rPr>
            </w:pPr>
            <w:r w:rsidRPr="007C1494">
              <w:rPr>
                <w:b/>
                <w:bCs/>
                <w:noProof/>
                <w:sz w:val="22"/>
                <w:szCs w:val="22"/>
              </w:rPr>
              <w:t>Options</w:t>
            </w:r>
          </w:p>
        </w:tc>
        <w:tc>
          <w:tcPr>
            <w:tcW w:w="4737" w:type="dxa"/>
            <w:gridSpan w:val="2"/>
            <w:shd w:val="clear" w:color="auto" w:fill="D9D9D9" w:themeFill="background1" w:themeFillShade="D9"/>
            <w:vAlign w:val="center"/>
          </w:tcPr>
          <w:p w14:paraId="33693811" w14:textId="77777777" w:rsidR="00EA7989" w:rsidRDefault="00EA7989" w:rsidP="00EA7989">
            <w:pPr>
              <w:jc w:val="center"/>
              <w:rPr>
                <w:b/>
                <w:bCs/>
                <w:noProof/>
                <w:sz w:val="22"/>
                <w:szCs w:val="22"/>
              </w:rPr>
            </w:pPr>
          </w:p>
          <w:p w14:paraId="6698B0A3" w14:textId="77777777" w:rsidR="00EA7989" w:rsidRDefault="00EA7989" w:rsidP="00EA7989">
            <w:pPr>
              <w:jc w:val="center"/>
              <w:rPr>
                <w:b/>
                <w:bCs/>
                <w:noProof/>
                <w:sz w:val="22"/>
                <w:szCs w:val="22"/>
              </w:rPr>
            </w:pPr>
          </w:p>
          <w:p w14:paraId="0ABD5837" w14:textId="77777777" w:rsidR="00EA7989" w:rsidRPr="00A852D0" w:rsidRDefault="00EA7989" w:rsidP="00EA7989">
            <w:pPr>
              <w:jc w:val="center"/>
              <w:rPr>
                <w:b/>
                <w:bCs/>
                <w:noProof/>
                <w:sz w:val="22"/>
                <w:szCs w:val="22"/>
              </w:rPr>
            </w:pPr>
            <w:r w:rsidRPr="007C1494">
              <w:rPr>
                <w:b/>
                <w:bCs/>
                <w:noProof/>
                <w:sz w:val="22"/>
                <w:szCs w:val="22"/>
              </w:rPr>
              <w:t>Effectiveness</w:t>
            </w:r>
            <w:r>
              <w:rPr>
                <w:b/>
                <w:bCs/>
                <w:noProof/>
                <w:sz w:val="22"/>
                <w:szCs w:val="22"/>
              </w:rPr>
              <w:t xml:space="preserve"> linked to the objectives</w:t>
            </w:r>
          </w:p>
          <w:p w14:paraId="1CEDDC7F" w14:textId="77777777" w:rsidR="00EA7989" w:rsidRPr="007C1494" w:rsidRDefault="00EA7989" w:rsidP="00EA7989">
            <w:pPr>
              <w:jc w:val="center"/>
              <w:rPr>
                <w:b/>
                <w:bCs/>
                <w:noProof/>
                <w:sz w:val="22"/>
              </w:rPr>
            </w:pPr>
          </w:p>
          <w:p w14:paraId="6C30B58C" w14:textId="77777777" w:rsidR="00EA7989" w:rsidRPr="007C1494" w:rsidRDefault="00EA7989" w:rsidP="00EA7989">
            <w:pPr>
              <w:jc w:val="center"/>
              <w:rPr>
                <w:b/>
                <w:bCs/>
                <w:noProof/>
                <w:sz w:val="22"/>
              </w:rPr>
            </w:pPr>
          </w:p>
        </w:tc>
        <w:tc>
          <w:tcPr>
            <w:tcW w:w="1289" w:type="dxa"/>
            <w:shd w:val="clear" w:color="auto" w:fill="D9D9D9" w:themeFill="background1" w:themeFillShade="D9"/>
            <w:vAlign w:val="center"/>
          </w:tcPr>
          <w:p w14:paraId="23B1ABA8" w14:textId="77777777" w:rsidR="00EA7989" w:rsidRPr="007C1494" w:rsidRDefault="00EA7989" w:rsidP="00EA7989">
            <w:pPr>
              <w:jc w:val="center"/>
              <w:rPr>
                <w:rFonts w:eastAsiaTheme="minorEastAsia"/>
                <w:b/>
                <w:noProof/>
                <w:sz w:val="22"/>
                <w:szCs w:val="22"/>
                <w:lang w:eastAsia="en-US"/>
              </w:rPr>
            </w:pPr>
            <w:r w:rsidRPr="007C1494">
              <w:rPr>
                <w:b/>
                <w:bCs/>
                <w:noProof/>
                <w:sz w:val="22"/>
                <w:szCs w:val="22"/>
              </w:rPr>
              <w:t>Efficiency</w:t>
            </w:r>
          </w:p>
        </w:tc>
        <w:tc>
          <w:tcPr>
            <w:tcW w:w="1289" w:type="dxa"/>
            <w:shd w:val="clear" w:color="auto" w:fill="D9D9D9" w:themeFill="background1" w:themeFillShade="D9"/>
            <w:vAlign w:val="center"/>
          </w:tcPr>
          <w:p w14:paraId="7212FFCE" w14:textId="77777777" w:rsidR="00EA7989" w:rsidRPr="007C1494" w:rsidRDefault="00EA7989" w:rsidP="00EA7989">
            <w:pPr>
              <w:jc w:val="center"/>
              <w:rPr>
                <w:b/>
                <w:bCs/>
                <w:noProof/>
                <w:sz w:val="22"/>
              </w:rPr>
            </w:pPr>
            <w:r>
              <w:rPr>
                <w:b/>
                <w:bCs/>
                <w:noProof/>
                <w:sz w:val="22"/>
                <w:szCs w:val="22"/>
              </w:rPr>
              <w:t>Coherence</w:t>
            </w:r>
          </w:p>
        </w:tc>
      </w:tr>
      <w:tr w:rsidR="00EA7989" w:rsidRPr="007C1494" w14:paraId="5CBED2E6" w14:textId="77777777" w:rsidTr="00AA6806">
        <w:trPr>
          <w:cantSplit/>
          <w:trHeight w:hRule="exact" w:val="567"/>
          <w:jc w:val="center"/>
        </w:trPr>
        <w:tc>
          <w:tcPr>
            <w:tcW w:w="6913" w:type="dxa"/>
            <w:vAlign w:val="center"/>
          </w:tcPr>
          <w:p w14:paraId="2586C9B2" w14:textId="77777777" w:rsidR="00EA7989" w:rsidRPr="007C1494" w:rsidRDefault="00EA7989" w:rsidP="00EA7989">
            <w:pPr>
              <w:rPr>
                <w:b/>
                <w:noProof/>
                <w:szCs w:val="24"/>
              </w:rPr>
            </w:pPr>
          </w:p>
        </w:tc>
        <w:tc>
          <w:tcPr>
            <w:tcW w:w="1976" w:type="dxa"/>
            <w:vAlign w:val="center"/>
          </w:tcPr>
          <w:p w14:paraId="3EF46717" w14:textId="77777777" w:rsidR="00EA7989" w:rsidRPr="007C1494" w:rsidRDefault="00EA7989" w:rsidP="00EA7989">
            <w:pPr>
              <w:jc w:val="center"/>
              <w:rPr>
                <w:noProof/>
                <w:szCs w:val="24"/>
              </w:rPr>
            </w:pPr>
            <w:r>
              <w:rPr>
                <w:noProof/>
                <w:szCs w:val="24"/>
              </w:rPr>
              <w:t>Curb EU-driven deforestation</w:t>
            </w:r>
          </w:p>
        </w:tc>
        <w:tc>
          <w:tcPr>
            <w:tcW w:w="2761" w:type="dxa"/>
          </w:tcPr>
          <w:p w14:paraId="4123A463" w14:textId="77777777" w:rsidR="00EA7989" w:rsidRDefault="00EA7989" w:rsidP="00EA7989">
            <w:pPr>
              <w:jc w:val="center"/>
              <w:rPr>
                <w:noProof/>
                <w:szCs w:val="24"/>
              </w:rPr>
            </w:pPr>
            <w:r>
              <w:rPr>
                <w:noProof/>
                <w:szCs w:val="24"/>
              </w:rPr>
              <w:t>Minimise placing of unsustainable products (and increase intake of sustainable products)</w:t>
            </w:r>
          </w:p>
        </w:tc>
        <w:tc>
          <w:tcPr>
            <w:tcW w:w="1289" w:type="dxa"/>
            <w:vAlign w:val="center"/>
          </w:tcPr>
          <w:p w14:paraId="0F664B4D" w14:textId="77777777" w:rsidR="00EA7989" w:rsidRPr="007C1494" w:rsidRDefault="00EA7989" w:rsidP="00EA7989">
            <w:pPr>
              <w:jc w:val="center"/>
              <w:rPr>
                <w:noProof/>
                <w:szCs w:val="24"/>
              </w:rPr>
            </w:pPr>
          </w:p>
        </w:tc>
        <w:tc>
          <w:tcPr>
            <w:tcW w:w="1289" w:type="dxa"/>
          </w:tcPr>
          <w:p w14:paraId="62637A93" w14:textId="77777777" w:rsidR="00EA7989" w:rsidRPr="007C1494" w:rsidRDefault="00EA7989" w:rsidP="00EA7989">
            <w:pPr>
              <w:jc w:val="center"/>
              <w:rPr>
                <w:noProof/>
                <w:szCs w:val="24"/>
              </w:rPr>
            </w:pPr>
          </w:p>
        </w:tc>
      </w:tr>
      <w:tr w:rsidR="00EA7989" w:rsidRPr="007C1494" w14:paraId="0730CBD3" w14:textId="77777777" w:rsidTr="00AA6806">
        <w:trPr>
          <w:cantSplit/>
          <w:trHeight w:hRule="exact" w:val="567"/>
          <w:jc w:val="center"/>
        </w:trPr>
        <w:tc>
          <w:tcPr>
            <w:tcW w:w="6913" w:type="dxa"/>
            <w:vAlign w:val="center"/>
          </w:tcPr>
          <w:p w14:paraId="1FADACC8" w14:textId="77777777" w:rsidR="00EA7989" w:rsidRPr="007C1494" w:rsidRDefault="00EA7989" w:rsidP="00EA7989">
            <w:pPr>
              <w:rPr>
                <w:rFonts w:eastAsiaTheme="minorEastAsia"/>
                <w:b/>
                <w:noProof/>
                <w:szCs w:val="24"/>
                <w:lang w:eastAsia="en-US"/>
              </w:rPr>
            </w:pPr>
            <w:r w:rsidRPr="007C1494">
              <w:rPr>
                <w:b/>
                <w:noProof/>
                <w:szCs w:val="24"/>
              </w:rPr>
              <w:t>Option 1</w:t>
            </w:r>
            <w:r w:rsidRPr="007C1494">
              <w:rPr>
                <w:noProof/>
                <w:szCs w:val="24"/>
              </w:rPr>
              <w:t xml:space="preserve">: Mandatory </w:t>
            </w:r>
            <w:r w:rsidRPr="007C1494" w:rsidDel="00471E73">
              <w:rPr>
                <w:noProof/>
                <w:szCs w:val="24"/>
              </w:rPr>
              <w:t>due diligence</w:t>
            </w:r>
            <w:r w:rsidRPr="007C1494" w:rsidDel="00974952">
              <w:rPr>
                <w:noProof/>
                <w:szCs w:val="24"/>
              </w:rPr>
              <w:t xml:space="preserve"> system</w:t>
            </w:r>
            <w:r w:rsidRPr="007C1494">
              <w:rPr>
                <w:noProof/>
                <w:szCs w:val="24"/>
              </w:rPr>
              <w:t xml:space="preserve">, relying on a deforestation free definition </w:t>
            </w:r>
          </w:p>
        </w:tc>
        <w:tc>
          <w:tcPr>
            <w:tcW w:w="1976" w:type="dxa"/>
            <w:vAlign w:val="center"/>
          </w:tcPr>
          <w:p w14:paraId="64CA255C" w14:textId="77777777" w:rsidR="00EA7989" w:rsidRPr="007C1494" w:rsidRDefault="00EA7989" w:rsidP="00EA7989">
            <w:pPr>
              <w:jc w:val="center"/>
              <w:rPr>
                <w:noProof/>
                <w:szCs w:val="24"/>
              </w:rPr>
            </w:pPr>
            <w:r w:rsidRPr="007C1494">
              <w:rPr>
                <w:noProof/>
                <w:szCs w:val="24"/>
              </w:rPr>
              <w:t>++</w:t>
            </w:r>
          </w:p>
        </w:tc>
        <w:tc>
          <w:tcPr>
            <w:tcW w:w="2761" w:type="dxa"/>
          </w:tcPr>
          <w:p w14:paraId="3A0816CF" w14:textId="77777777" w:rsidR="00EA7989" w:rsidRDefault="00EA7989" w:rsidP="00EA7989">
            <w:pPr>
              <w:jc w:val="center"/>
              <w:rPr>
                <w:noProof/>
                <w:szCs w:val="24"/>
              </w:rPr>
            </w:pPr>
          </w:p>
          <w:p w14:paraId="635FDB9D" w14:textId="77777777" w:rsidR="00EA7989" w:rsidRPr="007C1494" w:rsidRDefault="00EA7989" w:rsidP="00EA7989">
            <w:pPr>
              <w:jc w:val="center"/>
              <w:rPr>
                <w:noProof/>
                <w:szCs w:val="24"/>
              </w:rPr>
            </w:pPr>
            <w:r>
              <w:rPr>
                <w:noProof/>
                <w:szCs w:val="24"/>
              </w:rPr>
              <w:t>++</w:t>
            </w:r>
          </w:p>
          <w:p w14:paraId="6F78FCC2" w14:textId="77777777" w:rsidR="00EA7989" w:rsidRPr="007C1494" w:rsidRDefault="00EA7989" w:rsidP="00EA7989">
            <w:pPr>
              <w:jc w:val="center"/>
              <w:rPr>
                <w:noProof/>
                <w:szCs w:val="24"/>
              </w:rPr>
            </w:pPr>
          </w:p>
        </w:tc>
        <w:tc>
          <w:tcPr>
            <w:tcW w:w="1289" w:type="dxa"/>
            <w:vAlign w:val="center"/>
          </w:tcPr>
          <w:p w14:paraId="0F859FCE" w14:textId="77777777" w:rsidR="00EA7989" w:rsidRPr="007C1494" w:rsidRDefault="00EA7989" w:rsidP="00EA7989">
            <w:pPr>
              <w:jc w:val="center"/>
              <w:rPr>
                <w:noProof/>
                <w:szCs w:val="24"/>
              </w:rPr>
            </w:pPr>
            <w:r w:rsidRPr="007C1494">
              <w:rPr>
                <w:noProof/>
                <w:szCs w:val="24"/>
              </w:rPr>
              <w:t>+</w:t>
            </w:r>
            <w:r>
              <w:rPr>
                <w:noProof/>
                <w:szCs w:val="24"/>
              </w:rPr>
              <w:t>+</w:t>
            </w:r>
          </w:p>
        </w:tc>
        <w:tc>
          <w:tcPr>
            <w:tcW w:w="1289" w:type="dxa"/>
            <w:vAlign w:val="center"/>
          </w:tcPr>
          <w:p w14:paraId="14506919" w14:textId="77777777" w:rsidR="00EA7989" w:rsidRPr="007C1494" w:rsidRDefault="00EA7989" w:rsidP="00EA7989">
            <w:pPr>
              <w:jc w:val="center"/>
              <w:rPr>
                <w:noProof/>
                <w:szCs w:val="24"/>
              </w:rPr>
            </w:pPr>
            <w:r w:rsidRPr="007C1494">
              <w:rPr>
                <w:noProof/>
                <w:szCs w:val="24"/>
              </w:rPr>
              <w:t>+</w:t>
            </w:r>
            <w:r>
              <w:rPr>
                <w:noProof/>
                <w:szCs w:val="24"/>
              </w:rPr>
              <w:t>+</w:t>
            </w:r>
          </w:p>
        </w:tc>
      </w:tr>
      <w:tr w:rsidR="00EA7989" w:rsidRPr="007C1494" w14:paraId="72F18CD0" w14:textId="77777777" w:rsidTr="00AA6806">
        <w:trPr>
          <w:cantSplit/>
          <w:trHeight w:hRule="exact" w:val="567"/>
          <w:jc w:val="center"/>
        </w:trPr>
        <w:tc>
          <w:tcPr>
            <w:tcW w:w="6913" w:type="dxa"/>
            <w:vAlign w:val="center"/>
          </w:tcPr>
          <w:p w14:paraId="76081BC4" w14:textId="77777777" w:rsidR="00EA7989" w:rsidRPr="007C1494" w:rsidRDefault="00EA7989" w:rsidP="00EA7989">
            <w:pPr>
              <w:rPr>
                <w:rFonts w:eastAsiaTheme="minorEastAsia"/>
                <w:noProof/>
                <w:szCs w:val="24"/>
                <w:lang w:eastAsia="en-US"/>
              </w:rPr>
            </w:pPr>
            <w:r w:rsidRPr="007C1494">
              <w:rPr>
                <w:b/>
                <w:noProof/>
                <w:szCs w:val="24"/>
              </w:rPr>
              <w:t>Option 2</w:t>
            </w:r>
            <w:r w:rsidRPr="007C1494">
              <w:rPr>
                <w:noProof/>
                <w:szCs w:val="24"/>
              </w:rPr>
              <w:t xml:space="preserve">: </w:t>
            </w:r>
            <w:r w:rsidRPr="00AA6806">
              <w:rPr>
                <w:noProof/>
                <w:szCs w:val="24"/>
              </w:rPr>
              <w:t xml:space="preserve">A benchmarking system and a list of contravening operators </w:t>
            </w:r>
            <w:r w:rsidRPr="00AA6806">
              <w:rPr>
                <w:iCs/>
                <w:noProof/>
                <w:szCs w:val="24"/>
              </w:rPr>
              <w:t>as a basis for a</w:t>
            </w:r>
            <w:r w:rsidRPr="00AA6806">
              <w:rPr>
                <w:noProof/>
                <w:szCs w:val="24"/>
              </w:rPr>
              <w:t xml:space="preserve"> tiered improved mandatory </w:t>
            </w:r>
            <w:r w:rsidRPr="00AA6806" w:rsidDel="00471E73">
              <w:rPr>
                <w:noProof/>
                <w:szCs w:val="24"/>
              </w:rPr>
              <w:t>due diligence</w:t>
            </w:r>
            <w:r w:rsidRPr="00AA6806" w:rsidDel="00974952">
              <w:rPr>
                <w:noProof/>
                <w:szCs w:val="24"/>
              </w:rPr>
              <w:t xml:space="preserve"> system</w:t>
            </w:r>
            <w:r w:rsidRPr="00AA6806">
              <w:rPr>
                <w:noProof/>
                <w:szCs w:val="24"/>
              </w:rPr>
              <w:t>, relying on a deforestation free definition</w:t>
            </w:r>
            <w:r w:rsidRPr="007C1494">
              <w:rPr>
                <w:b/>
                <w:noProof/>
                <w:szCs w:val="24"/>
              </w:rPr>
              <w:t xml:space="preserve"> (preferred option)</w:t>
            </w:r>
          </w:p>
        </w:tc>
        <w:tc>
          <w:tcPr>
            <w:tcW w:w="1976" w:type="dxa"/>
            <w:vAlign w:val="center"/>
          </w:tcPr>
          <w:p w14:paraId="301E1E4C" w14:textId="77777777" w:rsidR="00EA7989" w:rsidRPr="007C1494" w:rsidRDefault="00EA7989" w:rsidP="00EA7989">
            <w:pPr>
              <w:jc w:val="center"/>
              <w:rPr>
                <w:noProof/>
                <w:szCs w:val="24"/>
              </w:rPr>
            </w:pPr>
            <w:r w:rsidRPr="007C1494">
              <w:rPr>
                <w:noProof/>
                <w:szCs w:val="24"/>
              </w:rPr>
              <w:t>+++</w:t>
            </w:r>
            <w:r>
              <w:rPr>
                <w:noProof/>
                <w:szCs w:val="24"/>
              </w:rPr>
              <w:t>+</w:t>
            </w:r>
          </w:p>
        </w:tc>
        <w:tc>
          <w:tcPr>
            <w:tcW w:w="2761" w:type="dxa"/>
          </w:tcPr>
          <w:p w14:paraId="0E7D1943" w14:textId="77777777" w:rsidR="00EA7989" w:rsidRDefault="00EA7989" w:rsidP="00EA7989">
            <w:pPr>
              <w:jc w:val="center"/>
              <w:rPr>
                <w:noProof/>
                <w:szCs w:val="24"/>
              </w:rPr>
            </w:pPr>
          </w:p>
          <w:p w14:paraId="703ED609" w14:textId="77777777" w:rsidR="00EA7989" w:rsidRDefault="00EA7989" w:rsidP="00EA7989">
            <w:pPr>
              <w:jc w:val="center"/>
              <w:rPr>
                <w:noProof/>
                <w:szCs w:val="24"/>
              </w:rPr>
            </w:pPr>
          </w:p>
          <w:p w14:paraId="35A6080A" w14:textId="77777777" w:rsidR="00EA7989" w:rsidRPr="007C1494" w:rsidRDefault="00EA7989" w:rsidP="00EA7989">
            <w:pPr>
              <w:jc w:val="center"/>
              <w:rPr>
                <w:noProof/>
                <w:szCs w:val="24"/>
              </w:rPr>
            </w:pPr>
            <w:r>
              <w:rPr>
                <w:noProof/>
                <w:szCs w:val="24"/>
              </w:rPr>
              <w:t>+++</w:t>
            </w:r>
          </w:p>
          <w:p w14:paraId="3D8F2958" w14:textId="77777777" w:rsidR="00EA7989" w:rsidRPr="007C1494" w:rsidRDefault="00EA7989" w:rsidP="00EA7989">
            <w:pPr>
              <w:jc w:val="center"/>
              <w:rPr>
                <w:noProof/>
                <w:szCs w:val="24"/>
              </w:rPr>
            </w:pPr>
          </w:p>
        </w:tc>
        <w:tc>
          <w:tcPr>
            <w:tcW w:w="1289" w:type="dxa"/>
            <w:vAlign w:val="center"/>
          </w:tcPr>
          <w:p w14:paraId="3831FA46" w14:textId="77777777" w:rsidR="00EA7989" w:rsidRPr="007C1494" w:rsidRDefault="00EA7989" w:rsidP="00EA7989">
            <w:pPr>
              <w:jc w:val="center"/>
              <w:rPr>
                <w:noProof/>
                <w:szCs w:val="24"/>
              </w:rPr>
            </w:pPr>
            <w:r w:rsidRPr="007C1494">
              <w:rPr>
                <w:noProof/>
                <w:szCs w:val="24"/>
              </w:rPr>
              <w:t>++</w:t>
            </w:r>
            <w:r>
              <w:rPr>
                <w:noProof/>
                <w:szCs w:val="24"/>
              </w:rPr>
              <w:t>++</w:t>
            </w:r>
          </w:p>
        </w:tc>
        <w:tc>
          <w:tcPr>
            <w:tcW w:w="1289" w:type="dxa"/>
            <w:vAlign w:val="center"/>
          </w:tcPr>
          <w:p w14:paraId="705B1915" w14:textId="77777777" w:rsidR="00EA7989" w:rsidRPr="007C1494" w:rsidRDefault="00EA7989" w:rsidP="00EA7989">
            <w:pPr>
              <w:jc w:val="center"/>
              <w:rPr>
                <w:noProof/>
                <w:szCs w:val="24"/>
              </w:rPr>
            </w:pPr>
            <w:r w:rsidRPr="007C1494">
              <w:rPr>
                <w:noProof/>
                <w:szCs w:val="24"/>
              </w:rPr>
              <w:t>++</w:t>
            </w:r>
            <w:r>
              <w:rPr>
                <w:noProof/>
                <w:szCs w:val="24"/>
              </w:rPr>
              <w:t>+</w:t>
            </w:r>
          </w:p>
        </w:tc>
      </w:tr>
      <w:tr w:rsidR="00EA7989" w:rsidRPr="007C1494" w14:paraId="31B6D6A3" w14:textId="77777777" w:rsidTr="00AA6806">
        <w:trPr>
          <w:cantSplit/>
          <w:trHeight w:hRule="exact" w:val="567"/>
          <w:jc w:val="center"/>
        </w:trPr>
        <w:tc>
          <w:tcPr>
            <w:tcW w:w="6913" w:type="dxa"/>
            <w:vAlign w:val="center"/>
          </w:tcPr>
          <w:p w14:paraId="37B405F8" w14:textId="77777777" w:rsidR="00EA7989" w:rsidRPr="007C1494" w:rsidRDefault="00EA7989" w:rsidP="00EA7989">
            <w:pPr>
              <w:rPr>
                <w:rFonts w:eastAsiaTheme="minorEastAsia"/>
                <w:noProof/>
                <w:szCs w:val="24"/>
                <w:lang w:eastAsia="en-US"/>
              </w:rPr>
            </w:pPr>
            <w:r w:rsidRPr="007C1494">
              <w:rPr>
                <w:b/>
                <w:noProof/>
                <w:szCs w:val="24"/>
              </w:rPr>
              <w:t>Option 3</w:t>
            </w:r>
            <w:r w:rsidRPr="007C1494">
              <w:rPr>
                <w:noProof/>
                <w:szCs w:val="24"/>
              </w:rPr>
              <w:t xml:space="preserve">: Mandatory public certification combined with an improved </w:t>
            </w:r>
            <w:r w:rsidRPr="007C1494" w:rsidDel="00471E73">
              <w:rPr>
                <w:noProof/>
                <w:szCs w:val="24"/>
              </w:rPr>
              <w:t>due diligence</w:t>
            </w:r>
            <w:r w:rsidRPr="007C1494">
              <w:rPr>
                <w:noProof/>
                <w:szCs w:val="24"/>
              </w:rPr>
              <w:t xml:space="preserve"> requirement, relying on a deforestation free definition</w:t>
            </w:r>
          </w:p>
        </w:tc>
        <w:tc>
          <w:tcPr>
            <w:tcW w:w="1976" w:type="dxa"/>
            <w:vAlign w:val="center"/>
          </w:tcPr>
          <w:p w14:paraId="1055BF0F" w14:textId="77777777" w:rsidR="00EA7989" w:rsidRPr="007C1494" w:rsidRDefault="00EA7989" w:rsidP="00EA7989">
            <w:pPr>
              <w:jc w:val="center"/>
              <w:rPr>
                <w:noProof/>
                <w:szCs w:val="24"/>
              </w:rPr>
            </w:pPr>
            <w:r w:rsidRPr="007C1494">
              <w:rPr>
                <w:noProof/>
                <w:szCs w:val="24"/>
              </w:rPr>
              <w:t>++</w:t>
            </w:r>
            <w:r>
              <w:rPr>
                <w:noProof/>
                <w:szCs w:val="24"/>
              </w:rPr>
              <w:t>+</w:t>
            </w:r>
          </w:p>
        </w:tc>
        <w:tc>
          <w:tcPr>
            <w:tcW w:w="2761" w:type="dxa"/>
            <w:vAlign w:val="center"/>
          </w:tcPr>
          <w:p w14:paraId="448F4C42" w14:textId="77777777" w:rsidR="00EA7989" w:rsidRPr="007C1494" w:rsidRDefault="00EA7989" w:rsidP="00EA7989">
            <w:pPr>
              <w:jc w:val="center"/>
              <w:rPr>
                <w:noProof/>
                <w:szCs w:val="24"/>
              </w:rPr>
            </w:pPr>
            <w:r w:rsidRPr="007C1494">
              <w:rPr>
                <w:noProof/>
                <w:szCs w:val="24"/>
              </w:rPr>
              <w:t>++</w:t>
            </w:r>
          </w:p>
          <w:p w14:paraId="486D6774" w14:textId="77777777" w:rsidR="00EA7989" w:rsidRPr="007C1494" w:rsidRDefault="00EA7989" w:rsidP="00EA7989">
            <w:pPr>
              <w:jc w:val="center"/>
              <w:rPr>
                <w:noProof/>
                <w:szCs w:val="24"/>
              </w:rPr>
            </w:pPr>
          </w:p>
        </w:tc>
        <w:tc>
          <w:tcPr>
            <w:tcW w:w="1289" w:type="dxa"/>
            <w:vAlign w:val="center"/>
          </w:tcPr>
          <w:p w14:paraId="2826A110" w14:textId="77777777" w:rsidR="00EA7989" w:rsidRPr="007C1494" w:rsidRDefault="00EA7989" w:rsidP="00EA7989">
            <w:pPr>
              <w:jc w:val="center"/>
              <w:rPr>
                <w:noProof/>
                <w:szCs w:val="24"/>
              </w:rPr>
            </w:pPr>
            <w:r w:rsidRPr="007C1494">
              <w:rPr>
                <w:noProof/>
                <w:szCs w:val="24"/>
              </w:rPr>
              <w:t>+</w:t>
            </w:r>
            <w:r>
              <w:rPr>
                <w:noProof/>
                <w:szCs w:val="24"/>
              </w:rPr>
              <w:t>++</w:t>
            </w:r>
          </w:p>
        </w:tc>
        <w:tc>
          <w:tcPr>
            <w:tcW w:w="1289" w:type="dxa"/>
            <w:vAlign w:val="center"/>
          </w:tcPr>
          <w:p w14:paraId="6CFDA712" w14:textId="77777777" w:rsidR="00EA7989" w:rsidRPr="007C1494" w:rsidRDefault="00EA7989" w:rsidP="00EA7989">
            <w:pPr>
              <w:jc w:val="center"/>
              <w:rPr>
                <w:noProof/>
                <w:szCs w:val="24"/>
              </w:rPr>
            </w:pPr>
            <w:r w:rsidRPr="007C1494">
              <w:rPr>
                <w:noProof/>
                <w:szCs w:val="24"/>
              </w:rPr>
              <w:t>++</w:t>
            </w:r>
            <w:r>
              <w:rPr>
                <w:noProof/>
                <w:szCs w:val="24"/>
              </w:rPr>
              <w:t>+</w:t>
            </w:r>
          </w:p>
        </w:tc>
      </w:tr>
      <w:tr w:rsidR="00EA7989" w:rsidRPr="007C1494" w14:paraId="65E5DA28" w14:textId="77777777" w:rsidTr="00AA6806">
        <w:trPr>
          <w:cantSplit/>
          <w:trHeight w:hRule="exact" w:val="567"/>
          <w:jc w:val="center"/>
        </w:trPr>
        <w:tc>
          <w:tcPr>
            <w:tcW w:w="6913" w:type="dxa"/>
            <w:vAlign w:val="center"/>
          </w:tcPr>
          <w:p w14:paraId="4E54E835" w14:textId="77777777" w:rsidR="00EA7989" w:rsidRPr="007C1494" w:rsidRDefault="00EA7989" w:rsidP="00EA7989">
            <w:pPr>
              <w:rPr>
                <w:noProof/>
                <w:szCs w:val="24"/>
              </w:rPr>
            </w:pPr>
            <w:r w:rsidRPr="007C1494">
              <w:rPr>
                <w:b/>
                <w:noProof/>
                <w:szCs w:val="24"/>
              </w:rPr>
              <w:t>Option 4</w:t>
            </w:r>
            <w:r w:rsidRPr="007C1494">
              <w:rPr>
                <w:noProof/>
                <w:szCs w:val="24"/>
              </w:rPr>
              <w:t xml:space="preserve">: Mandatory labelling combined with an improved </w:t>
            </w:r>
            <w:r w:rsidRPr="007C1494" w:rsidDel="00471E73">
              <w:rPr>
                <w:noProof/>
                <w:szCs w:val="24"/>
              </w:rPr>
              <w:t>due diligence</w:t>
            </w:r>
            <w:r w:rsidRPr="007C1494">
              <w:rPr>
                <w:noProof/>
                <w:szCs w:val="24"/>
              </w:rPr>
              <w:t xml:space="preserve"> requirement, relying on a deforestation free definition</w:t>
            </w:r>
          </w:p>
        </w:tc>
        <w:tc>
          <w:tcPr>
            <w:tcW w:w="1976" w:type="dxa"/>
            <w:vAlign w:val="center"/>
          </w:tcPr>
          <w:p w14:paraId="2A5D0D8D" w14:textId="77777777" w:rsidR="00EA7989" w:rsidRPr="007C1494" w:rsidRDefault="00EA7989" w:rsidP="00EA7989">
            <w:pPr>
              <w:jc w:val="center"/>
              <w:rPr>
                <w:noProof/>
                <w:szCs w:val="24"/>
              </w:rPr>
            </w:pPr>
            <w:r w:rsidRPr="007C1494">
              <w:rPr>
                <w:noProof/>
                <w:szCs w:val="24"/>
              </w:rPr>
              <w:t>++</w:t>
            </w:r>
          </w:p>
        </w:tc>
        <w:tc>
          <w:tcPr>
            <w:tcW w:w="2761" w:type="dxa"/>
            <w:vAlign w:val="center"/>
          </w:tcPr>
          <w:p w14:paraId="4EDD9AF6" w14:textId="77777777" w:rsidR="00EA7989" w:rsidRPr="007C1494" w:rsidRDefault="00EA7989" w:rsidP="00EA7989">
            <w:pPr>
              <w:jc w:val="center"/>
              <w:rPr>
                <w:noProof/>
                <w:szCs w:val="24"/>
              </w:rPr>
            </w:pPr>
            <w:r w:rsidRPr="007C1494">
              <w:rPr>
                <w:noProof/>
                <w:szCs w:val="24"/>
              </w:rPr>
              <w:t>++</w:t>
            </w:r>
          </w:p>
          <w:p w14:paraId="268EA6CF" w14:textId="77777777" w:rsidR="00EA7989" w:rsidRPr="007C1494" w:rsidRDefault="00EA7989" w:rsidP="00EA7989">
            <w:pPr>
              <w:jc w:val="center"/>
              <w:rPr>
                <w:noProof/>
                <w:szCs w:val="24"/>
              </w:rPr>
            </w:pPr>
          </w:p>
        </w:tc>
        <w:tc>
          <w:tcPr>
            <w:tcW w:w="1289" w:type="dxa"/>
            <w:vAlign w:val="center"/>
          </w:tcPr>
          <w:p w14:paraId="49A22C10" w14:textId="77777777" w:rsidR="00EA7989" w:rsidRPr="007C1494" w:rsidRDefault="00EA7989" w:rsidP="00EA7989">
            <w:pPr>
              <w:jc w:val="center"/>
              <w:rPr>
                <w:noProof/>
                <w:szCs w:val="24"/>
              </w:rPr>
            </w:pPr>
            <w:r w:rsidRPr="007C1494">
              <w:rPr>
                <w:noProof/>
                <w:szCs w:val="24"/>
              </w:rPr>
              <w:t>+</w:t>
            </w:r>
          </w:p>
        </w:tc>
        <w:tc>
          <w:tcPr>
            <w:tcW w:w="1289" w:type="dxa"/>
            <w:vAlign w:val="center"/>
          </w:tcPr>
          <w:p w14:paraId="6D814BFC" w14:textId="77777777" w:rsidR="00EA7989" w:rsidRPr="007C1494" w:rsidRDefault="00EA7989" w:rsidP="00EA7989">
            <w:pPr>
              <w:jc w:val="center"/>
              <w:rPr>
                <w:noProof/>
                <w:szCs w:val="24"/>
              </w:rPr>
            </w:pPr>
            <w:r w:rsidRPr="007C1494">
              <w:rPr>
                <w:noProof/>
                <w:szCs w:val="24"/>
              </w:rPr>
              <w:t>+</w:t>
            </w:r>
            <w:r>
              <w:rPr>
                <w:noProof/>
                <w:szCs w:val="24"/>
              </w:rPr>
              <w:t>+</w:t>
            </w:r>
          </w:p>
        </w:tc>
      </w:tr>
      <w:tr w:rsidR="00EA7989" w:rsidRPr="007C1494" w14:paraId="673CBCDB" w14:textId="77777777" w:rsidTr="00AA6806">
        <w:trPr>
          <w:cantSplit/>
          <w:trHeight w:hRule="exact" w:val="567"/>
          <w:jc w:val="center"/>
        </w:trPr>
        <w:tc>
          <w:tcPr>
            <w:tcW w:w="6913" w:type="dxa"/>
            <w:vAlign w:val="center"/>
          </w:tcPr>
          <w:p w14:paraId="3DEF2A11" w14:textId="77777777" w:rsidR="00EA7989" w:rsidRPr="007C1494" w:rsidRDefault="00EA7989" w:rsidP="00EA7989">
            <w:pPr>
              <w:rPr>
                <w:b/>
                <w:noProof/>
                <w:szCs w:val="24"/>
              </w:rPr>
            </w:pPr>
            <w:r w:rsidRPr="007C1494">
              <w:rPr>
                <w:b/>
                <w:noProof/>
                <w:szCs w:val="24"/>
              </w:rPr>
              <w:t xml:space="preserve">Option 5: </w:t>
            </w:r>
            <w:r w:rsidRPr="007C1494">
              <w:rPr>
                <w:noProof/>
                <w:szCs w:val="24"/>
              </w:rPr>
              <w:t>Deforestation-free requirement for placing on the EU market supported by benchmarking and country card systems</w:t>
            </w:r>
          </w:p>
        </w:tc>
        <w:tc>
          <w:tcPr>
            <w:tcW w:w="1976" w:type="dxa"/>
            <w:vAlign w:val="center"/>
          </w:tcPr>
          <w:p w14:paraId="1B2D997B" w14:textId="77777777" w:rsidR="00EA7989" w:rsidRPr="007C1494" w:rsidRDefault="00EA7989" w:rsidP="00EA7989">
            <w:pPr>
              <w:jc w:val="center"/>
              <w:rPr>
                <w:noProof/>
                <w:szCs w:val="24"/>
              </w:rPr>
            </w:pPr>
            <w:r w:rsidRPr="007C1494">
              <w:rPr>
                <w:noProof/>
                <w:szCs w:val="24"/>
              </w:rPr>
              <w:t>+</w:t>
            </w:r>
          </w:p>
        </w:tc>
        <w:tc>
          <w:tcPr>
            <w:tcW w:w="2761" w:type="dxa"/>
            <w:vAlign w:val="center"/>
          </w:tcPr>
          <w:p w14:paraId="3F65CC37" w14:textId="77777777" w:rsidR="00EA7989" w:rsidRPr="007C1494" w:rsidRDefault="00EA7989" w:rsidP="00EA7989">
            <w:pPr>
              <w:jc w:val="center"/>
              <w:rPr>
                <w:noProof/>
                <w:szCs w:val="24"/>
              </w:rPr>
            </w:pPr>
            <w:r w:rsidRPr="007C1494">
              <w:rPr>
                <w:noProof/>
                <w:szCs w:val="24"/>
              </w:rPr>
              <w:t>+</w:t>
            </w:r>
          </w:p>
        </w:tc>
        <w:tc>
          <w:tcPr>
            <w:tcW w:w="1289" w:type="dxa"/>
            <w:vAlign w:val="center"/>
          </w:tcPr>
          <w:p w14:paraId="3F582D3A" w14:textId="77777777" w:rsidR="00EA7989" w:rsidRPr="007C1494" w:rsidRDefault="00EA7989" w:rsidP="00EA7989">
            <w:pPr>
              <w:jc w:val="center"/>
              <w:rPr>
                <w:noProof/>
                <w:szCs w:val="24"/>
              </w:rPr>
            </w:pPr>
            <w:r w:rsidRPr="007C1494">
              <w:rPr>
                <w:noProof/>
                <w:szCs w:val="24"/>
              </w:rPr>
              <w:t>+</w:t>
            </w:r>
          </w:p>
        </w:tc>
        <w:tc>
          <w:tcPr>
            <w:tcW w:w="1289" w:type="dxa"/>
            <w:vAlign w:val="center"/>
          </w:tcPr>
          <w:p w14:paraId="34CBDC58" w14:textId="77777777" w:rsidR="00EA7989" w:rsidRPr="007C1494" w:rsidRDefault="00EA7989" w:rsidP="00EA7989">
            <w:pPr>
              <w:jc w:val="center"/>
              <w:rPr>
                <w:noProof/>
                <w:szCs w:val="24"/>
              </w:rPr>
            </w:pPr>
            <w:r w:rsidRPr="007C1494">
              <w:rPr>
                <w:noProof/>
                <w:szCs w:val="24"/>
              </w:rPr>
              <w:t>+</w:t>
            </w:r>
          </w:p>
        </w:tc>
      </w:tr>
    </w:tbl>
    <w:p w14:paraId="202612AC" w14:textId="77777777" w:rsidR="000C0519" w:rsidRDefault="000C0519" w:rsidP="000C0519">
      <w:pPr>
        <w:jc w:val="both"/>
        <w:rPr>
          <w:rFonts w:cs="Times New Roman"/>
          <w:b/>
          <w:noProof/>
          <w:szCs w:val="24"/>
        </w:rPr>
      </w:pPr>
    </w:p>
    <w:p w14:paraId="01C7FEE4" w14:textId="77777777" w:rsidR="000C0519" w:rsidRDefault="000C0519" w:rsidP="00580C1D">
      <w:pPr>
        <w:rPr>
          <w:rFonts w:eastAsiaTheme="minorEastAsia" w:cs="Times New Roman"/>
          <w:noProof/>
          <w:szCs w:val="24"/>
          <w:lang w:eastAsia="en-GB"/>
        </w:rPr>
        <w:sectPr w:rsidR="000C0519" w:rsidSect="005D6D16">
          <w:headerReference w:type="even" r:id="rId52"/>
          <w:headerReference w:type="default" r:id="rId53"/>
          <w:footerReference w:type="even" r:id="rId54"/>
          <w:footerReference w:type="default" r:id="rId55"/>
          <w:headerReference w:type="first" r:id="rId56"/>
          <w:footerReference w:type="first" r:id="rId57"/>
          <w:pgSz w:w="16838" w:h="11906" w:orient="landscape"/>
          <w:pgMar w:top="1587" w:right="1020" w:bottom="1701" w:left="1020" w:header="601" w:footer="1077" w:gutter="0"/>
          <w:cols w:space="720"/>
          <w:titlePg/>
          <w:docGrid w:linePitch="326"/>
        </w:sectPr>
      </w:pPr>
    </w:p>
    <w:p w14:paraId="36DA4F35" w14:textId="64B60DD9" w:rsidR="00244E6A" w:rsidRPr="007C1494" w:rsidRDefault="00335526" w:rsidP="00335526">
      <w:pPr>
        <w:pStyle w:val="Heading1"/>
        <w:rPr>
          <w:noProof/>
        </w:rPr>
      </w:pPr>
      <w:bookmarkStart w:id="205" w:name="_Toc481484479"/>
      <w:bookmarkStart w:id="206" w:name="_Toc75542205"/>
      <w:bookmarkStart w:id="207" w:name="_Toc75543306"/>
      <w:bookmarkStart w:id="208" w:name="_Toc84591927"/>
      <w:r w:rsidRPr="00335526">
        <w:t>8</w:t>
      </w:r>
      <w:r w:rsidRPr="00335526">
        <w:tab/>
      </w:r>
      <w:r w:rsidR="00244E6A" w:rsidRPr="007C1494" w:rsidDel="008B60ED">
        <w:rPr>
          <w:noProof/>
        </w:rPr>
        <w:t>Preferred option</w:t>
      </w:r>
      <w:bookmarkEnd w:id="205"/>
      <w:bookmarkEnd w:id="206"/>
      <w:bookmarkEnd w:id="207"/>
      <w:bookmarkEnd w:id="208"/>
    </w:p>
    <w:p w14:paraId="2082F96B" w14:textId="000D4798" w:rsidR="00AC35D0" w:rsidRDefault="00E32520" w:rsidP="00386C2D">
      <w:pPr>
        <w:pStyle w:val="Text1"/>
        <w:spacing w:after="200" w:line="276" w:lineRule="auto"/>
        <w:ind w:left="0"/>
        <w:rPr>
          <w:noProof/>
          <w:szCs w:val="24"/>
        </w:rPr>
      </w:pPr>
      <w:r w:rsidRPr="007C1494">
        <w:rPr>
          <w:noProof/>
        </w:rPr>
        <w:t>The most viable option appears to be Option 2</w:t>
      </w:r>
      <w:r w:rsidR="006A1D89">
        <w:rPr>
          <w:noProof/>
        </w:rPr>
        <w:t xml:space="preserve">, </w:t>
      </w:r>
      <w:r w:rsidR="00706F66">
        <w:rPr>
          <w:noProof/>
        </w:rPr>
        <w:t>a</w:t>
      </w:r>
      <w:r w:rsidR="00706F66" w:rsidRPr="00706F66">
        <w:rPr>
          <w:noProof/>
        </w:rPr>
        <w:t xml:space="preserve"> benchmarking system and a list of contravening operators combined with</w:t>
      </w:r>
      <w:r w:rsidR="00EA2233">
        <w:rPr>
          <w:noProof/>
        </w:rPr>
        <w:t xml:space="preserve"> a</w:t>
      </w:r>
      <w:r w:rsidR="00706F66" w:rsidRPr="00706F66">
        <w:rPr>
          <w:noProof/>
        </w:rPr>
        <w:t xml:space="preserve"> tiered improved mandatory due diligence system, relying on a deforestation</w:t>
      </w:r>
      <w:r w:rsidR="00EA2233">
        <w:rPr>
          <w:noProof/>
        </w:rPr>
        <w:t>-</w:t>
      </w:r>
      <w:r w:rsidR="00706F66" w:rsidRPr="00706F66">
        <w:rPr>
          <w:noProof/>
        </w:rPr>
        <w:t>free definition</w:t>
      </w:r>
      <w:r w:rsidRPr="007C1494">
        <w:rPr>
          <w:noProof/>
        </w:rPr>
        <w:t xml:space="preserve">. </w:t>
      </w:r>
      <w:r w:rsidR="00C26BCA" w:rsidRPr="00C26BCA">
        <w:rPr>
          <w:noProof/>
          <w:szCs w:val="24"/>
        </w:rPr>
        <w:t xml:space="preserve"> </w:t>
      </w:r>
    </w:p>
    <w:p w14:paraId="3EB5DC57" w14:textId="0EA76438" w:rsidR="00C26BCA" w:rsidRDefault="00C26BCA" w:rsidP="00386C2D">
      <w:pPr>
        <w:pStyle w:val="Text1"/>
        <w:spacing w:after="200" w:line="276" w:lineRule="auto"/>
        <w:ind w:left="0"/>
        <w:rPr>
          <w:noProof/>
          <w:szCs w:val="24"/>
        </w:rPr>
      </w:pPr>
      <w:r>
        <w:rPr>
          <w:noProof/>
          <w:szCs w:val="24"/>
        </w:rPr>
        <w:t xml:space="preserve">Option 2 is forecast to provide benefits </w:t>
      </w:r>
      <w:r w:rsidR="00AC35D0">
        <w:rPr>
          <w:noProof/>
          <w:szCs w:val="24"/>
        </w:rPr>
        <w:t>well</w:t>
      </w:r>
      <w:r>
        <w:rPr>
          <w:noProof/>
          <w:szCs w:val="24"/>
        </w:rPr>
        <w:t xml:space="preserve"> above the minimum described in section 6.1.1, that is</w:t>
      </w:r>
      <w:r w:rsidR="00AC35D0">
        <w:rPr>
          <w:noProof/>
          <w:szCs w:val="24"/>
        </w:rPr>
        <w:t>,</w:t>
      </w:r>
      <w:r>
        <w:rPr>
          <w:noProof/>
          <w:szCs w:val="24"/>
        </w:rPr>
        <w:t xml:space="preserve"> to prevent at least 29% of deforestation driven by </w:t>
      </w:r>
      <w:r w:rsidR="00BB3F9B">
        <w:rPr>
          <w:noProof/>
          <w:szCs w:val="24"/>
        </w:rPr>
        <w:t xml:space="preserve">EU </w:t>
      </w:r>
      <w:r>
        <w:rPr>
          <w:noProof/>
          <w:szCs w:val="24"/>
        </w:rPr>
        <w:t xml:space="preserve">consumption and production of the six commodities included in the scope by 2030, and therefore a minimum of 71,920 hectares of forest less affected by EU-driven deforestation and forest degradation </w:t>
      </w:r>
      <w:r w:rsidRPr="007C1494">
        <w:rPr>
          <w:noProof/>
          <w:szCs w:val="24"/>
        </w:rPr>
        <w:t>starting in 2030</w:t>
      </w:r>
      <w:r w:rsidRPr="007C1494">
        <w:rPr>
          <w:rStyle w:val="FootnoteReference"/>
          <w:noProof/>
        </w:rPr>
        <w:footnoteReference w:id="211"/>
      </w:r>
      <w:r w:rsidRPr="007C1494">
        <w:rPr>
          <w:noProof/>
          <w:szCs w:val="24"/>
        </w:rPr>
        <w:t xml:space="preserve">. </w:t>
      </w:r>
      <w:r>
        <w:rPr>
          <w:noProof/>
          <w:szCs w:val="24"/>
        </w:rPr>
        <w:t xml:space="preserve">This would also mean a minimum of </w:t>
      </w:r>
      <w:r w:rsidRPr="00C03274">
        <w:rPr>
          <w:noProof/>
          <w:szCs w:val="24"/>
        </w:rPr>
        <w:t>31.9</w:t>
      </w:r>
      <w:r>
        <w:rPr>
          <w:noProof/>
          <w:szCs w:val="24"/>
        </w:rPr>
        <w:t xml:space="preserve"> million metric tons of carbon fewer emitted to the atmosphere every year due to EU consumption and production of the relevant commodities, which could be translated into economic savings of at least </w:t>
      </w:r>
      <w:r w:rsidR="00AC35D0">
        <w:rPr>
          <w:noProof/>
          <w:szCs w:val="24"/>
        </w:rPr>
        <w:t xml:space="preserve">EUR </w:t>
      </w:r>
      <w:r>
        <w:rPr>
          <w:noProof/>
          <w:szCs w:val="24"/>
        </w:rPr>
        <w:t>3.2 billion</w:t>
      </w:r>
      <w:r w:rsidR="00AC35D0">
        <w:rPr>
          <w:noProof/>
          <w:szCs w:val="24"/>
        </w:rPr>
        <w:t xml:space="preserve"> annually.</w:t>
      </w:r>
      <w:r>
        <w:rPr>
          <w:noProof/>
          <w:szCs w:val="24"/>
        </w:rPr>
        <w:t xml:space="preserve"> </w:t>
      </w:r>
    </w:p>
    <w:p w14:paraId="585EA499" w14:textId="18804792" w:rsidR="00E32520" w:rsidRDefault="00C26BCA" w:rsidP="00386C2D">
      <w:pPr>
        <w:pStyle w:val="Text1"/>
        <w:spacing w:after="200" w:line="276" w:lineRule="auto"/>
        <w:ind w:left="0"/>
        <w:rPr>
          <w:noProof/>
        </w:rPr>
      </w:pPr>
      <w:r>
        <w:rPr>
          <w:noProof/>
          <w:szCs w:val="24"/>
        </w:rPr>
        <w:t>This</w:t>
      </w:r>
      <w:r w:rsidR="00E32520" w:rsidRPr="007C1494">
        <w:rPr>
          <w:noProof/>
        </w:rPr>
        <w:t xml:space="preserve"> </w:t>
      </w:r>
      <w:r w:rsidR="00D06D83">
        <w:rPr>
          <w:noProof/>
        </w:rPr>
        <w:t>option</w:t>
      </w:r>
      <w:r w:rsidR="00D06D83" w:rsidRPr="007C1494">
        <w:rPr>
          <w:noProof/>
        </w:rPr>
        <w:t xml:space="preserve"> </w:t>
      </w:r>
      <w:r w:rsidR="006B70EC" w:rsidRPr="007C1494">
        <w:rPr>
          <w:noProof/>
        </w:rPr>
        <w:t xml:space="preserve">would </w:t>
      </w:r>
      <w:r w:rsidR="00E32520" w:rsidRPr="007C1494">
        <w:rPr>
          <w:noProof/>
        </w:rPr>
        <w:t xml:space="preserve">ensure </w:t>
      </w:r>
      <w:r w:rsidR="00D06D83">
        <w:rPr>
          <w:noProof/>
        </w:rPr>
        <w:t xml:space="preserve">that </w:t>
      </w:r>
      <w:r w:rsidR="00E32520" w:rsidRPr="007C1494">
        <w:rPr>
          <w:noProof/>
        </w:rPr>
        <w:t xml:space="preserve">the EU </w:t>
      </w:r>
      <w:r w:rsidR="006B70EC" w:rsidRPr="007C1494">
        <w:rPr>
          <w:noProof/>
        </w:rPr>
        <w:t>puts</w:t>
      </w:r>
      <w:r w:rsidR="00E32520" w:rsidRPr="007C1494">
        <w:rPr>
          <w:noProof/>
        </w:rPr>
        <w:t xml:space="preserve"> in place a regulatory framework that is both very ambitious and implementable</w:t>
      </w:r>
      <w:r w:rsidR="00D06D83">
        <w:rPr>
          <w:noProof/>
        </w:rPr>
        <w:t>,</w:t>
      </w:r>
      <w:r w:rsidR="00E32520" w:rsidRPr="007C1494">
        <w:rPr>
          <w:noProof/>
        </w:rPr>
        <w:t xml:space="preserve"> while incentivising the sustainability transition in all countries, within or beyond the EU</w:t>
      </w:r>
      <w:r w:rsidR="006B70EC" w:rsidRPr="007C1494">
        <w:rPr>
          <w:rStyle w:val="Hyperlink2"/>
          <w:rFonts w:cs="Arial Unicode MS"/>
          <w:noProof/>
        </w:rPr>
        <w:t>, making us a credible global standard-setter</w:t>
      </w:r>
      <w:r w:rsidR="00E32520" w:rsidRPr="007C1494">
        <w:rPr>
          <w:noProof/>
        </w:rPr>
        <w:t xml:space="preserve">. </w:t>
      </w:r>
    </w:p>
    <w:p w14:paraId="2B653B99" w14:textId="09BB63A9" w:rsidR="00EA2233" w:rsidRPr="007C1494" w:rsidRDefault="00EA2233" w:rsidP="00841C68">
      <w:pPr>
        <w:spacing w:after="240"/>
        <w:jc w:val="both"/>
        <w:rPr>
          <w:noProof/>
        </w:rPr>
      </w:pPr>
      <w:r w:rsidRPr="00FF7333">
        <w:rPr>
          <w:rFonts w:eastAsia="Times New Roman"/>
          <w:noProof/>
          <w:szCs w:val="24"/>
          <w:lang w:val="en-US" w:eastAsia="en-GB"/>
        </w:rPr>
        <w:t xml:space="preserve">The proposed instrument is </w:t>
      </w:r>
      <w:r>
        <w:rPr>
          <w:rFonts w:eastAsia="Times New Roman"/>
          <w:noProof/>
          <w:szCs w:val="24"/>
          <w:lang w:val="en-US" w:eastAsia="en-GB"/>
        </w:rPr>
        <w:t xml:space="preserve">a </w:t>
      </w:r>
      <w:r w:rsidRPr="00FF7333">
        <w:rPr>
          <w:rFonts w:eastAsia="Times New Roman"/>
          <w:noProof/>
          <w:szCs w:val="24"/>
          <w:lang w:val="en-US" w:eastAsia="en-GB"/>
        </w:rPr>
        <w:t xml:space="preserve">‘Regulation’ because it is necessary to ensure the highest level of </w:t>
      </w:r>
      <w:r w:rsidRPr="00577B9F">
        <w:rPr>
          <w:rFonts w:eastAsia="Times New Roman"/>
          <w:noProof/>
          <w:szCs w:val="24"/>
          <w:lang w:val="en-US" w:eastAsia="en-GB"/>
        </w:rPr>
        <w:t xml:space="preserve">harmonization to avoid the coexistence of different standards between Member States, which would undermine the fundamental principle of free movement of goods. </w:t>
      </w:r>
      <w:r w:rsidRPr="00577B9F">
        <w:rPr>
          <w:noProof/>
        </w:rPr>
        <w:t>A Regulation will set direct requirements for all operators, thus providing the necessary legal certainty and enforcement possibility of a fully integrated market across the EU. A Regulation also ensures that the obligations are implemented at the same time and in the same way in all 27 Member States.</w:t>
      </w:r>
    </w:p>
    <w:p w14:paraId="31FE1DB4" w14:textId="5DB64303" w:rsidR="00C85538" w:rsidRPr="007C1494" w:rsidRDefault="005F04E5" w:rsidP="00C85538">
      <w:pPr>
        <w:jc w:val="both"/>
        <w:rPr>
          <w:rFonts w:eastAsia="Times New Roman" w:cs="Times New Roman"/>
          <w:noProof/>
          <w:szCs w:val="24"/>
        </w:rPr>
      </w:pPr>
      <w:r w:rsidRPr="007C1494">
        <w:rPr>
          <w:noProof/>
          <w:szCs w:val="24"/>
        </w:rPr>
        <w:t xml:space="preserve">To </w:t>
      </w:r>
      <w:r w:rsidR="00D06D83">
        <w:rPr>
          <w:noProof/>
          <w:szCs w:val="24"/>
        </w:rPr>
        <w:t>strengthen its</w:t>
      </w:r>
      <w:r w:rsidRPr="007C1494">
        <w:rPr>
          <w:noProof/>
          <w:szCs w:val="24"/>
        </w:rPr>
        <w:t xml:space="preserve"> impact, the preferred option must be accompanied with other measures identified in the Communication on Stepping up EU Action to Protect and Restore the World’s Forests, in particular: </w:t>
      </w:r>
      <w:r w:rsidR="00C85538" w:rsidRPr="007C1494">
        <w:rPr>
          <w:noProof/>
          <w:szCs w:val="24"/>
        </w:rPr>
        <w:t xml:space="preserve">1) </w:t>
      </w:r>
      <w:r w:rsidR="00C85538">
        <w:rPr>
          <w:rFonts w:eastAsia="Times New Roman" w:cs="Times New Roman"/>
          <w:noProof/>
          <w:szCs w:val="24"/>
        </w:rPr>
        <w:t>W</w:t>
      </w:r>
      <w:r w:rsidR="00C85538" w:rsidRPr="007C1494">
        <w:rPr>
          <w:rFonts w:eastAsia="Times New Roman" w:cs="Times New Roman"/>
          <w:noProof/>
          <w:szCs w:val="24"/>
        </w:rPr>
        <w:t>orking in partnership with producer countries, accompanied by adequate packages of support</w:t>
      </w:r>
      <w:r w:rsidR="00C85538">
        <w:rPr>
          <w:rFonts w:eastAsia="Times New Roman" w:cs="Times New Roman"/>
          <w:noProof/>
          <w:szCs w:val="24"/>
        </w:rPr>
        <w:t>, which is</w:t>
      </w:r>
      <w:r w:rsidR="00C85538" w:rsidRPr="007C1494">
        <w:rPr>
          <w:rFonts w:eastAsia="Times New Roman" w:cs="Times New Roman"/>
          <w:noProof/>
          <w:szCs w:val="24"/>
        </w:rPr>
        <w:t xml:space="preserve"> crucial to </w:t>
      </w:r>
      <w:r w:rsidR="00C85538">
        <w:rPr>
          <w:rFonts w:eastAsia="Times New Roman" w:cs="Times New Roman"/>
          <w:noProof/>
          <w:szCs w:val="24"/>
        </w:rPr>
        <w:t>address the</w:t>
      </w:r>
      <w:r w:rsidR="00C85538" w:rsidRPr="007C1494">
        <w:rPr>
          <w:rFonts w:eastAsia="Times New Roman" w:cs="Times New Roman"/>
          <w:noProof/>
          <w:szCs w:val="24"/>
        </w:rPr>
        <w:t xml:space="preserve"> root causes of deforestation, such as </w:t>
      </w:r>
      <w:r w:rsidR="00C85538">
        <w:rPr>
          <w:rFonts w:eastAsia="Times New Roman" w:cs="Times New Roman"/>
          <w:noProof/>
          <w:szCs w:val="24"/>
        </w:rPr>
        <w:t xml:space="preserve">weak </w:t>
      </w:r>
      <w:r w:rsidR="00C85538" w:rsidRPr="007C1494">
        <w:rPr>
          <w:rFonts w:eastAsia="Times New Roman" w:cs="Times New Roman"/>
          <w:noProof/>
          <w:szCs w:val="24"/>
        </w:rPr>
        <w:t xml:space="preserve">governance, corruption and </w:t>
      </w:r>
      <w:r w:rsidR="00C85538">
        <w:rPr>
          <w:rFonts w:eastAsia="Times New Roman" w:cs="Times New Roman"/>
          <w:noProof/>
          <w:szCs w:val="24"/>
        </w:rPr>
        <w:t xml:space="preserve">problems with </w:t>
      </w:r>
      <w:r w:rsidR="00C85538" w:rsidRPr="007C1494">
        <w:rPr>
          <w:rFonts w:eastAsia="Times New Roman" w:cs="Times New Roman"/>
          <w:noProof/>
          <w:szCs w:val="24"/>
        </w:rPr>
        <w:t xml:space="preserve">law enforcement; and 2) strengthening international cooperation, especially with other major consumer countries, to ensure adoption of similar measures to avoid products coming from supply chains associated with deforestation and forest degradation being placed on the market, </w:t>
      </w:r>
      <w:r w:rsidR="00C85538">
        <w:rPr>
          <w:rFonts w:eastAsia="Times New Roman" w:cs="Times New Roman"/>
          <w:noProof/>
          <w:szCs w:val="24"/>
        </w:rPr>
        <w:t xml:space="preserve">in order </w:t>
      </w:r>
      <w:r w:rsidR="00C85538" w:rsidRPr="007C1494">
        <w:rPr>
          <w:rFonts w:eastAsia="Times New Roman" w:cs="Times New Roman"/>
          <w:noProof/>
          <w:szCs w:val="24"/>
        </w:rPr>
        <w:t>to minimise leakage.</w:t>
      </w:r>
      <w:r w:rsidR="00C85538">
        <w:rPr>
          <w:rFonts w:eastAsia="Times New Roman" w:cs="Times New Roman"/>
          <w:noProof/>
          <w:szCs w:val="24"/>
        </w:rPr>
        <w:t xml:space="preserve"> An overview of different potential leakage problems and mitigation measures is </w:t>
      </w:r>
      <w:r w:rsidR="00FB76E4">
        <w:rPr>
          <w:rFonts w:eastAsia="Times New Roman" w:cs="Times New Roman"/>
          <w:noProof/>
          <w:szCs w:val="24"/>
        </w:rPr>
        <w:t>included in</w:t>
      </w:r>
      <w:r w:rsidR="00C85538">
        <w:rPr>
          <w:rFonts w:eastAsia="Times New Roman" w:cs="Times New Roman"/>
          <w:noProof/>
          <w:szCs w:val="24"/>
        </w:rPr>
        <w:t xml:space="preserve"> section 6.1.4.</w:t>
      </w:r>
    </w:p>
    <w:p w14:paraId="589239ED" w14:textId="3CE3F12B" w:rsidR="008E3199" w:rsidRDefault="00E32520" w:rsidP="00386C2D">
      <w:pPr>
        <w:pStyle w:val="Text1"/>
        <w:spacing w:after="200" w:line="276" w:lineRule="auto"/>
        <w:ind w:left="0"/>
        <w:rPr>
          <w:noProof/>
        </w:rPr>
      </w:pPr>
      <w:r w:rsidRPr="007C1494">
        <w:rPr>
          <w:noProof/>
        </w:rPr>
        <w:t xml:space="preserve">The option proposed includes a number of pertinent elements </w:t>
      </w:r>
      <w:r w:rsidR="00C85538">
        <w:rPr>
          <w:noProof/>
        </w:rPr>
        <w:t xml:space="preserve">which draw inspiration from the </w:t>
      </w:r>
      <w:r w:rsidR="00C85538" w:rsidRPr="00C85538">
        <w:rPr>
          <w:noProof/>
        </w:rPr>
        <w:t>EU regulation to prevent, deter and eliminate illegal, unreported and unregulated fishing (IUU Regulation)</w:t>
      </w:r>
      <w:r w:rsidR="00C85538">
        <w:rPr>
          <w:noProof/>
        </w:rPr>
        <w:t xml:space="preserve"> </w:t>
      </w:r>
      <w:r w:rsidRPr="007C1494">
        <w:rPr>
          <w:noProof/>
        </w:rPr>
        <w:t xml:space="preserve">in combination with </w:t>
      </w:r>
      <w:r w:rsidRPr="007C1494" w:rsidDel="00471E73">
        <w:rPr>
          <w:noProof/>
        </w:rPr>
        <w:t>due diligence</w:t>
      </w:r>
      <w:r w:rsidRPr="007C1494">
        <w:rPr>
          <w:noProof/>
        </w:rPr>
        <w:t>.</w:t>
      </w:r>
    </w:p>
    <w:p w14:paraId="16649240" w14:textId="44665850" w:rsidR="00631670" w:rsidRPr="00F613D2" w:rsidRDefault="00631670" w:rsidP="00F613D2">
      <w:pPr>
        <w:jc w:val="both"/>
        <w:rPr>
          <w:noProof/>
          <w:szCs w:val="24"/>
        </w:rPr>
      </w:pPr>
      <w:r w:rsidRPr="00F613D2">
        <w:rPr>
          <w:noProof/>
          <w:szCs w:val="24"/>
        </w:rPr>
        <w:t xml:space="preserve">The preferred option would lead to the EU Timber Regulation being repealed when the new Regulation against deforestation enters into force – as the new law will essentially integrate and improve the existing system to control timber legality. As regards the FLEGT Regulation, which lays out the foundation for negotiating and implementing the Voluntary Partnership Agreements (VPAs), it </w:t>
      </w:r>
      <w:r w:rsidR="00DB124F" w:rsidRPr="00F613D2">
        <w:rPr>
          <w:noProof/>
          <w:szCs w:val="24"/>
        </w:rPr>
        <w:t xml:space="preserve">is suggested that it </w:t>
      </w:r>
      <w:r w:rsidRPr="00F613D2">
        <w:rPr>
          <w:noProof/>
          <w:szCs w:val="24"/>
        </w:rPr>
        <w:t>be maintained as a legacy tool.</w:t>
      </w:r>
    </w:p>
    <w:p w14:paraId="2B4B6BA8" w14:textId="4DD36CDB" w:rsidR="00631670" w:rsidRPr="00F613D2" w:rsidRDefault="008968A5" w:rsidP="00F613D2">
      <w:pPr>
        <w:jc w:val="both"/>
        <w:rPr>
          <w:noProof/>
          <w:szCs w:val="24"/>
        </w:rPr>
      </w:pPr>
      <w:r w:rsidRPr="00F613D2">
        <w:rPr>
          <w:noProof/>
          <w:szCs w:val="24"/>
        </w:rPr>
        <w:t xml:space="preserve">This would entail that </w:t>
      </w:r>
      <w:r w:rsidR="00631670" w:rsidRPr="00F613D2">
        <w:rPr>
          <w:noProof/>
          <w:szCs w:val="24"/>
        </w:rPr>
        <w:t>VPAs that have been signed with EU partners and reached the last stage of the implementation – the FLEGT licensing stage – by a certain date will be preserved, so that they can be integrated in the new Regulation as proof of compliance with the laws of the country of origin</w:t>
      </w:r>
      <w:r w:rsidRPr="00F613D2">
        <w:rPr>
          <w:noProof/>
          <w:szCs w:val="24"/>
        </w:rPr>
        <w:t>.</w:t>
      </w:r>
      <w:r w:rsidR="00631670" w:rsidRPr="00F613D2">
        <w:rPr>
          <w:noProof/>
          <w:szCs w:val="24"/>
        </w:rPr>
        <w:t xml:space="preserve"> </w:t>
      </w:r>
      <w:r w:rsidRPr="00F613D2">
        <w:rPr>
          <w:noProof/>
          <w:szCs w:val="24"/>
        </w:rPr>
        <w:t>O</w:t>
      </w:r>
      <w:r w:rsidR="00631670" w:rsidRPr="00F613D2">
        <w:rPr>
          <w:noProof/>
          <w:szCs w:val="24"/>
        </w:rPr>
        <w:t>perators</w:t>
      </w:r>
      <w:r w:rsidRPr="00F613D2">
        <w:rPr>
          <w:noProof/>
          <w:szCs w:val="24"/>
        </w:rPr>
        <w:t>, in contrast,</w:t>
      </w:r>
      <w:r w:rsidR="00631670" w:rsidRPr="00F613D2">
        <w:rPr>
          <w:noProof/>
          <w:szCs w:val="24"/>
        </w:rPr>
        <w:t xml:space="preserve"> will still </w:t>
      </w:r>
      <w:r w:rsidRPr="00F613D2">
        <w:rPr>
          <w:noProof/>
          <w:szCs w:val="24"/>
        </w:rPr>
        <w:t xml:space="preserve">be required </w:t>
      </w:r>
      <w:r w:rsidR="00631670" w:rsidRPr="00F613D2">
        <w:rPr>
          <w:noProof/>
          <w:szCs w:val="24"/>
        </w:rPr>
        <w:t xml:space="preserve">to conduct due diligence to ascertain that the commodities and products </w:t>
      </w:r>
      <w:r w:rsidRPr="00F613D2">
        <w:rPr>
          <w:noProof/>
          <w:szCs w:val="24"/>
        </w:rPr>
        <w:t xml:space="preserve">coming from those countries </w:t>
      </w:r>
      <w:r w:rsidR="00631670" w:rsidRPr="00F613D2">
        <w:rPr>
          <w:noProof/>
          <w:szCs w:val="24"/>
        </w:rPr>
        <w:t xml:space="preserve">are deforestation-free. </w:t>
      </w:r>
    </w:p>
    <w:p w14:paraId="77D9CA30" w14:textId="3729AF07" w:rsidR="00631670" w:rsidRPr="00F613D2" w:rsidRDefault="00DB124F" w:rsidP="00F613D2">
      <w:pPr>
        <w:jc w:val="both"/>
        <w:rPr>
          <w:noProof/>
          <w:szCs w:val="24"/>
        </w:rPr>
      </w:pPr>
      <w:r w:rsidRPr="00F613D2">
        <w:rPr>
          <w:noProof/>
          <w:szCs w:val="24"/>
        </w:rPr>
        <w:t>Under this scenario, t</w:t>
      </w:r>
      <w:r w:rsidR="00631670" w:rsidRPr="00F613D2">
        <w:rPr>
          <w:noProof/>
          <w:szCs w:val="24"/>
        </w:rPr>
        <w:t xml:space="preserve">here </w:t>
      </w:r>
      <w:r w:rsidRPr="00F613D2">
        <w:rPr>
          <w:noProof/>
          <w:szCs w:val="24"/>
        </w:rPr>
        <w:t xml:space="preserve">would </w:t>
      </w:r>
      <w:r w:rsidR="00631670" w:rsidRPr="00F613D2">
        <w:rPr>
          <w:noProof/>
          <w:szCs w:val="24"/>
        </w:rPr>
        <w:t>be a limited amount of years for VPA partner countries to reach FLEGT licensing. After a certain date without having attained that goal, implementation will be discontinued. Specific cooperation programs under the Forest Partnerships (or similar cooperation tools) will replace the VPAs that have not reached the licensing stage by the agreed date. There will be no new VPAs, neither for timber nor for other commodities. The Commission will not engage in VPA negotiations with new countries.</w:t>
      </w:r>
    </w:p>
    <w:p w14:paraId="65CF3B79" w14:textId="195161D6" w:rsidR="00E32520" w:rsidRPr="00386C2D" w:rsidRDefault="00E32520" w:rsidP="00386C2D">
      <w:pPr>
        <w:pStyle w:val="Text1"/>
        <w:spacing w:after="200" w:line="276" w:lineRule="auto"/>
        <w:ind w:left="0"/>
        <w:rPr>
          <w:noProof/>
        </w:rPr>
      </w:pPr>
    </w:p>
    <w:p w14:paraId="5F7971ED" w14:textId="63A24ECE" w:rsidR="004D6BA1" w:rsidRDefault="00335526" w:rsidP="00335526">
      <w:pPr>
        <w:pStyle w:val="Heading1"/>
        <w:rPr>
          <w:noProof/>
        </w:rPr>
      </w:pPr>
      <w:bookmarkStart w:id="209" w:name="_Toc481484482"/>
      <w:bookmarkStart w:id="210" w:name="_Toc67075009"/>
      <w:bookmarkStart w:id="211" w:name="_Toc75542206"/>
      <w:bookmarkStart w:id="212" w:name="_Toc75543307"/>
      <w:bookmarkStart w:id="213" w:name="_Toc84591928"/>
      <w:r w:rsidRPr="00335526">
        <w:t>9</w:t>
      </w:r>
      <w:r w:rsidRPr="00335526">
        <w:tab/>
      </w:r>
      <w:r w:rsidR="00244E6A" w:rsidRPr="007C1494">
        <w:rPr>
          <w:noProof/>
        </w:rPr>
        <w:t>How will actual impacts be monitored and evaluated?</w:t>
      </w:r>
      <w:bookmarkEnd w:id="209"/>
      <w:bookmarkEnd w:id="210"/>
      <w:bookmarkEnd w:id="211"/>
      <w:bookmarkEnd w:id="212"/>
      <w:bookmarkEnd w:id="213"/>
    </w:p>
    <w:p w14:paraId="2ABF36E2" w14:textId="60263079" w:rsidR="004D6BA1" w:rsidRPr="0092049A" w:rsidRDefault="004D6BA1" w:rsidP="0059275E">
      <w:pPr>
        <w:jc w:val="both"/>
        <w:rPr>
          <w:rFonts w:eastAsiaTheme="minorEastAsia"/>
          <w:noProof/>
          <w:szCs w:val="24"/>
          <w:lang w:eastAsia="en-GB"/>
        </w:rPr>
      </w:pPr>
      <w:r w:rsidRPr="00B0353A">
        <w:rPr>
          <w:rFonts w:eastAsiaTheme="minorEastAsia" w:cs="Times New Roman"/>
          <w:noProof/>
          <w:szCs w:val="24"/>
          <w:lang w:eastAsia="en-GB"/>
        </w:rPr>
        <w:t>The Commission will ensure that arrangements are in place to monitor and evaluate the EU intervention, and evaluate it against the main policy objectives (see figure be</w:t>
      </w:r>
      <w:r w:rsidRPr="00E0344B">
        <w:rPr>
          <w:rFonts w:eastAsiaTheme="minorEastAsia" w:cs="Times New Roman"/>
          <w:noProof/>
          <w:szCs w:val="24"/>
          <w:lang w:eastAsia="en-GB"/>
        </w:rPr>
        <w:t>low.) Given the role of Member States authorities in the enforcement of all proposed policy options, a reporting mechanism, similar to that in place for the EUTR,</w:t>
      </w:r>
      <w:r w:rsidRPr="00163E41">
        <w:rPr>
          <w:rFonts w:eastAsiaTheme="minorEastAsia" w:cs="Times New Roman"/>
          <w:noProof/>
          <w:szCs w:val="24"/>
          <w:lang w:eastAsia="en-GB"/>
        </w:rPr>
        <w:t xml:space="preserve"> will need to be established.</w:t>
      </w:r>
    </w:p>
    <w:p w14:paraId="02DFEF37" w14:textId="2AA21CD8" w:rsidR="004D6BA1" w:rsidRPr="00113D8B" w:rsidRDefault="004D6BA1" w:rsidP="0059275E">
      <w:pPr>
        <w:jc w:val="both"/>
        <w:rPr>
          <w:rFonts w:eastAsiaTheme="minorEastAsia"/>
          <w:noProof/>
          <w:szCs w:val="24"/>
          <w:lang w:eastAsia="en-GB"/>
        </w:rPr>
      </w:pPr>
      <w:r w:rsidRPr="0092049A">
        <w:rPr>
          <w:rFonts w:eastAsiaTheme="minorEastAsia" w:cs="Times New Roman"/>
          <w:noProof/>
          <w:szCs w:val="24"/>
          <w:lang w:eastAsia="en-GB"/>
        </w:rPr>
        <w:t xml:space="preserve">The system should be </w:t>
      </w:r>
      <w:r w:rsidR="006D36F8">
        <w:rPr>
          <w:rFonts w:eastAsiaTheme="minorEastAsia" w:cs="Times New Roman"/>
          <w:noProof/>
          <w:szCs w:val="24"/>
          <w:lang w:eastAsia="en-GB"/>
        </w:rPr>
        <w:t>reviewed</w:t>
      </w:r>
      <w:r w:rsidRPr="0092049A">
        <w:rPr>
          <w:rFonts w:eastAsiaTheme="minorEastAsia" w:cs="Times New Roman"/>
          <w:noProof/>
          <w:szCs w:val="24"/>
          <w:lang w:eastAsia="en-GB"/>
        </w:rPr>
        <w:t xml:space="preserve"> after </w:t>
      </w:r>
      <w:r w:rsidR="000F6951">
        <w:rPr>
          <w:rFonts w:eastAsiaTheme="minorEastAsia" w:cs="Times New Roman"/>
          <w:noProof/>
          <w:szCs w:val="24"/>
          <w:lang w:eastAsia="en-GB"/>
        </w:rPr>
        <w:t>five</w:t>
      </w:r>
      <w:r w:rsidR="00F82682">
        <w:rPr>
          <w:rFonts w:eastAsiaTheme="minorEastAsia" w:cs="Times New Roman"/>
          <w:noProof/>
          <w:szCs w:val="24"/>
          <w:lang w:eastAsia="en-GB"/>
        </w:rPr>
        <w:t xml:space="preserve"> years</w:t>
      </w:r>
      <w:r w:rsidRPr="0092049A">
        <w:rPr>
          <w:rFonts w:eastAsiaTheme="minorEastAsia" w:cs="Times New Roman"/>
          <w:noProof/>
          <w:szCs w:val="24"/>
          <w:lang w:eastAsia="en-GB"/>
        </w:rPr>
        <w:t xml:space="preserve"> of </w:t>
      </w:r>
      <w:r w:rsidR="0065138C">
        <w:rPr>
          <w:rFonts w:eastAsiaTheme="minorEastAsia" w:cs="Times New Roman"/>
          <w:noProof/>
          <w:szCs w:val="24"/>
          <w:lang w:eastAsia="en-GB"/>
        </w:rPr>
        <w:t xml:space="preserve">full </w:t>
      </w:r>
      <w:r w:rsidRPr="0092049A">
        <w:rPr>
          <w:rFonts w:eastAsiaTheme="minorEastAsia" w:cs="Times New Roman"/>
          <w:noProof/>
          <w:szCs w:val="24"/>
          <w:lang w:eastAsia="en-GB"/>
        </w:rPr>
        <w:t xml:space="preserve">operation to identify any issues and potential improvements. In addition, the Commission will also review </w:t>
      </w:r>
      <w:r w:rsidR="00AC35D0">
        <w:rPr>
          <w:rFonts w:eastAsiaTheme="minorEastAsia" w:cs="Times New Roman"/>
          <w:noProof/>
          <w:szCs w:val="24"/>
          <w:lang w:eastAsia="en-GB"/>
        </w:rPr>
        <w:t>after</w:t>
      </w:r>
      <w:r w:rsidRPr="0092049A">
        <w:rPr>
          <w:rFonts w:eastAsiaTheme="minorEastAsia" w:cs="Times New Roman"/>
          <w:noProof/>
          <w:szCs w:val="24"/>
          <w:lang w:eastAsia="en-GB"/>
        </w:rPr>
        <w:t xml:space="preserve"> the first year after the entry into force of the regulation </w:t>
      </w:r>
      <w:r w:rsidRPr="00113D8B">
        <w:rPr>
          <w:rFonts w:eastAsiaTheme="minorEastAsia" w:cs="Times New Roman"/>
          <w:noProof/>
          <w:szCs w:val="24"/>
          <w:lang w:eastAsia="en-GB"/>
        </w:rPr>
        <w:t>its product scope (see section 5.1), with view to extending it further down the value chain.</w:t>
      </w:r>
    </w:p>
    <w:p w14:paraId="49E2D0D9" w14:textId="716354FF" w:rsidR="004D6BA1" w:rsidRDefault="004D6BA1" w:rsidP="004D6BA1">
      <w:pPr>
        <w:jc w:val="both"/>
        <w:rPr>
          <w:rFonts w:eastAsiaTheme="minorEastAsia" w:cs="Times New Roman"/>
          <w:noProof/>
          <w:szCs w:val="24"/>
          <w:lang w:eastAsia="en-GB"/>
        </w:rPr>
      </w:pPr>
      <w:r>
        <w:rPr>
          <w:rFonts w:eastAsiaTheme="minorEastAsia" w:cs="Times New Roman"/>
          <w:noProof/>
          <w:szCs w:val="24"/>
          <w:lang w:eastAsia="en-GB"/>
        </w:rPr>
        <w:t>As regards the main objective of this EU intervention, EU-driven deforestation and forest degradation has been captured in different research undertakings in the past. The product scope, the baseline and the analysis of impacts of this Impact Assessment build on this previous work. The monitoring of the impacts of the EU intervention will rely on similar tools</w:t>
      </w:r>
      <w:r w:rsidR="00113D8B">
        <w:rPr>
          <w:rFonts w:eastAsiaTheme="minorEastAsia" w:cs="Times New Roman"/>
          <w:noProof/>
          <w:szCs w:val="24"/>
          <w:lang w:eastAsia="en-GB"/>
        </w:rPr>
        <w:t>.</w:t>
      </w:r>
    </w:p>
    <w:p w14:paraId="14F226BA" w14:textId="5F9F15FC" w:rsidR="004D6BA1" w:rsidRPr="007C1494" w:rsidRDefault="004D6BA1" w:rsidP="004D6BA1">
      <w:pPr>
        <w:jc w:val="both"/>
        <w:rPr>
          <w:rFonts w:eastAsiaTheme="minorEastAsia" w:cs="Times New Roman"/>
          <w:noProof/>
          <w:szCs w:val="24"/>
          <w:lang w:eastAsia="en-GB"/>
        </w:rPr>
      </w:pPr>
      <w:r w:rsidRPr="007C1494">
        <w:rPr>
          <w:rFonts w:eastAsiaTheme="minorEastAsia" w:cs="Times New Roman"/>
          <w:noProof/>
          <w:szCs w:val="24"/>
          <w:lang w:eastAsia="en-GB"/>
        </w:rPr>
        <w:t xml:space="preserve">Deforestation and, to a lesser extent, forest degradation, can be monitored via satellite imagery. </w:t>
      </w:r>
      <w:r>
        <w:rPr>
          <w:rFonts w:eastAsiaTheme="minorEastAsia" w:cs="Times New Roman"/>
          <w:noProof/>
          <w:szCs w:val="24"/>
          <w:lang w:eastAsia="en-GB"/>
        </w:rPr>
        <w:t xml:space="preserve">Widely available agricultural production and trade data by country allow to link deforestation to EU consumption and production. An overview of </w:t>
      </w:r>
      <w:r w:rsidR="00F30154">
        <w:rPr>
          <w:rFonts w:eastAsiaTheme="minorEastAsia" w:cs="Times New Roman"/>
          <w:iCs/>
          <w:noProof/>
          <w:szCs w:val="24"/>
          <w:lang w:eastAsia="en-GB"/>
        </w:rPr>
        <w:t>f</w:t>
      </w:r>
      <w:r w:rsidRPr="00F1749C">
        <w:rPr>
          <w:rFonts w:eastAsiaTheme="minorEastAsia" w:cs="Times New Roman"/>
          <w:iCs/>
          <w:noProof/>
          <w:szCs w:val="24"/>
          <w:lang w:eastAsia="en-GB"/>
        </w:rPr>
        <w:t>ree-access satellite imagery</w:t>
      </w:r>
      <w:r w:rsidR="00F30154">
        <w:rPr>
          <w:rFonts w:eastAsiaTheme="minorEastAsia" w:cs="Times New Roman"/>
          <w:iCs/>
          <w:noProof/>
          <w:szCs w:val="24"/>
          <w:lang w:eastAsia="en-GB"/>
        </w:rPr>
        <w:t xml:space="preserve"> tools and </w:t>
      </w:r>
      <w:r w:rsidRPr="00F1749C">
        <w:rPr>
          <w:rFonts w:eastAsiaTheme="minorEastAsia" w:cs="Times New Roman"/>
          <w:iCs/>
          <w:noProof/>
          <w:szCs w:val="24"/>
          <w:lang w:eastAsia="en-GB"/>
        </w:rPr>
        <w:t xml:space="preserve">datasets </w:t>
      </w:r>
      <w:r w:rsidR="00F82682">
        <w:rPr>
          <w:rFonts w:eastAsiaTheme="minorEastAsia" w:cs="Times New Roman"/>
          <w:iCs/>
          <w:noProof/>
          <w:szCs w:val="24"/>
          <w:lang w:eastAsia="en-GB"/>
        </w:rPr>
        <w:t>is available in Annex 6</w:t>
      </w:r>
      <w:r>
        <w:rPr>
          <w:rFonts w:eastAsiaTheme="minorEastAsia" w:cs="Times New Roman"/>
          <w:iCs/>
          <w:noProof/>
          <w:szCs w:val="24"/>
          <w:lang w:eastAsia="en-GB"/>
        </w:rPr>
        <w:t>.</w:t>
      </w:r>
    </w:p>
    <w:p w14:paraId="7366AADB" w14:textId="603C7110" w:rsidR="004D6BA1" w:rsidRPr="004D6BA1" w:rsidRDefault="004D6BA1" w:rsidP="0059275E">
      <w:pPr>
        <w:pStyle w:val="Text1"/>
        <w:ind w:left="0"/>
        <w:rPr>
          <w:rFonts w:eastAsiaTheme="minorEastAsia"/>
          <w:noProof/>
          <w:lang w:eastAsia="en-GB"/>
        </w:rPr>
      </w:pPr>
      <w:r>
        <w:rPr>
          <w:rFonts w:eastAsiaTheme="minorEastAsia"/>
          <w:noProof/>
          <w:szCs w:val="24"/>
          <w:lang w:eastAsia="en-GB"/>
        </w:rPr>
        <w:t>It is therefore expected that the actual impact of the EU intervention could be relatively straightforward to monitor, and separate it from other potential factors th</w:t>
      </w:r>
      <w:r w:rsidR="00F30154">
        <w:rPr>
          <w:rFonts w:eastAsiaTheme="minorEastAsia"/>
          <w:noProof/>
          <w:szCs w:val="24"/>
          <w:lang w:eastAsia="en-GB"/>
        </w:rPr>
        <w:t>at may influence market trends.</w:t>
      </w:r>
    </w:p>
    <w:p w14:paraId="7569E4B5" w14:textId="62231ACB" w:rsidR="004D6BA1" w:rsidRPr="0059275E" w:rsidRDefault="005E6293" w:rsidP="0059275E">
      <w:pPr>
        <w:keepNext/>
        <w:keepLines/>
        <w:tabs>
          <w:tab w:val="left" w:pos="1134"/>
        </w:tabs>
        <w:spacing w:before="360" w:after="160" w:line="240" w:lineRule="auto"/>
        <w:outlineLvl w:val="3"/>
        <w:rPr>
          <w:noProof/>
          <w:szCs w:val="24"/>
          <w:lang w:eastAsia="en-GB"/>
        </w:rPr>
      </w:pPr>
      <w:r>
        <w:rPr>
          <w:rFonts w:eastAsia="Times New Roman" w:cs="Times New Roman"/>
          <w:noProof/>
          <w:szCs w:val="24"/>
          <w:lang w:eastAsia="en-GB"/>
        </w:rPr>
        <w:t xml:space="preserve">Table </w:t>
      </w:r>
      <w:r w:rsidR="007B151C">
        <w:rPr>
          <w:rFonts w:eastAsia="Times New Roman" w:cs="Times New Roman"/>
          <w:noProof/>
          <w:szCs w:val="24"/>
          <w:lang w:eastAsia="en-GB"/>
        </w:rPr>
        <w:t>9</w:t>
      </w:r>
      <w:r w:rsidR="004D6BA1" w:rsidRPr="00386C2D">
        <w:rPr>
          <w:rFonts w:eastAsia="Times New Roman" w:cs="Times New Roman"/>
          <w:noProof/>
          <w:szCs w:val="24"/>
          <w:lang w:eastAsia="en-GB"/>
        </w:rPr>
        <w:t xml:space="preserve"> Objectives, progress indicators and data sources/measurement tools</w:t>
      </w:r>
    </w:p>
    <w:tbl>
      <w:tblPr>
        <w:tblStyle w:val="GridTable4-Accent5"/>
        <w:tblW w:w="8897" w:type="dxa"/>
        <w:shd w:val="clear" w:color="auto" w:fill="DBE5F1" w:themeFill="accent1" w:themeFillTint="33"/>
        <w:tblLook w:val="04A0" w:firstRow="1" w:lastRow="0" w:firstColumn="1" w:lastColumn="0" w:noHBand="0" w:noVBand="1"/>
      </w:tblPr>
      <w:tblGrid>
        <w:gridCol w:w="2208"/>
        <w:gridCol w:w="3712"/>
        <w:gridCol w:w="2977"/>
      </w:tblGrid>
      <w:tr w:rsidR="004D6BA1" w14:paraId="3A99E2D3" w14:textId="77777777" w:rsidTr="00577B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8" w:type="dxa"/>
            <w:shd w:val="clear" w:color="auto" w:fill="95B3D7" w:themeFill="accent1" w:themeFillTint="99"/>
          </w:tcPr>
          <w:p w14:paraId="4D3E57E9" w14:textId="77777777" w:rsidR="004D6BA1" w:rsidRPr="00554645" w:rsidRDefault="004D6BA1" w:rsidP="004D6BA1">
            <w:pPr>
              <w:rPr>
                <w:rFonts w:cs="Times New Roman"/>
                <w:noProof/>
                <w:color w:val="auto"/>
              </w:rPr>
            </w:pPr>
            <w:r w:rsidRPr="00DB34E1">
              <w:rPr>
                <w:rFonts w:cs="Times New Roman"/>
                <w:noProof/>
              </w:rPr>
              <w:t>Objectives</w:t>
            </w:r>
          </w:p>
        </w:tc>
        <w:tc>
          <w:tcPr>
            <w:tcW w:w="3712" w:type="dxa"/>
            <w:shd w:val="clear" w:color="auto" w:fill="95B3D7" w:themeFill="accent1" w:themeFillTint="99"/>
          </w:tcPr>
          <w:p w14:paraId="6BBF63FA" w14:textId="77777777" w:rsidR="004D6BA1" w:rsidRPr="00554645" w:rsidRDefault="004D6BA1" w:rsidP="004D6BA1">
            <w:pPr>
              <w:cnfStyle w:val="100000000000" w:firstRow="1" w:lastRow="0" w:firstColumn="0" w:lastColumn="0" w:oddVBand="0" w:evenVBand="0" w:oddHBand="0" w:evenHBand="0" w:firstRowFirstColumn="0" w:firstRowLastColumn="0" w:lastRowFirstColumn="0" w:lastRowLastColumn="0"/>
              <w:rPr>
                <w:rFonts w:cs="Times New Roman"/>
                <w:noProof/>
                <w:color w:val="auto"/>
              </w:rPr>
            </w:pPr>
            <w:r w:rsidRPr="00DB34E1">
              <w:rPr>
                <w:rFonts w:cs="Times New Roman"/>
                <w:noProof/>
              </w:rPr>
              <w:t>Indicators</w:t>
            </w:r>
          </w:p>
        </w:tc>
        <w:tc>
          <w:tcPr>
            <w:tcW w:w="2977" w:type="dxa"/>
            <w:shd w:val="clear" w:color="auto" w:fill="95B3D7" w:themeFill="accent1" w:themeFillTint="99"/>
          </w:tcPr>
          <w:p w14:paraId="286B61F6" w14:textId="77777777" w:rsidR="004D6BA1" w:rsidRPr="00554645" w:rsidRDefault="004D6BA1" w:rsidP="004D6BA1">
            <w:pPr>
              <w:cnfStyle w:val="100000000000" w:firstRow="1" w:lastRow="0" w:firstColumn="0" w:lastColumn="0" w:oddVBand="0" w:evenVBand="0" w:oddHBand="0" w:evenHBand="0" w:firstRowFirstColumn="0" w:firstRowLastColumn="0" w:lastRowFirstColumn="0" w:lastRowLastColumn="0"/>
              <w:rPr>
                <w:rFonts w:cs="Times New Roman"/>
                <w:noProof/>
                <w:color w:val="auto"/>
              </w:rPr>
            </w:pPr>
            <w:r w:rsidRPr="00DB34E1">
              <w:rPr>
                <w:rFonts w:cs="Times New Roman"/>
                <w:noProof/>
              </w:rPr>
              <w:t>Measurement tools/data sources</w:t>
            </w:r>
          </w:p>
        </w:tc>
      </w:tr>
      <w:tr w:rsidR="004D6BA1" w14:paraId="0C01CD98" w14:textId="77777777" w:rsidTr="00577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8" w:type="dxa"/>
            <w:shd w:val="clear" w:color="auto" w:fill="auto"/>
          </w:tcPr>
          <w:p w14:paraId="3C9F84EE" w14:textId="6379188B" w:rsidR="004D6BA1" w:rsidRPr="00554645" w:rsidRDefault="004D6BA1" w:rsidP="004D6BA1">
            <w:pPr>
              <w:rPr>
                <w:rFonts w:cs="Times New Roman"/>
                <w:b w:val="0"/>
                <w:noProof/>
              </w:rPr>
            </w:pPr>
            <w:r w:rsidRPr="00DB34E1">
              <w:rPr>
                <w:rFonts w:cs="Times New Roman"/>
                <w:noProof/>
              </w:rPr>
              <w:t xml:space="preserve">Reduce </w:t>
            </w:r>
            <w:r>
              <w:rPr>
                <w:rFonts w:cs="Times New Roman"/>
                <w:noProof/>
              </w:rPr>
              <w:t>EU-driven deforestation and forest degradation</w:t>
            </w:r>
          </w:p>
        </w:tc>
        <w:tc>
          <w:tcPr>
            <w:tcW w:w="3712" w:type="dxa"/>
            <w:shd w:val="clear" w:color="auto" w:fill="auto"/>
          </w:tcPr>
          <w:p w14:paraId="087EB999" w14:textId="1DD08096" w:rsidR="004D6BA1" w:rsidRPr="00E52E08" w:rsidRDefault="004D6BA1" w:rsidP="0059275E">
            <w:pPr>
              <w:pStyle w:val="ListParagraph"/>
              <w:numPr>
                <w:ilvl w:val="0"/>
                <w:numId w:val="108"/>
              </w:numPr>
              <w:ind w:left="258" w:hanging="241"/>
              <w:jc w:val="both"/>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Hectares of deforestation and forest degradation provoked by EU consumption and production</w:t>
            </w:r>
          </w:p>
        </w:tc>
        <w:tc>
          <w:tcPr>
            <w:tcW w:w="2977" w:type="dxa"/>
            <w:shd w:val="clear" w:color="auto" w:fill="auto"/>
          </w:tcPr>
          <w:p w14:paraId="6AF355C6" w14:textId="461F0828" w:rsidR="004D6BA1" w:rsidRDefault="004D6BA1" w:rsidP="004D6BA1">
            <w:pPr>
              <w:pStyle w:val="ListParagraph"/>
              <w:numPr>
                <w:ilvl w:val="0"/>
                <w:numId w:val="108"/>
              </w:numPr>
              <w:ind w:left="186" w:hanging="186"/>
              <w:jc w:val="both"/>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 xml:space="preserve">Deforestation and forest degradation statistics </w:t>
            </w:r>
          </w:p>
          <w:p w14:paraId="718DB6E6" w14:textId="77777777" w:rsidR="004D6BA1" w:rsidRDefault="004D6BA1" w:rsidP="004D6BA1">
            <w:pPr>
              <w:pStyle w:val="ListParagraph"/>
              <w:numPr>
                <w:ilvl w:val="0"/>
                <w:numId w:val="108"/>
              </w:numPr>
              <w:ind w:left="186" w:hanging="186"/>
              <w:jc w:val="both"/>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Agricultural production statistics</w:t>
            </w:r>
          </w:p>
          <w:p w14:paraId="019353C8" w14:textId="0B501D03" w:rsidR="004D6BA1" w:rsidRPr="004E23A2" w:rsidRDefault="004D6BA1" w:rsidP="004D6BA1">
            <w:pPr>
              <w:pStyle w:val="ListParagraph"/>
              <w:numPr>
                <w:ilvl w:val="0"/>
                <w:numId w:val="108"/>
              </w:numPr>
              <w:ind w:left="186" w:hanging="186"/>
              <w:jc w:val="both"/>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Trade statistics</w:t>
            </w:r>
          </w:p>
        </w:tc>
      </w:tr>
      <w:tr w:rsidR="004D6BA1" w14:paraId="6E1FA617" w14:textId="77777777" w:rsidTr="00577B9F">
        <w:tc>
          <w:tcPr>
            <w:cnfStyle w:val="001000000000" w:firstRow="0" w:lastRow="0" w:firstColumn="1" w:lastColumn="0" w:oddVBand="0" w:evenVBand="0" w:oddHBand="0" w:evenHBand="0" w:firstRowFirstColumn="0" w:firstRowLastColumn="0" w:lastRowFirstColumn="0" w:lastRowLastColumn="0"/>
            <w:tcW w:w="2208" w:type="dxa"/>
            <w:shd w:val="clear" w:color="auto" w:fill="auto"/>
          </w:tcPr>
          <w:p w14:paraId="3C38E618" w14:textId="7C94ED64" w:rsidR="004D6BA1" w:rsidRDefault="00F30154" w:rsidP="004D6BA1">
            <w:pPr>
              <w:rPr>
                <w:rFonts w:cs="Times New Roman"/>
                <w:b w:val="0"/>
                <w:noProof/>
              </w:rPr>
            </w:pPr>
            <w:r w:rsidRPr="00F30154">
              <w:rPr>
                <w:rFonts w:cs="Times New Roman"/>
                <w:noProof/>
              </w:rPr>
              <w:t>Minimise consumption of products coming from supply chains associated with deforestation or forest degradation</w:t>
            </w:r>
          </w:p>
        </w:tc>
        <w:tc>
          <w:tcPr>
            <w:tcW w:w="3712" w:type="dxa"/>
            <w:shd w:val="clear" w:color="auto" w:fill="auto"/>
          </w:tcPr>
          <w:p w14:paraId="6DDFF5D0" w14:textId="37A9B353" w:rsidR="004D6BA1" w:rsidRPr="00DB34E1" w:rsidRDefault="00F30154" w:rsidP="004D6BA1">
            <w:pPr>
              <w:pStyle w:val="ListParagraph"/>
              <w:numPr>
                <w:ilvl w:val="0"/>
                <w:numId w:val="108"/>
              </w:numPr>
              <w:ind w:left="258" w:hanging="241"/>
              <w:jc w:val="both"/>
              <w:cnfStyle w:val="000000000000" w:firstRow="0" w:lastRow="0" w:firstColumn="0" w:lastColumn="0" w:oddVBand="0" w:evenVBand="0" w:oddHBand="0" w:evenHBand="0" w:firstRowFirstColumn="0" w:firstRowLastColumn="0" w:lastRowFirstColumn="0" w:lastRowLastColumn="0"/>
              <w:rPr>
                <w:rFonts w:cs="Times New Roman"/>
                <w:noProof/>
              </w:rPr>
            </w:pPr>
            <w:r>
              <w:rPr>
                <w:rFonts w:cs="Times New Roman"/>
                <w:noProof/>
              </w:rPr>
              <w:t>EU consumption trends of commodities and products under the scope of the EU intervention (compared to products outside the scope and to other regions lacking a similar policy intervention)</w:t>
            </w:r>
          </w:p>
        </w:tc>
        <w:tc>
          <w:tcPr>
            <w:tcW w:w="2977" w:type="dxa"/>
            <w:shd w:val="clear" w:color="auto" w:fill="auto"/>
          </w:tcPr>
          <w:p w14:paraId="6D21FD94" w14:textId="40884380" w:rsidR="00F30154" w:rsidRDefault="00F30154" w:rsidP="004D6BA1">
            <w:pPr>
              <w:pStyle w:val="ListParagraph"/>
              <w:numPr>
                <w:ilvl w:val="0"/>
                <w:numId w:val="108"/>
              </w:numPr>
              <w:ind w:left="186" w:hanging="186"/>
              <w:jc w:val="both"/>
              <w:cnfStyle w:val="000000000000" w:firstRow="0" w:lastRow="0" w:firstColumn="0" w:lastColumn="0" w:oddVBand="0" w:evenVBand="0" w:oddHBand="0" w:evenHBand="0" w:firstRowFirstColumn="0" w:firstRowLastColumn="0" w:lastRowFirstColumn="0" w:lastRowLastColumn="0"/>
              <w:rPr>
                <w:rFonts w:cs="Times New Roman"/>
                <w:noProof/>
              </w:rPr>
            </w:pPr>
            <w:r>
              <w:rPr>
                <w:rFonts w:cs="Times New Roman"/>
                <w:noProof/>
              </w:rPr>
              <w:t>Trade statistics</w:t>
            </w:r>
          </w:p>
          <w:p w14:paraId="614B1533" w14:textId="11DD677F" w:rsidR="00F30154" w:rsidRDefault="00F30154" w:rsidP="004D6BA1">
            <w:pPr>
              <w:pStyle w:val="ListParagraph"/>
              <w:numPr>
                <w:ilvl w:val="0"/>
                <w:numId w:val="108"/>
              </w:numPr>
              <w:ind w:left="186" w:hanging="186"/>
              <w:jc w:val="both"/>
              <w:cnfStyle w:val="000000000000" w:firstRow="0" w:lastRow="0" w:firstColumn="0" w:lastColumn="0" w:oddVBand="0" w:evenVBand="0" w:oddHBand="0" w:evenHBand="0" w:firstRowFirstColumn="0" w:firstRowLastColumn="0" w:lastRowFirstColumn="0" w:lastRowLastColumn="0"/>
              <w:rPr>
                <w:rFonts w:cs="Times New Roman"/>
                <w:noProof/>
              </w:rPr>
            </w:pPr>
            <w:r>
              <w:rPr>
                <w:rFonts w:cs="Times New Roman"/>
                <w:noProof/>
              </w:rPr>
              <w:t>Agricultural production statistics</w:t>
            </w:r>
          </w:p>
          <w:p w14:paraId="75D839B7" w14:textId="13DF67A0" w:rsidR="00F30154" w:rsidRDefault="00F30154" w:rsidP="004D6BA1">
            <w:pPr>
              <w:pStyle w:val="ListParagraph"/>
              <w:numPr>
                <w:ilvl w:val="0"/>
                <w:numId w:val="108"/>
              </w:numPr>
              <w:ind w:left="186" w:hanging="186"/>
              <w:jc w:val="both"/>
              <w:cnfStyle w:val="000000000000" w:firstRow="0" w:lastRow="0" w:firstColumn="0" w:lastColumn="0" w:oddVBand="0" w:evenVBand="0" w:oddHBand="0" w:evenHBand="0" w:firstRowFirstColumn="0" w:firstRowLastColumn="0" w:lastRowFirstColumn="0" w:lastRowLastColumn="0"/>
              <w:rPr>
                <w:rFonts w:cs="Times New Roman"/>
                <w:noProof/>
              </w:rPr>
            </w:pPr>
            <w:r w:rsidRPr="006462C6">
              <w:rPr>
                <w:rFonts w:cs="Times New Roman"/>
                <w:noProof/>
              </w:rPr>
              <w:t>Sector statistics</w:t>
            </w:r>
          </w:p>
          <w:p w14:paraId="0C0FA62C" w14:textId="77777777" w:rsidR="00F30154" w:rsidRDefault="00F30154" w:rsidP="00F30154">
            <w:pPr>
              <w:pStyle w:val="ListParagraph"/>
              <w:numPr>
                <w:ilvl w:val="0"/>
                <w:numId w:val="108"/>
              </w:numPr>
              <w:ind w:left="186" w:hanging="186"/>
              <w:jc w:val="both"/>
              <w:cnfStyle w:val="000000000000" w:firstRow="0" w:lastRow="0" w:firstColumn="0" w:lastColumn="0" w:oddVBand="0" w:evenVBand="0" w:oddHBand="0" w:evenHBand="0" w:firstRowFirstColumn="0" w:firstRowLastColumn="0" w:lastRowFirstColumn="0" w:lastRowLastColumn="0"/>
              <w:rPr>
                <w:rFonts w:cs="Times New Roman"/>
                <w:noProof/>
              </w:rPr>
            </w:pPr>
            <w:r>
              <w:rPr>
                <w:rFonts w:cs="Times New Roman"/>
                <w:noProof/>
              </w:rPr>
              <w:t>Consumer price statistics</w:t>
            </w:r>
          </w:p>
          <w:p w14:paraId="43E61E27" w14:textId="27258D2C" w:rsidR="004D6BA1" w:rsidRPr="00E52E08" w:rsidRDefault="00F30154" w:rsidP="00F30154">
            <w:pPr>
              <w:pStyle w:val="ListParagraph"/>
              <w:numPr>
                <w:ilvl w:val="0"/>
                <w:numId w:val="108"/>
              </w:numPr>
              <w:ind w:left="186" w:hanging="186"/>
              <w:jc w:val="both"/>
              <w:cnfStyle w:val="000000000000" w:firstRow="0" w:lastRow="0" w:firstColumn="0" w:lastColumn="0" w:oddVBand="0" w:evenVBand="0" w:oddHBand="0" w:evenHBand="0" w:firstRowFirstColumn="0" w:firstRowLastColumn="0" w:lastRowFirstColumn="0" w:lastRowLastColumn="0"/>
              <w:rPr>
                <w:rFonts w:cs="Times New Roman"/>
                <w:noProof/>
              </w:rPr>
            </w:pPr>
            <w:r>
              <w:rPr>
                <w:rFonts w:cs="Times New Roman"/>
                <w:noProof/>
              </w:rPr>
              <w:t>Consumer surveys</w:t>
            </w:r>
          </w:p>
        </w:tc>
      </w:tr>
      <w:tr w:rsidR="004D6BA1" w14:paraId="238D183F" w14:textId="77777777" w:rsidTr="00577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8" w:type="dxa"/>
            <w:shd w:val="clear" w:color="auto" w:fill="auto"/>
          </w:tcPr>
          <w:p w14:paraId="4F33BE16" w14:textId="518D93F4" w:rsidR="004D6BA1" w:rsidRPr="00554645" w:rsidRDefault="00F30154" w:rsidP="004D6BA1">
            <w:pPr>
              <w:rPr>
                <w:rFonts w:cs="Times New Roman"/>
                <w:b w:val="0"/>
                <w:noProof/>
              </w:rPr>
            </w:pPr>
            <w:r w:rsidRPr="00F30154">
              <w:rPr>
                <w:rFonts w:cs="Times New Roman"/>
                <w:noProof/>
              </w:rPr>
              <w:t>Increase EU demand for and trade in legal and ‘deforestation free’ commodities and products</w:t>
            </w:r>
          </w:p>
        </w:tc>
        <w:tc>
          <w:tcPr>
            <w:tcW w:w="3712" w:type="dxa"/>
            <w:shd w:val="clear" w:color="auto" w:fill="auto"/>
          </w:tcPr>
          <w:p w14:paraId="094AE9C0" w14:textId="73EDED43" w:rsidR="004D6BA1" w:rsidRPr="00485B8B" w:rsidRDefault="00F30154" w:rsidP="004D6BA1">
            <w:pPr>
              <w:pStyle w:val="ListParagraph"/>
              <w:numPr>
                <w:ilvl w:val="0"/>
                <w:numId w:val="108"/>
              </w:numPr>
              <w:ind w:left="262" w:hanging="283"/>
              <w:jc w:val="both"/>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EU consumption trends of commodities and products under the scope of the EU intervention (compared to products outside the scope and to other regions lacking a similar policy intervention)</w:t>
            </w:r>
          </w:p>
        </w:tc>
        <w:tc>
          <w:tcPr>
            <w:tcW w:w="2977" w:type="dxa"/>
            <w:shd w:val="clear" w:color="auto" w:fill="auto"/>
          </w:tcPr>
          <w:p w14:paraId="140630D2" w14:textId="77777777" w:rsidR="00F30154" w:rsidRDefault="00F30154" w:rsidP="00F30154">
            <w:pPr>
              <w:pStyle w:val="ListParagraph"/>
              <w:numPr>
                <w:ilvl w:val="0"/>
                <w:numId w:val="108"/>
              </w:numPr>
              <w:ind w:left="186" w:hanging="186"/>
              <w:jc w:val="both"/>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Trade statistics</w:t>
            </w:r>
          </w:p>
          <w:p w14:paraId="3D408EDF" w14:textId="77777777" w:rsidR="00F30154" w:rsidRDefault="00F30154" w:rsidP="00F30154">
            <w:pPr>
              <w:pStyle w:val="ListParagraph"/>
              <w:numPr>
                <w:ilvl w:val="0"/>
                <w:numId w:val="108"/>
              </w:numPr>
              <w:ind w:left="186" w:hanging="186"/>
              <w:jc w:val="both"/>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Agricultural production statistics</w:t>
            </w:r>
          </w:p>
          <w:p w14:paraId="70B5E437" w14:textId="77777777" w:rsidR="00F30154" w:rsidRDefault="00F30154" w:rsidP="00F30154">
            <w:pPr>
              <w:pStyle w:val="ListParagraph"/>
              <w:numPr>
                <w:ilvl w:val="0"/>
                <w:numId w:val="108"/>
              </w:numPr>
              <w:ind w:left="186" w:hanging="186"/>
              <w:jc w:val="both"/>
              <w:cnfStyle w:val="000000100000" w:firstRow="0" w:lastRow="0" w:firstColumn="0" w:lastColumn="0" w:oddVBand="0" w:evenVBand="0" w:oddHBand="1" w:evenHBand="0" w:firstRowFirstColumn="0" w:firstRowLastColumn="0" w:lastRowFirstColumn="0" w:lastRowLastColumn="0"/>
              <w:rPr>
                <w:rFonts w:cs="Times New Roman"/>
                <w:noProof/>
              </w:rPr>
            </w:pPr>
            <w:r w:rsidRPr="006462C6">
              <w:rPr>
                <w:rFonts w:cs="Times New Roman"/>
                <w:noProof/>
              </w:rPr>
              <w:t>Sector statistics</w:t>
            </w:r>
          </w:p>
          <w:p w14:paraId="4F4D0A83" w14:textId="77777777" w:rsidR="00F30154" w:rsidRDefault="00F30154" w:rsidP="00F30154">
            <w:pPr>
              <w:pStyle w:val="ListParagraph"/>
              <w:numPr>
                <w:ilvl w:val="0"/>
                <w:numId w:val="108"/>
              </w:numPr>
              <w:ind w:left="186" w:hanging="186"/>
              <w:jc w:val="both"/>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Consumer price statistics</w:t>
            </w:r>
          </w:p>
          <w:p w14:paraId="4C8BA02F" w14:textId="39741F2B" w:rsidR="004D6BA1" w:rsidRPr="005C0F53" w:rsidRDefault="00F30154" w:rsidP="00F30154">
            <w:pPr>
              <w:pStyle w:val="ListParagraph"/>
              <w:numPr>
                <w:ilvl w:val="0"/>
                <w:numId w:val="108"/>
              </w:numPr>
              <w:ind w:left="186" w:hanging="186"/>
              <w:jc w:val="both"/>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Consumer surveys</w:t>
            </w:r>
          </w:p>
        </w:tc>
      </w:tr>
    </w:tbl>
    <w:p w14:paraId="24387275" w14:textId="77C7C598" w:rsidR="00293BFE" w:rsidRDefault="00293BFE">
      <w:pPr>
        <w:rPr>
          <w:rFonts w:eastAsia="Times New Roman" w:cs="Times New Roman"/>
          <w:b/>
          <w:noProof/>
          <w:sz w:val="32"/>
          <w:szCs w:val="20"/>
        </w:rPr>
      </w:pPr>
      <w:bookmarkStart w:id="214" w:name="_Toc481484483"/>
    </w:p>
    <w:bookmarkEnd w:id="214"/>
    <w:sectPr w:rsidR="00293BFE" w:rsidSect="00434F4C">
      <w:headerReference w:type="even" r:id="rId58"/>
      <w:headerReference w:type="default" r:id="rId59"/>
      <w:footerReference w:type="even" r:id="rId60"/>
      <w:footerReference w:type="default" r:id="rId61"/>
      <w:headerReference w:type="first" r:id="rId62"/>
      <w:footerReference w:type="first" r:id="rId63"/>
      <w:pgSz w:w="11906" w:h="16838"/>
      <w:pgMar w:top="1021" w:right="1701" w:bottom="1021" w:left="1588" w:header="601" w:footer="1077" w:gutter="0"/>
      <w:cols w:space="720"/>
      <w:titlePg/>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929BD55" w16cex:dateUtc="2021-03-03T11:32:11Z"/>
  <w16cex:commentExtensible w16cex:durableId="65234326" w16cex:dateUtc="2021-03-03T21:41:40.853Z"/>
  <w16cex:commentExtensible w16cex:durableId="70E8ADD0" w16cex:dateUtc="2021-03-03T21:41:53.894Z"/>
  <w16cex:commentExtensible w16cex:durableId="26346CB9" w16cex:dateUtc="2021-03-03T21:53:37.244Z"/>
  <w16cex:commentExtensible w16cex:durableId="3416FAB9" w16cex:dateUtc="2021-03-03T21:59:46.449Z"/>
  <w16cex:commentExtensible w16cex:durableId="0F1478BF" w16cex:dateUtc="2021-03-03T22:04:18.09Z"/>
  <w16cex:commentExtensible w16cex:durableId="44454A76" w16cex:dateUtc="2021-03-03T22:04:40.452Z"/>
  <w16cex:commentExtensible w16cex:durableId="64C18609" w16cex:dateUtc="2021-03-03T22:05:35.417Z"/>
  <w16cex:commentExtensible w16cex:durableId="4A9BC613" w16cex:dateUtc="2021-03-03T22:07:14.934Z"/>
  <w16cex:commentExtensible w16cex:durableId="35DA946D" w16cex:dateUtc="2021-03-08T10:42:29.733Z"/>
  <w16cex:commentExtensible w16cex:durableId="0334D438" w16cex:dateUtc="2021-03-03T22:09:58.942Z"/>
  <w16cex:commentExtensible w16cex:durableId="2BE15240" w16cex:dateUtc="2021-03-03T22:13:08.684Z"/>
  <w16cex:commentExtensible w16cex:durableId="725F6504" w16cex:dateUtc="2021-03-03T22:14:02.028Z"/>
  <w16cex:commentExtensible w16cex:durableId="280A668E" w16cex:dateUtc="2021-03-03T22:14:31.752Z"/>
  <w16cex:commentExtensible w16cex:durableId="3D592ADD" w16cex:dateUtc="2021-03-03T22:14:31.752Z"/>
  <w16cex:commentExtensible w16cex:durableId="1AB40887" w16cex:dateUtc="2021-03-03T22:27:35.625Z"/>
  <w16cex:commentExtensible w16cex:durableId="622ECAB2" w16cex:dateUtc="2021-03-04T09:46:58Z"/>
  <w16cex:commentExtensible w16cex:durableId="1BC99169" w16cex:dateUtc="2021-03-04T09:47:27Z"/>
  <w16cex:commentExtensible w16cex:durableId="68C71419" w16cex:dateUtc="2021-03-04T09:49:19Z"/>
  <w16cex:commentExtensible w16cex:durableId="1D5D9D54" w16cex:dateUtc="2021-03-04T09:51:51Z"/>
  <w16cex:commentExtensible w16cex:durableId="14660675" w16cex:dateUtc="2021-03-04T09:52:49Z"/>
  <w16cex:commentExtensible w16cex:durableId="594CDE96" w16cex:dateUtc="2021-03-03T22:14:31Z"/>
  <w16cex:commentExtensible w16cex:durableId="6754DD21" w16cex:dateUtc="2021-03-03T22:14:31Z"/>
  <w16cex:commentExtensible w16cex:durableId="7FCCA229" w16cex:dateUtc="2021-03-04T14:50:23Z"/>
  <w16cex:commentExtensible w16cex:durableId="4EEFCE21" w16cex:dateUtc="2021-03-04T20:09:04Z"/>
  <w16cex:commentExtensible w16cex:durableId="2B58E944" w16cex:dateUtc="2021-03-04T20:51:10Z"/>
  <w16cex:commentExtensible w16cex:durableId="26FB0DC6" w16cex:dateUtc="2021-03-08T10:53:49.983Z"/>
  <w16cex:commentExtensible w16cex:durableId="195EDFA3" w16cex:dateUtc="2021-03-08T11:44:19.049Z"/>
  <w16cex:commentExtensible w16cex:durableId="5F0C3976" w16cex:dateUtc="2021-03-08T12:18:13.874Z"/>
  <w16cex:commentExtensible w16cex:durableId="5579B460" w16cex:dateUtc="2021-03-08T12:26:21.361Z"/>
  <w16cex:commentExtensible w16cex:durableId="05B86D93" w16cex:dateUtc="2021-03-08T13:24:59.333Z"/>
  <w16cex:commentExtensible w16cex:durableId="6DBE6C3D" w16cex:dateUtc="2021-03-08T14:42:50.32Z"/>
  <w16cex:commentExtensible w16cex:durableId="14B735EB" w16cex:dateUtc="2021-03-08T14:44:47.94Z"/>
  <w16cex:commentExtensible w16cex:durableId="35CE2A74" w16cex:dateUtc="2021-03-09T07:11:59.294Z"/>
</w16cex:commentsExtensible>
</file>

<file path=word/commentsIds.xml><?xml version="1.0" encoding="utf-8"?>
<w16cid:commentsIds xmlns:mc="http://schemas.openxmlformats.org/markup-compatibility/2006" xmlns:w16cid="http://schemas.microsoft.com/office/word/2016/wordml/cid" mc:Ignorable="w16cid">
  <w16cid:commentId w16cid:paraId="4DC26E44" w16cid:durableId="1929BD55"/>
  <w16cid:commentId w16cid:paraId="339B4E2F" w16cid:durableId="65234326"/>
  <w16cid:commentId w16cid:paraId="08EC2E86" w16cid:durableId="70E8ADD0"/>
  <w16cid:commentId w16cid:paraId="03530EE4" w16cid:durableId="26346CB9"/>
  <w16cid:commentId w16cid:paraId="69247494" w16cid:durableId="3416FAB9"/>
  <w16cid:commentId w16cid:paraId="4B6D8D8F" w16cid:durableId="0F1478BF"/>
  <w16cid:commentId w16cid:paraId="6D94BA78" w16cid:durableId="44454A76"/>
  <w16cid:commentId w16cid:paraId="42F9FA2E" w16cid:durableId="64C18609"/>
  <w16cid:commentId w16cid:paraId="5520CD07" w16cid:durableId="4A9BC613"/>
  <w16cid:commentId w16cid:paraId="07FB4708" w16cid:durableId="0334D438"/>
  <w16cid:commentId w16cid:paraId="4FADAEF5" w16cid:durableId="2BE15240"/>
  <w16cid:commentId w16cid:paraId="7C853C7F" w16cid:durableId="725F6504"/>
  <w16cid:commentId w16cid:paraId="396EF5D3" w16cid:durableId="280A668E"/>
  <w16cid:commentId w16cid:paraId="24F4C472" w16cid:durableId="3D592ADD"/>
  <w16cid:commentId w16cid:paraId="1A7AB3BC" w16cid:durableId="1AB40887"/>
  <w16cid:commentId w16cid:paraId="7C8C9C61" w16cid:durableId="622ECAB2"/>
  <w16cid:commentId w16cid:paraId="7E82A1B8" w16cid:durableId="1BC99169"/>
  <w16cid:commentId w16cid:paraId="5D34FCFF" w16cid:durableId="68C71419"/>
  <w16cid:commentId w16cid:paraId="39BACB7E" w16cid:durableId="1D5D9D54"/>
  <w16cid:commentId w16cid:paraId="2BBF4955" w16cid:durableId="14660675"/>
  <w16cid:commentId w16cid:paraId="68424DB8" w16cid:durableId="594CDE96"/>
  <w16cid:commentId w16cid:paraId="047B1C7E" w16cid:durableId="6754DD21"/>
  <w16cid:commentId w16cid:paraId="0B03D7B7" w16cid:durableId="7FCCA229"/>
  <w16cid:commentId w16cid:paraId="76A0F93A" w16cid:durableId="4EEFCE21"/>
  <w16cid:commentId w16cid:paraId="6AA520AE" w16cid:durableId="2B58E944"/>
  <w16cid:commentId w16cid:paraId="4C6F7236" w16cid:durableId="35DA946D"/>
  <w16cid:commentId w16cid:paraId="3AA87C01" w16cid:durableId="26FB0DC6"/>
  <w16cid:commentId w16cid:paraId="37097964" w16cid:durableId="195EDFA3"/>
  <w16cid:commentId w16cid:paraId="74DA2EBF" w16cid:durableId="5F0C3976"/>
  <w16cid:commentId w16cid:paraId="46F31FDF" w16cid:durableId="5579B460"/>
  <w16cid:commentId w16cid:paraId="511DC405" w16cid:durableId="05B86D93"/>
  <w16cid:commentId w16cid:paraId="1874FAD3" w16cid:durableId="6DBE6C3D"/>
  <w16cid:commentId w16cid:paraId="64EE7319" w16cid:durableId="14B735EB"/>
  <w16cid:commentId w16cid:paraId="5EBDAE11" w16cid:durableId="35CE2A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29564" w14:textId="77777777" w:rsidR="00EA7989" w:rsidRDefault="00EA7989" w:rsidP="0021058A">
      <w:pPr>
        <w:spacing w:after="0" w:line="240" w:lineRule="auto"/>
      </w:pPr>
      <w:r>
        <w:separator/>
      </w:r>
    </w:p>
  </w:endnote>
  <w:endnote w:type="continuationSeparator" w:id="0">
    <w:p w14:paraId="56743214" w14:textId="77777777" w:rsidR="00EA7989" w:rsidRDefault="00EA7989" w:rsidP="0021058A">
      <w:pPr>
        <w:spacing w:after="0" w:line="240" w:lineRule="auto"/>
      </w:pPr>
      <w:r>
        <w:continuationSeparator/>
      </w:r>
    </w:p>
  </w:endnote>
  <w:endnote w:type="continuationNotice" w:id="1">
    <w:p w14:paraId="449DB86B" w14:textId="77777777" w:rsidR="00EA7989" w:rsidRDefault="00EA79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News Gothic">
    <w:altName w:val="Arial"/>
    <w:charset w:val="00"/>
    <w:family w:val="swiss"/>
    <w:pitch w:val="variable"/>
    <w:sig w:usb0="00000083" w:usb1="00000000" w:usb2="00000000" w:usb3="00000000" w:csb0="00000009" w:csb1="00000000"/>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Sakamoto Medium">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501CE" w14:textId="77777777" w:rsidR="00DB15B8" w:rsidRPr="00DB15B8" w:rsidRDefault="00DB15B8" w:rsidP="00DB15B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4534D" w14:textId="77777777" w:rsidR="00BC1FA7" w:rsidRDefault="00BC1FA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FA36E" w14:textId="1C5143B0" w:rsidR="00BC1FA7" w:rsidRDefault="00BC1FA7">
    <w:pPr>
      <w:pStyle w:val="Footer"/>
      <w:jc w:val="center"/>
    </w:pPr>
    <w:r>
      <w:fldChar w:fldCharType="begin"/>
    </w:r>
    <w:r>
      <w:instrText>PAGE</w:instrText>
    </w:r>
    <w:r>
      <w:fldChar w:fldCharType="separate"/>
    </w:r>
    <w:r w:rsidR="008A6239">
      <w:rPr>
        <w:noProof/>
      </w:rPr>
      <w:t>82</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835556"/>
      <w:docPartObj>
        <w:docPartGallery w:val="Page Numbers (Bottom of Page)"/>
        <w:docPartUnique/>
      </w:docPartObj>
    </w:sdtPr>
    <w:sdtEndPr>
      <w:rPr>
        <w:noProof/>
      </w:rPr>
    </w:sdtEndPr>
    <w:sdtContent>
      <w:p w14:paraId="1B43A702" w14:textId="30AB1923" w:rsidR="00BC1FA7" w:rsidRDefault="00BC1FA7">
        <w:pPr>
          <w:pStyle w:val="Footer"/>
          <w:jc w:val="center"/>
        </w:pPr>
        <w:r>
          <w:fldChar w:fldCharType="begin"/>
        </w:r>
        <w:r>
          <w:instrText xml:space="preserve"> PAGE   \* MERGEFORMAT </w:instrText>
        </w:r>
        <w:r>
          <w:fldChar w:fldCharType="separate"/>
        </w:r>
        <w:r w:rsidR="008A6239">
          <w:rPr>
            <w:noProof/>
          </w:rPr>
          <w:t>48</w:t>
        </w:r>
        <w:r>
          <w:rPr>
            <w:noProof/>
          </w:rPr>
          <w:fldChar w:fldCharType="end"/>
        </w:r>
      </w:p>
    </w:sdtContent>
  </w:sdt>
  <w:p w14:paraId="0D6AB10D" w14:textId="77777777" w:rsidR="00BC1FA7" w:rsidRDefault="00BC1FA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6AAA0" w14:textId="77777777" w:rsidR="00BC1FA7" w:rsidRDefault="00BC1FA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D2B2E" w14:textId="77777777" w:rsidR="00BC1FA7" w:rsidRDefault="00BC1FA7">
    <w:pPr>
      <w:pStyle w:val="Footer"/>
      <w:jc w:val="center"/>
    </w:pPr>
    <w:r>
      <w:fldChar w:fldCharType="begin"/>
    </w:r>
    <w:r>
      <w:instrText>PAGE</w:instrText>
    </w:r>
    <w:r>
      <w:fldChar w:fldCharType="separate"/>
    </w:r>
    <w:r>
      <w:rPr>
        <w:noProof/>
      </w:rPr>
      <w:t>1</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402092"/>
      <w:docPartObj>
        <w:docPartGallery w:val="Page Numbers (Bottom of Page)"/>
        <w:docPartUnique/>
      </w:docPartObj>
    </w:sdtPr>
    <w:sdtEndPr>
      <w:rPr>
        <w:noProof/>
      </w:rPr>
    </w:sdtEndPr>
    <w:sdtContent>
      <w:p w14:paraId="06F97B23" w14:textId="4A286716" w:rsidR="00BC1FA7" w:rsidRDefault="00BC1FA7">
        <w:pPr>
          <w:pStyle w:val="Footer"/>
          <w:jc w:val="center"/>
        </w:pPr>
        <w:r>
          <w:fldChar w:fldCharType="begin"/>
        </w:r>
        <w:r>
          <w:instrText xml:space="preserve"> PAGE   \* MERGEFORMAT </w:instrText>
        </w:r>
        <w:r>
          <w:fldChar w:fldCharType="separate"/>
        </w:r>
        <w:r w:rsidR="008A6239">
          <w:rPr>
            <w:noProof/>
          </w:rPr>
          <w:t>83</w:t>
        </w:r>
        <w:r>
          <w:rPr>
            <w:noProof/>
          </w:rPr>
          <w:fldChar w:fldCharType="end"/>
        </w:r>
      </w:p>
    </w:sdtContent>
  </w:sdt>
  <w:p w14:paraId="2BF5A1CB" w14:textId="77777777" w:rsidR="00BC1FA7" w:rsidRDefault="00BC1FA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BD7B7" w14:textId="77777777" w:rsidR="00BC1FA7" w:rsidRDefault="00BC1FA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88708"/>
      <w:docPartObj>
        <w:docPartGallery w:val="Page Numbers (Bottom of Page)"/>
        <w:docPartUnique/>
      </w:docPartObj>
    </w:sdtPr>
    <w:sdtEndPr>
      <w:rPr>
        <w:noProof/>
      </w:rPr>
    </w:sdtEndPr>
    <w:sdtContent>
      <w:p w14:paraId="2470A5A9" w14:textId="54594065" w:rsidR="00EA7989" w:rsidRDefault="00EA7989">
        <w:pPr>
          <w:pStyle w:val="Footer"/>
          <w:ind w:left="0"/>
          <w:jc w:val="center"/>
        </w:pPr>
        <w:r>
          <w:fldChar w:fldCharType="begin"/>
        </w:r>
        <w:r>
          <w:instrText xml:space="preserve"> PAGE   \* MERGEFORMAT </w:instrText>
        </w:r>
        <w:r>
          <w:fldChar w:fldCharType="separate"/>
        </w:r>
        <w:r w:rsidR="008A6239">
          <w:rPr>
            <w:noProof/>
          </w:rPr>
          <w:t>86</w:t>
        </w:r>
        <w:r>
          <w:rPr>
            <w:noProof/>
          </w:rPr>
          <w:fldChar w:fldCharType="end"/>
        </w:r>
      </w:p>
    </w:sdtContent>
  </w:sdt>
  <w:p w14:paraId="109006A2" w14:textId="77777777" w:rsidR="00EA7989" w:rsidRDefault="00EA7989">
    <w:pPr>
      <w:pStyle w:val="Footer"/>
      <w:ind w:left="0"/>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198876"/>
      <w:docPartObj>
        <w:docPartGallery w:val="Page Numbers (Bottom of Page)"/>
        <w:docPartUnique/>
      </w:docPartObj>
    </w:sdtPr>
    <w:sdtEndPr>
      <w:rPr>
        <w:noProof/>
      </w:rPr>
    </w:sdtEndPr>
    <w:sdtContent>
      <w:p w14:paraId="065C206B" w14:textId="5800E042" w:rsidR="00BC1FA7" w:rsidRDefault="00BC1FA7">
        <w:pPr>
          <w:pStyle w:val="Footer"/>
          <w:jc w:val="center"/>
        </w:pPr>
        <w:r>
          <w:fldChar w:fldCharType="begin"/>
        </w:r>
        <w:r>
          <w:instrText xml:space="preserve"> PAGE   \* MERGEFORMAT </w:instrText>
        </w:r>
        <w:r>
          <w:fldChar w:fldCharType="separate"/>
        </w:r>
        <w:r w:rsidR="008A6239">
          <w:rPr>
            <w:noProof/>
          </w:rPr>
          <w:t>84</w:t>
        </w:r>
        <w:r>
          <w:rPr>
            <w:noProof/>
          </w:rPr>
          <w:fldChar w:fldCharType="end"/>
        </w:r>
      </w:p>
    </w:sdtContent>
  </w:sdt>
  <w:p w14:paraId="1754681D" w14:textId="77777777" w:rsidR="00BC1FA7" w:rsidRDefault="00BC1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AD201" w14:textId="6E8D754B" w:rsidR="00335774" w:rsidRPr="00DB15B8" w:rsidRDefault="00DB15B8" w:rsidP="00DB15B8">
    <w:pPr>
      <w:pStyle w:val="FooterCoverPage"/>
      <w:rPr>
        <w:rFonts w:ascii="Arial" w:hAnsi="Arial" w:cs="Arial"/>
        <w:b/>
        <w:sz w:val="48"/>
      </w:rPr>
    </w:pPr>
    <w:r w:rsidRPr="00DB15B8">
      <w:rPr>
        <w:rFonts w:ascii="Arial" w:hAnsi="Arial" w:cs="Arial"/>
        <w:b/>
        <w:sz w:val="48"/>
      </w:rPr>
      <w:t>EN</w:t>
    </w:r>
    <w:r w:rsidRPr="00DB15B8">
      <w:rPr>
        <w:rFonts w:ascii="Arial" w:hAnsi="Arial" w:cs="Arial"/>
        <w:b/>
        <w:sz w:val="48"/>
      </w:rPr>
      <w:tab/>
    </w:r>
    <w:r w:rsidRPr="00DB15B8">
      <w:rPr>
        <w:rFonts w:ascii="Arial" w:hAnsi="Arial" w:cs="Arial"/>
        <w:b/>
        <w:sz w:val="48"/>
      </w:rPr>
      <w:tab/>
    </w:r>
    <w:r w:rsidRPr="00DB15B8">
      <w:tab/>
    </w:r>
    <w:r w:rsidRPr="00DB15B8">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C83EC" w14:textId="77777777" w:rsidR="00DB15B8" w:rsidRPr="00DB15B8" w:rsidRDefault="00DB15B8" w:rsidP="00DB15B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F0BEC" w14:textId="77777777" w:rsidR="00EA7989" w:rsidRDefault="00EA79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B4441" w14:textId="078DC80D" w:rsidR="00EA7989" w:rsidRDefault="00EA7989">
    <w:pPr>
      <w:pStyle w:val="Footer"/>
      <w:jc w:val="center"/>
    </w:pPr>
    <w:r>
      <w:fldChar w:fldCharType="begin"/>
    </w:r>
    <w:r>
      <w:instrText>PAGE</w:instrText>
    </w:r>
    <w:r>
      <w:fldChar w:fldCharType="separate"/>
    </w:r>
    <w:r w:rsidR="008A6239">
      <w:rPr>
        <w:noProof/>
      </w:rPr>
      <w:t>21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796683"/>
      <w:docPartObj>
        <w:docPartGallery w:val="Page Numbers (Bottom of Page)"/>
        <w:docPartUnique/>
      </w:docPartObj>
    </w:sdtPr>
    <w:sdtEndPr>
      <w:rPr>
        <w:noProof/>
      </w:rPr>
    </w:sdtEndPr>
    <w:sdtContent>
      <w:p w14:paraId="2903CBC8" w14:textId="0A9224A0" w:rsidR="00EA7989" w:rsidRDefault="00EA7989">
        <w:pPr>
          <w:pStyle w:val="Footer"/>
          <w:jc w:val="center"/>
        </w:pPr>
        <w:r>
          <w:fldChar w:fldCharType="begin"/>
        </w:r>
        <w:r>
          <w:instrText xml:space="preserve"> PAGE   \* MERGEFORMAT </w:instrText>
        </w:r>
        <w:r>
          <w:fldChar w:fldCharType="separate"/>
        </w:r>
        <w:r w:rsidR="008A6239">
          <w:rPr>
            <w:noProof/>
          </w:rPr>
          <w:t>1</w:t>
        </w:r>
        <w:r>
          <w:rPr>
            <w:noProof/>
          </w:rPr>
          <w:fldChar w:fldCharType="end"/>
        </w:r>
      </w:p>
    </w:sdtContent>
  </w:sdt>
  <w:p w14:paraId="651E9592" w14:textId="77777777" w:rsidR="00EA7989" w:rsidRDefault="00EA798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B03AC" w14:textId="77777777" w:rsidR="00BC1FA7" w:rsidRDefault="00BC1FA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CC3D9" w14:textId="77777777" w:rsidR="00BC1FA7" w:rsidRDefault="00BC1FA7">
    <w:pPr>
      <w:pStyle w:val="Footer"/>
      <w:jc w:val="center"/>
    </w:pPr>
    <w:r>
      <w:fldChar w:fldCharType="begin"/>
    </w:r>
    <w:r>
      <w:instrText>PAGE</w:instrText>
    </w:r>
    <w:r>
      <w:fldChar w:fldCharType="separate"/>
    </w:r>
    <w:r>
      <w:rPr>
        <w:noProof/>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772752"/>
      <w:docPartObj>
        <w:docPartGallery w:val="Page Numbers (Bottom of Page)"/>
        <w:docPartUnique/>
      </w:docPartObj>
    </w:sdtPr>
    <w:sdtEndPr>
      <w:rPr>
        <w:noProof/>
      </w:rPr>
    </w:sdtEndPr>
    <w:sdtContent>
      <w:p w14:paraId="56EFB762" w14:textId="15A92611" w:rsidR="00BC1FA7" w:rsidRDefault="00BC1FA7">
        <w:pPr>
          <w:pStyle w:val="Footer"/>
          <w:jc w:val="center"/>
        </w:pPr>
        <w:r>
          <w:fldChar w:fldCharType="begin"/>
        </w:r>
        <w:r>
          <w:instrText xml:space="preserve"> PAGE   \* MERGEFORMAT </w:instrText>
        </w:r>
        <w:r>
          <w:fldChar w:fldCharType="separate"/>
        </w:r>
        <w:r w:rsidR="008A6239">
          <w:rPr>
            <w:noProof/>
          </w:rPr>
          <w:t>47</w:t>
        </w:r>
        <w:r>
          <w:rPr>
            <w:noProof/>
          </w:rPr>
          <w:fldChar w:fldCharType="end"/>
        </w:r>
      </w:p>
    </w:sdtContent>
  </w:sdt>
  <w:p w14:paraId="455B21E3" w14:textId="77777777" w:rsidR="00BC1FA7" w:rsidRDefault="00BC1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ABC7A" w14:textId="77777777" w:rsidR="00EA7989" w:rsidRDefault="00EA7989" w:rsidP="0021058A">
      <w:pPr>
        <w:spacing w:after="0" w:line="240" w:lineRule="auto"/>
      </w:pPr>
      <w:r>
        <w:separator/>
      </w:r>
    </w:p>
  </w:footnote>
  <w:footnote w:type="continuationSeparator" w:id="0">
    <w:p w14:paraId="068CBDF5" w14:textId="77777777" w:rsidR="00EA7989" w:rsidRDefault="00EA7989" w:rsidP="0021058A">
      <w:pPr>
        <w:spacing w:after="0" w:line="240" w:lineRule="auto"/>
      </w:pPr>
      <w:r>
        <w:continuationSeparator/>
      </w:r>
    </w:p>
  </w:footnote>
  <w:footnote w:type="continuationNotice" w:id="1">
    <w:p w14:paraId="5FFAD150" w14:textId="77777777" w:rsidR="00EA7989" w:rsidRDefault="00EA7989">
      <w:pPr>
        <w:spacing w:after="0" w:line="240" w:lineRule="auto"/>
      </w:pPr>
    </w:p>
  </w:footnote>
  <w:footnote w:id="2">
    <w:p w14:paraId="2F8CBEE4" w14:textId="7B87A0CA" w:rsidR="00EA7989" w:rsidRPr="00303303" w:rsidRDefault="00EA7989" w:rsidP="00303303">
      <w:pPr>
        <w:pStyle w:val="FootnoteText"/>
        <w:jc w:val="both"/>
        <w:rPr>
          <w:rFonts w:cs="Times New Roman"/>
          <w:lang w:val="en-US"/>
        </w:rPr>
      </w:pPr>
      <w:r w:rsidRPr="00303303">
        <w:rPr>
          <w:rStyle w:val="FootnoteReference"/>
          <w:rFonts w:cs="Times New Roman"/>
        </w:rPr>
        <w:footnoteRef/>
      </w:r>
      <w:r w:rsidRPr="00303303">
        <w:rPr>
          <w:rFonts w:cs="Times New Roman"/>
        </w:rPr>
        <w:t xml:space="preserve"> </w:t>
      </w:r>
      <w:r w:rsidRPr="00715230">
        <w:rPr>
          <w:rFonts w:cs="Times New Roman"/>
          <w:szCs w:val="16"/>
        </w:rPr>
        <w:t>C</w:t>
      </w:r>
      <w:r w:rsidRPr="00715230">
        <w:rPr>
          <w:rFonts w:cs="Times New Roman"/>
          <w:szCs w:val="16"/>
          <w:lang w:val="en-US"/>
        </w:rPr>
        <w:t>OMMUNICATION FROM THE COMMISSION TO THE EUROPEAN PARLIAMENT, THE COUNCIL, THE EUROPEAN ECONOMIC AND SOCIAL COMMITTEE AND THE COMMITTEE OF THE REGIONS Stepping up EU Action to Protect and Restore the World’s Forests, COM/2019/352 final</w:t>
      </w:r>
    </w:p>
  </w:footnote>
  <w:footnote w:id="3">
    <w:p w14:paraId="25116EE7" w14:textId="5EA912A0" w:rsidR="00EA7989" w:rsidRPr="00303303" w:rsidRDefault="00EA7989" w:rsidP="00303303">
      <w:pPr>
        <w:pStyle w:val="FootnoteText"/>
        <w:jc w:val="both"/>
        <w:rPr>
          <w:rFonts w:cs="Times New Roman"/>
          <w:lang w:val="en-US"/>
        </w:rPr>
      </w:pPr>
      <w:r w:rsidRPr="00303303">
        <w:rPr>
          <w:rStyle w:val="FootnoteReference"/>
          <w:rFonts w:cs="Times New Roman"/>
        </w:rPr>
        <w:footnoteRef/>
      </w:r>
      <w:r w:rsidRPr="00303303">
        <w:rPr>
          <w:rFonts w:cs="Times New Roman"/>
          <w:lang w:val="en-US"/>
        </w:rPr>
        <w:t xml:space="preserve"> </w:t>
      </w:r>
      <w:r w:rsidRPr="00715230">
        <w:rPr>
          <w:rFonts w:cs="Times New Roman"/>
          <w:szCs w:val="16"/>
          <w:lang w:val="en-US"/>
        </w:rPr>
        <w:t>COMMUNICATION FROM THE COMMISSION TO THE EUROPEAN PARLIAMENT, THE EUROPEAN COUNCIL, THE COUNCIL, THE EUROPEAN ECONOMIC AND SOCIAL COMMITTEE AND THE COMMITTEE OF THE REGIONS The European Green Deal, COM/2019/640 final.</w:t>
      </w:r>
    </w:p>
  </w:footnote>
  <w:footnote w:id="4">
    <w:p w14:paraId="290E9C15" w14:textId="686B37BE" w:rsidR="00EA7989" w:rsidRPr="00303303" w:rsidRDefault="00EA7989" w:rsidP="00303303">
      <w:pPr>
        <w:pStyle w:val="FootnoteText"/>
        <w:jc w:val="both"/>
        <w:rPr>
          <w:rFonts w:cs="Times New Roman"/>
          <w:lang w:val="en-US"/>
        </w:rPr>
      </w:pPr>
      <w:r w:rsidRPr="00096CB5">
        <w:rPr>
          <w:rFonts w:cs="Times New Roman"/>
          <w:vertAlign w:val="superscript"/>
          <w:lang w:val="en-US"/>
        </w:rPr>
        <w:footnoteRef/>
      </w:r>
      <w:r w:rsidRPr="00303303">
        <w:rPr>
          <w:rFonts w:cs="Times New Roman"/>
          <w:lang w:val="en-US"/>
        </w:rPr>
        <w:t xml:space="preserve"> </w:t>
      </w:r>
      <w:r w:rsidRPr="00715230">
        <w:rPr>
          <w:rFonts w:cs="Times New Roman"/>
          <w:szCs w:val="16"/>
          <w:lang w:val="en-US"/>
        </w:rPr>
        <w:t>COMMUNICATION FROM THE COMMISSION TO THE EUROPEAN PARLIAMENT, THE COUNCIL, THE EUROPEAN ECONOMIC AND SOCIAL COMMITTEE AND THE COMMITTEE OF THE REGIONS EU Biodiversity Strategy for 2030 Bringing nature back into our lives, COM/2020/380 final</w:t>
      </w:r>
    </w:p>
  </w:footnote>
  <w:footnote w:id="5">
    <w:p w14:paraId="6E81A5CC" w14:textId="649C20A1" w:rsidR="00EA7989" w:rsidRPr="00410F5A" w:rsidRDefault="00EA7989" w:rsidP="00410F5A">
      <w:pPr>
        <w:pStyle w:val="FootnoteText"/>
        <w:jc w:val="both"/>
        <w:rPr>
          <w:rFonts w:cs="Times New Roman"/>
          <w:lang w:val="en-US"/>
        </w:rPr>
      </w:pPr>
      <w:r w:rsidRPr="00096CB5">
        <w:rPr>
          <w:rFonts w:cs="Times New Roman"/>
          <w:vertAlign w:val="superscript"/>
          <w:lang w:val="en-US"/>
        </w:rPr>
        <w:footnoteRef/>
      </w:r>
      <w:r w:rsidRPr="00303303">
        <w:rPr>
          <w:rFonts w:cs="Times New Roman"/>
          <w:lang w:val="en-US"/>
        </w:rPr>
        <w:t xml:space="preserve"> </w:t>
      </w:r>
      <w:r w:rsidRPr="00715230">
        <w:rPr>
          <w:rFonts w:cs="Times New Roman"/>
          <w:szCs w:val="16"/>
          <w:lang w:val="en-US"/>
        </w:rPr>
        <w:t>COMMUNICATION FROM THE COMMISSION TO THE EUROPEAN PARLIAMENT, THE COUNCIL, THE EUROPEAN ECONOMIC AND SOCIAL COMMITTEE AND THE COMMITTEE OF THE REGIONS A Farm to Fork Strategy for a fair, healthy and environmentally-friendly food system, COM/2020/381 final</w:t>
      </w:r>
    </w:p>
  </w:footnote>
  <w:footnote w:id="6">
    <w:p w14:paraId="4DDD4FC1" w14:textId="77F4EBE8" w:rsidR="00EA7989" w:rsidRPr="00410F5A" w:rsidRDefault="00EA7989" w:rsidP="00410F5A">
      <w:pPr>
        <w:pStyle w:val="FootnoteText"/>
        <w:jc w:val="both"/>
        <w:rPr>
          <w:rFonts w:cs="Times New Roman"/>
        </w:rPr>
      </w:pPr>
      <w:r w:rsidRPr="00410F5A">
        <w:rPr>
          <w:rStyle w:val="FootnoteReference"/>
          <w:rFonts w:cs="Times New Roman"/>
        </w:rPr>
        <w:footnoteRef/>
      </w:r>
      <w:r>
        <w:t xml:space="preserve"> </w:t>
      </w:r>
      <w:r w:rsidRPr="00562BB9">
        <w:t>Inception Impact Assessment - Minimising the risk of deforestation and forest degradation associated with products placed on the EU market</w:t>
      </w:r>
    </w:p>
  </w:footnote>
  <w:footnote w:id="7">
    <w:p w14:paraId="15CE2377" w14:textId="454F2182" w:rsidR="00EA7989" w:rsidRPr="00C700F3" w:rsidRDefault="00EA7989">
      <w:pPr>
        <w:pStyle w:val="FootnoteText"/>
        <w:jc w:val="both"/>
      </w:pPr>
      <w:r>
        <w:rPr>
          <w:rStyle w:val="FootnoteReference"/>
        </w:rPr>
        <w:footnoteRef/>
      </w:r>
      <w:r>
        <w:t xml:space="preserve"> </w:t>
      </w:r>
      <w:r w:rsidRPr="00C700F3">
        <w:t xml:space="preserve">The need to reduce forest loss is underlined in IPBES. 2019. Global assessment report on biodiversity and ecosystem services of the Intergovernmental Science- Policy Platform on Biodiversity and Ecosystem Services. </w:t>
      </w:r>
      <w:r w:rsidRPr="00A34516">
        <w:rPr>
          <w:lang w:val="it-IT"/>
        </w:rPr>
        <w:t xml:space="preserve">E. S. Brondizio, J. Settele, S. Díaz, and H. T. Ngo (editors). </w:t>
      </w:r>
      <w:r w:rsidRPr="00C700F3">
        <w:t>IPBES Secretariat, Bonn, Germany. https://www.ipbes.net/global-assessment-report-biodiversity-ecosystem-services.</w:t>
      </w:r>
      <w:r w:rsidRPr="00DC2E43">
        <w:t xml:space="preserve"> </w:t>
      </w:r>
      <w:hyperlink r:id="rId1" w:history="1">
        <w:r w:rsidRPr="00146B9D">
          <w:rPr>
            <w:rStyle w:val="Hyperlink"/>
            <w:u w:val="none"/>
          </w:rPr>
          <w:t>Betts</w:t>
        </w:r>
      </w:hyperlink>
      <w:r w:rsidRPr="00146B9D">
        <w:rPr>
          <w:rStyle w:val="Hyperlink"/>
          <w:u w:val="none"/>
        </w:rPr>
        <w:t xml:space="preserve"> </w:t>
      </w:r>
      <w:r w:rsidRPr="00146B9D">
        <w:rPr>
          <w:rStyle w:val="Hyperlink"/>
          <w:i/>
          <w:iCs/>
          <w:u w:val="none"/>
        </w:rPr>
        <w:t>et al.</w:t>
      </w:r>
      <w:r w:rsidRPr="00146B9D">
        <w:rPr>
          <w:rStyle w:val="Hyperlink"/>
          <w:u w:val="none"/>
        </w:rPr>
        <w:t xml:space="preserve"> 2017. Global forest loss disproportionally erodes biodiversity in intact landscapes. Nature letters 547: 441-444.</w:t>
      </w:r>
    </w:p>
  </w:footnote>
  <w:footnote w:id="8">
    <w:p w14:paraId="534C306C" w14:textId="77777777" w:rsidR="00EA7989" w:rsidRDefault="00EA7989" w:rsidP="005A5338">
      <w:pPr>
        <w:pStyle w:val="FootnoteText"/>
      </w:pPr>
      <w:r>
        <w:rPr>
          <w:rStyle w:val="FootnoteReference"/>
        </w:rPr>
        <w:footnoteRef/>
      </w:r>
      <w:r>
        <w:t xml:space="preserve"> IPBES 2019. </w:t>
      </w:r>
      <w:r w:rsidRPr="00EC54C5">
        <w:t xml:space="preserve">Global assessment report on biodiversity and ecosystem services of the Intergovernmental Science-Policy Platform on Biodiversity and Ecosystem Services. </w:t>
      </w:r>
      <w:r w:rsidRPr="00201B76">
        <w:rPr>
          <w:lang w:val="it-IT"/>
        </w:rPr>
        <w:t xml:space="preserve">E. S. Brondizio, J. Settele, S. Díaz, and H. T. Ngo (Eds.). </w:t>
      </w:r>
      <w:r w:rsidRPr="00EC54C5">
        <w:t xml:space="preserve">IPBES </w:t>
      </w:r>
      <w:r>
        <w:t>S</w:t>
      </w:r>
      <w:r w:rsidRPr="00EC54C5">
        <w:t>ecretariat, Bonn, Germany.</w:t>
      </w:r>
      <w:r w:rsidRPr="00EC54C5" w:rsidDel="00457E4D">
        <w:t xml:space="preserve"> </w:t>
      </w:r>
    </w:p>
  </w:footnote>
  <w:footnote w:id="9">
    <w:p w14:paraId="2C019BD9" w14:textId="77777777" w:rsidR="00EA7989" w:rsidRPr="00C700F3" w:rsidRDefault="00EA7989" w:rsidP="007F3349">
      <w:pPr>
        <w:pStyle w:val="FootnoteText"/>
        <w:jc w:val="both"/>
      </w:pPr>
      <w:r>
        <w:rPr>
          <w:rStyle w:val="FootnoteReference"/>
        </w:rPr>
        <w:footnoteRef/>
      </w:r>
      <w:r>
        <w:t xml:space="preserve"> </w:t>
      </w:r>
      <w:r w:rsidRPr="00C700F3">
        <w:t>Smith P et al. (2014) Agriculture, Forestry and Other Land Use (AFOLU). In: Climate Change 2014: Mitigation of Climate Change. Contribution of Working Group III to the Fifth Assessment Report of the Intergovernmental Panel on Climate Change [Edenhofer O et al (eds.)]. Cambridge University Press, Cambridge, UK and New York, NY, USA.</w:t>
      </w:r>
    </w:p>
  </w:footnote>
  <w:footnote w:id="10">
    <w:p w14:paraId="33840DE4" w14:textId="53695D8A" w:rsidR="00EA7989" w:rsidRDefault="00EA7989" w:rsidP="007F3349">
      <w:pPr>
        <w:pStyle w:val="FootnoteText"/>
        <w:jc w:val="both"/>
      </w:pPr>
      <w:r>
        <w:rPr>
          <w:rStyle w:val="FootnoteReference"/>
        </w:rPr>
        <w:footnoteRef/>
      </w:r>
      <w:r>
        <w:t xml:space="preserve"> IPCC, 2019: Summary for Policymakers. In: Climate Change and Land: an IPCC special report on climate change, desertification, land degradation, sustainable land management, food security, and greenhouse gas fluxes in terrestrial ecosystems [P.R. Shukla, J. Skea, E. Calvo Buendia, V. Masson-Delmotte, H.- O. Pörtner, D. C. Roberts, P. Zhai, R. Slade, S. Connors, R. van Diemen, M. Ferrat, E. Haughey, S. Luz, S. Neogi, M. Pathak, J. Petzold, J. Portugal Pereira, P. Vyas, E. Huntley, K. Kissick, M. Belkacemi, J. Malley, (eds.)]. In press.</w:t>
      </w:r>
    </w:p>
  </w:footnote>
  <w:footnote w:id="11">
    <w:p w14:paraId="04DBB7B8" w14:textId="6891D69C" w:rsidR="00EA7989" w:rsidRPr="00650608" w:rsidRDefault="00EA7989" w:rsidP="00456864">
      <w:pPr>
        <w:pStyle w:val="FootnoteText"/>
        <w:jc w:val="both"/>
        <w:rPr>
          <w:rFonts w:cs="Times New Roman"/>
          <w:lang w:val="en-US"/>
        </w:rPr>
      </w:pPr>
      <w:r w:rsidRPr="00051E66">
        <w:rPr>
          <w:rStyle w:val="FootnoteReference"/>
          <w:rFonts w:cs="Times New Roman"/>
        </w:rPr>
        <w:footnoteRef/>
      </w:r>
      <w:r w:rsidRPr="00650608">
        <w:rPr>
          <w:rFonts w:cs="Times New Roman"/>
          <w:lang w:val="en-US"/>
        </w:rPr>
        <w:t xml:space="preserve"> </w:t>
      </w:r>
      <w:r w:rsidRPr="00377B0C">
        <w:rPr>
          <w:rFonts w:cs="Times New Roman"/>
          <w:lang w:val="en-US"/>
        </w:rPr>
        <w:t xml:space="preserve">FAO. 2020. Global Forest Resources Assessment 2020: Main report. Rome. </w:t>
      </w:r>
    </w:p>
  </w:footnote>
  <w:footnote w:id="12">
    <w:p w14:paraId="25F9328B" w14:textId="145038A8" w:rsidR="00EA7989" w:rsidRPr="00650608" w:rsidRDefault="00EA7989" w:rsidP="007F3349">
      <w:pPr>
        <w:pStyle w:val="FootnoteText"/>
        <w:jc w:val="both"/>
        <w:rPr>
          <w:rFonts w:cs="Times New Roman"/>
          <w:lang w:val="en-US"/>
        </w:rPr>
      </w:pPr>
      <w:r w:rsidRPr="00852A17">
        <w:rPr>
          <w:rStyle w:val="FootnoteReference"/>
        </w:rPr>
        <w:footnoteRef/>
      </w:r>
      <w:r w:rsidRPr="00650608">
        <w:rPr>
          <w:rFonts w:cs="Times New Roman"/>
          <w:lang w:val="en-US"/>
        </w:rPr>
        <w:t xml:space="preserve"> </w:t>
      </w:r>
      <w:r w:rsidRPr="00377B0C">
        <w:rPr>
          <w:rFonts w:cs="Times New Roman"/>
          <w:lang w:val="en-US"/>
        </w:rPr>
        <w:t xml:space="preserve">FAO 2020. Global Forest Resources Assessment 2020: Main report. Rome. </w:t>
      </w:r>
    </w:p>
  </w:footnote>
  <w:footnote w:id="13">
    <w:p w14:paraId="2108D3CD" w14:textId="6F9322D7" w:rsidR="00EA7989" w:rsidRPr="003543B9" w:rsidRDefault="00EA7989" w:rsidP="0057124A">
      <w:pPr>
        <w:pStyle w:val="FootnoteText"/>
        <w:rPr>
          <w:lang w:val="en-IE"/>
        </w:rPr>
      </w:pPr>
      <w:r>
        <w:rPr>
          <w:rStyle w:val="FootnoteReference"/>
        </w:rPr>
        <w:footnoteRef/>
      </w:r>
      <w:r w:rsidRPr="00B97D14">
        <w:rPr>
          <w:lang w:val="en-US"/>
        </w:rPr>
        <w:t xml:space="preserve"> </w:t>
      </w:r>
      <w:r w:rsidRPr="008469D3">
        <w:rPr>
          <w:lang w:val="en-US"/>
        </w:rPr>
        <w:t xml:space="preserve">Vancutsem, </w:t>
      </w:r>
      <w:r w:rsidRPr="005232DD">
        <w:rPr>
          <w:i/>
          <w:lang w:val="en-US"/>
        </w:rPr>
        <w:t>et al</w:t>
      </w:r>
      <w:r>
        <w:rPr>
          <w:lang w:val="en-US"/>
        </w:rPr>
        <w:t xml:space="preserve">. </w:t>
      </w:r>
      <w:r w:rsidRPr="008469D3">
        <w:rPr>
          <w:lang w:val="en-US"/>
        </w:rPr>
        <w:t xml:space="preserve">(2021). </w:t>
      </w:r>
      <w:r w:rsidRPr="001E7B19">
        <w:t>Long-term (1990–2019) monitoring of forest cover changes in the humid tropics. Science Advances</w:t>
      </w:r>
      <w:r>
        <w:t xml:space="preserve"> 7:10</w:t>
      </w:r>
      <w:r w:rsidRPr="001E7B19">
        <w:t>.</w:t>
      </w:r>
      <w:r w:rsidRPr="000C68C3">
        <w:t xml:space="preserve"> </w:t>
      </w:r>
      <w:r>
        <w:t xml:space="preserve">Available at </w:t>
      </w:r>
      <w:r w:rsidRPr="0093291B">
        <w:t>https://advances.sciencemag.org/content/7/10/eabe1603.full</w:t>
      </w:r>
    </w:p>
  </w:footnote>
  <w:footnote w:id="14">
    <w:p w14:paraId="5D3038D5" w14:textId="77777777" w:rsidR="00EA7989" w:rsidRDefault="00EA7989" w:rsidP="0033101E">
      <w:pPr>
        <w:pStyle w:val="FootnoteText"/>
      </w:pPr>
      <w:r>
        <w:rPr>
          <w:rStyle w:val="FootnoteReference"/>
        </w:rPr>
        <w:footnoteRef/>
      </w:r>
      <w:r w:rsidRPr="0088000E">
        <w:t xml:space="preserve"> Dobson </w:t>
      </w:r>
      <w:r w:rsidRPr="00416694">
        <w:rPr>
          <w:i/>
        </w:rPr>
        <w:t>et al</w:t>
      </w:r>
      <w:r w:rsidRPr="00416694">
        <w:t xml:space="preserve">. 2020. </w:t>
      </w:r>
      <w:r w:rsidRPr="00BE6BAA">
        <w:t>Ecology and economics for pandemic prevention</w:t>
      </w:r>
      <w:r>
        <w:t xml:space="preserve">. </w:t>
      </w:r>
      <w:r w:rsidRPr="00BA235A">
        <w:t>Science</w:t>
      </w:r>
      <w:r>
        <w:t xml:space="preserve"> 369 (6502): 379-381.</w:t>
      </w:r>
    </w:p>
  </w:footnote>
  <w:footnote w:id="15">
    <w:p w14:paraId="56C9DFDE" w14:textId="7D389092" w:rsidR="00EA7989" w:rsidRPr="00C150BF" w:rsidRDefault="00EA7989">
      <w:pPr>
        <w:pStyle w:val="FootnoteText"/>
      </w:pPr>
      <w:r>
        <w:rPr>
          <w:rStyle w:val="FootnoteReference"/>
        </w:rPr>
        <w:footnoteRef/>
      </w:r>
      <w:r>
        <w:t xml:space="preserve"> Register of Commission Expert Groups - </w:t>
      </w:r>
      <w:r w:rsidRPr="00C150BF">
        <w:t>Commission Expert Group/Multi-Stakeholder Platform on Protecting and Restoring the World’s Forests, including the EU Timber Regulation and the FLEGT Regulation</w:t>
      </w:r>
      <w:r>
        <w:t xml:space="preserve">. Available at </w:t>
      </w:r>
      <w:r w:rsidRPr="00C150BF">
        <w:t>https://ec.europa.eu/transparency/regexpert/index.cfm?do=groupDetail.groupDetail&amp;groupID=3282</w:t>
      </w:r>
    </w:p>
  </w:footnote>
  <w:footnote w:id="16">
    <w:p w14:paraId="5230A190" w14:textId="7401344A" w:rsidR="00EA7989" w:rsidRPr="00F167C8" w:rsidRDefault="00EA7989" w:rsidP="008213C8">
      <w:pPr>
        <w:pStyle w:val="FootnoteText"/>
        <w:rPr>
          <w:rFonts w:cs="Times New Roman"/>
        </w:rPr>
      </w:pPr>
      <w:r w:rsidRPr="00051E66">
        <w:rPr>
          <w:rStyle w:val="FootnoteReference"/>
          <w:rFonts w:cs="Times New Roman"/>
        </w:rPr>
        <w:footnoteRef/>
      </w:r>
      <w:r w:rsidRPr="00650608">
        <w:rPr>
          <w:rFonts w:cs="Times New Roman"/>
          <w:lang w:val="en-US"/>
        </w:rPr>
        <w:t xml:space="preserve"> </w:t>
      </w:r>
      <w:r>
        <w:t xml:space="preserve">Council conclusions on the Communication on Stepping Up EU Action to Protect and Restore the World’s Forests (16 December 2019) 15151/19. Available at </w:t>
      </w:r>
      <w:hyperlink r:id="rId2" w:history="1">
        <w:r w:rsidRPr="007C4083">
          <w:t>https://www.consilium.europa.eu/media/41860/st15151-en19.pdf</w:t>
        </w:r>
      </w:hyperlink>
    </w:p>
  </w:footnote>
  <w:footnote w:id="17">
    <w:p w14:paraId="3FD3519B" w14:textId="0204B657" w:rsidR="00EA7989" w:rsidRPr="007C4083" w:rsidRDefault="00EA7989" w:rsidP="008213C8">
      <w:pPr>
        <w:pStyle w:val="FootnoteText"/>
        <w:rPr>
          <w:rFonts w:cs="Times New Roman"/>
        </w:rPr>
      </w:pPr>
      <w:r w:rsidRPr="00051E66">
        <w:rPr>
          <w:rStyle w:val="FootnoteReference"/>
          <w:rFonts w:cs="Times New Roman"/>
        </w:rPr>
        <w:footnoteRef/>
      </w:r>
      <w:r w:rsidRPr="00650608">
        <w:rPr>
          <w:rFonts w:cs="Times New Roman"/>
          <w:lang w:val="en-US"/>
        </w:rPr>
        <w:t xml:space="preserve"> </w:t>
      </w:r>
      <w:r w:rsidRPr="006750F4">
        <w:rPr>
          <w:rFonts w:cs="Times New Roman"/>
          <w:lang w:val="en-US"/>
        </w:rPr>
        <w:t xml:space="preserve"> European Parliament resolution of 22 October 2020 with recommendations to the Commission on an EU legal framework to halt and reverse EU-driven global deforestation (2020/2006(INL)</w:t>
      </w:r>
      <w:r>
        <w:rPr>
          <w:rFonts w:cs="Times New Roman"/>
          <w:lang w:val="en-US"/>
        </w:rPr>
        <w:t xml:space="preserve"> Available at </w:t>
      </w:r>
      <w:hyperlink r:id="rId3" w:history="1">
        <w:r w:rsidRPr="007C4083">
          <w:t>https://www.europarl.europa.eu/doceo/document/TA-9-2020-0285_EN.html</w:t>
        </w:r>
      </w:hyperlink>
      <w:r w:rsidRPr="007C4083">
        <w:rPr>
          <w:rFonts w:cs="Times New Roman"/>
        </w:rPr>
        <w:t xml:space="preserve"> </w:t>
      </w:r>
    </w:p>
  </w:footnote>
  <w:footnote w:id="18">
    <w:p w14:paraId="202EF8BF" w14:textId="77777777" w:rsidR="00EA7989" w:rsidRDefault="00EA7989" w:rsidP="005C614D">
      <w:pPr>
        <w:pStyle w:val="FootnoteText"/>
        <w:jc w:val="both"/>
        <w:rPr>
          <w:rFonts w:asciiTheme="minorHAnsi" w:eastAsia="Calibri" w:hAnsiTheme="minorHAnsi" w:cs="Arial"/>
          <w:sz w:val="20"/>
        </w:rPr>
      </w:pPr>
      <w:r>
        <w:rPr>
          <w:rStyle w:val="FootnoteReference"/>
        </w:rPr>
        <w:footnoteRef/>
      </w:r>
      <w:r>
        <w:t xml:space="preserve"> </w:t>
      </w:r>
      <w:r>
        <w:rPr>
          <w:rFonts w:cs="Times New Roman"/>
        </w:rPr>
        <w:t>Communication from the Commission to the Council and the European Parliament - Forest Law Enforcement, Governance and Trade (FLEGT) - Proposal for an EU Action Plan (COM(2003) 251 final).</w:t>
      </w:r>
    </w:p>
  </w:footnote>
  <w:footnote w:id="19">
    <w:p w14:paraId="06E26BAA" w14:textId="39EBB867" w:rsidR="00EA7989" w:rsidRDefault="00EA7989" w:rsidP="007F4115">
      <w:pPr>
        <w:pStyle w:val="FootnoteText"/>
        <w:jc w:val="both"/>
      </w:pPr>
      <w:r>
        <w:rPr>
          <w:rStyle w:val="FootnoteReference"/>
        </w:rPr>
        <w:footnoteRef/>
      </w:r>
      <w:r>
        <w:t xml:space="preserve"> </w:t>
      </w:r>
      <w:r w:rsidRPr="00576BB4">
        <w:t>Council Regulation (EC) No 2173/2005 of 20 December 2005 on the establishment of a FLEGT licensing scheme for imports of timber into the European Community</w:t>
      </w:r>
    </w:p>
  </w:footnote>
  <w:footnote w:id="20">
    <w:p w14:paraId="450985C3" w14:textId="77777777" w:rsidR="00EA7989" w:rsidRDefault="00EA7989" w:rsidP="007F4115">
      <w:pPr>
        <w:pStyle w:val="FootnoteText"/>
        <w:jc w:val="both"/>
        <w:rPr>
          <w:rFonts w:eastAsia="Calibri"/>
        </w:rPr>
      </w:pPr>
      <w:r>
        <w:rPr>
          <w:rStyle w:val="FootnoteReference"/>
        </w:rPr>
        <w:footnoteRef/>
      </w:r>
      <w:r>
        <w:t xml:space="preserve"> </w:t>
      </w:r>
      <w:r>
        <w:rPr>
          <w:rFonts w:eastAsia="Times New Roman" w:cs="Times New Roman"/>
        </w:rPr>
        <w:t>Regulation (EU) No 995/2010 of the European Parliament and of the Council of 20 October 2010 laying down the obligations of operators who place timber and timber products on the market.</w:t>
      </w:r>
    </w:p>
  </w:footnote>
  <w:footnote w:id="21">
    <w:p w14:paraId="7D712D6A" w14:textId="047FA8DD" w:rsidR="00EA7989" w:rsidRDefault="00EA7989" w:rsidP="007F4115">
      <w:pPr>
        <w:pStyle w:val="FootnoteText"/>
        <w:jc w:val="both"/>
      </w:pPr>
      <w:r>
        <w:rPr>
          <w:rStyle w:val="FootnoteReference"/>
        </w:rPr>
        <w:footnoteRef/>
      </w:r>
      <w:r>
        <w:t xml:space="preserve"> </w:t>
      </w:r>
      <w:r w:rsidRPr="00ED1E35">
        <w:t>https://ec.europa.eu/info/law/better-regulation/have-your-say/initiatives/11630-Illegal-logging-evaluation-of-EU-rules-fitness-check-_en</w:t>
      </w:r>
    </w:p>
  </w:footnote>
  <w:footnote w:id="22">
    <w:p w14:paraId="195D6388" w14:textId="77777777" w:rsidR="00EA7989" w:rsidRDefault="00EA7989" w:rsidP="005C614D">
      <w:pPr>
        <w:pStyle w:val="FootnoteText"/>
        <w:jc w:val="both"/>
      </w:pPr>
      <w:r>
        <w:rPr>
          <w:rStyle w:val="FootnoteReference"/>
        </w:rPr>
        <w:footnoteRef/>
      </w:r>
      <w:r>
        <w:t xml:space="preserve"> Directive (EU) 2018/2001 of the European Parliament and of the Council of 11 December 2018 on the promotion of the use of energy from renewable sources, OJ L328/82 of 21.12.2018</w:t>
      </w:r>
    </w:p>
  </w:footnote>
  <w:footnote w:id="23">
    <w:p w14:paraId="1B0472B6" w14:textId="77777777" w:rsidR="00EA7989" w:rsidRDefault="00EA7989" w:rsidP="005C614D">
      <w:pPr>
        <w:pStyle w:val="FootnoteText"/>
        <w:jc w:val="both"/>
        <w:rPr>
          <w:lang w:val="en-US"/>
        </w:rPr>
      </w:pPr>
      <w:r>
        <w:rPr>
          <w:rStyle w:val="FootnoteReference"/>
        </w:rPr>
        <w:footnoteRef/>
      </w:r>
      <w:r>
        <w:t xml:space="preserve"> Regulation (EU) 2020/852 </w:t>
      </w:r>
      <w:r>
        <w:rPr>
          <w:rFonts w:eastAsia="Times New Roman" w:cs="Times New Roman"/>
        </w:rPr>
        <w:t>of the European Parliament and of the Council</w:t>
      </w:r>
      <w:r>
        <w:t xml:space="preserve"> of 18 June 2020 on the establishment of a framework to facilitate sustainable investment, and amending Regulation (EU) 2019/2088</w:t>
      </w:r>
    </w:p>
  </w:footnote>
  <w:footnote w:id="24">
    <w:p w14:paraId="14B17D99" w14:textId="77777777" w:rsidR="00EA7989" w:rsidRDefault="00EA7989" w:rsidP="005C614D">
      <w:pPr>
        <w:pStyle w:val="FootnoteText"/>
        <w:jc w:val="both"/>
        <w:rPr>
          <w:rFonts w:eastAsia="Calibri" w:cs="Arial"/>
        </w:rPr>
      </w:pPr>
      <w:r>
        <w:rPr>
          <w:rStyle w:val="FootnoteReference"/>
        </w:rPr>
        <w:footnoteRef/>
      </w:r>
      <w:r>
        <w:t>Relevant information on the review of the LULUCF Regulation, including the inception Impact Assessment can be found in  https://ec.europa.eu/info/law/better-regulation/have-your-say/initiatives/12657-Land-use-land-use-change-and-forestry-review-of-EU-rules</w:t>
      </w:r>
    </w:p>
  </w:footnote>
  <w:footnote w:id="25">
    <w:p w14:paraId="27634E28" w14:textId="45B9E95B" w:rsidR="00EA7989" w:rsidRDefault="00EA7989" w:rsidP="007F4115">
      <w:pPr>
        <w:pStyle w:val="FootnoteText"/>
        <w:jc w:val="both"/>
      </w:pPr>
      <w:r>
        <w:rPr>
          <w:rStyle w:val="FootnoteReference"/>
        </w:rPr>
        <w:footnoteRef/>
      </w:r>
      <w:r>
        <w:t xml:space="preserve"> </w:t>
      </w:r>
      <w:r w:rsidRPr="00BD46AF">
        <w:t>https://ec.europa.eu/info/law/better-regulation/have-your-say/initiatives/12674-Forests-new-EU-strategy_en</w:t>
      </w:r>
    </w:p>
  </w:footnote>
  <w:footnote w:id="26">
    <w:p w14:paraId="39C42F79" w14:textId="77777777" w:rsidR="00EA7989" w:rsidRDefault="00EA7989" w:rsidP="007F4115">
      <w:pPr>
        <w:pStyle w:val="FootnoteText"/>
        <w:jc w:val="both"/>
      </w:pPr>
      <w:r>
        <w:rPr>
          <w:rStyle w:val="FootnoteReference"/>
        </w:rPr>
        <w:footnoteRef/>
      </w:r>
      <w:r>
        <w:t xml:space="preserve"> </w:t>
      </w:r>
      <w:r w:rsidRPr="00387F5F">
        <w:t>https://ec.europa.eu/info/law/better-regulation/have-your-say/initiatives/12548-Sustainable-corporate-governance_en</w:t>
      </w:r>
    </w:p>
  </w:footnote>
  <w:footnote w:id="27">
    <w:p w14:paraId="5220A924" w14:textId="77777777" w:rsidR="00EA7989" w:rsidRDefault="00EA7989" w:rsidP="007F4115">
      <w:pPr>
        <w:pStyle w:val="FootnoteText"/>
        <w:jc w:val="both"/>
      </w:pPr>
      <w:r>
        <w:rPr>
          <w:rStyle w:val="FootnoteReference"/>
        </w:rPr>
        <w:footnoteRef/>
      </w:r>
      <w:r>
        <w:t xml:space="preserve"> </w:t>
      </w:r>
      <w:r w:rsidRPr="00387F5F">
        <w:t>https://ec.europa.eu/info/law/better-regulation/have-your-say/initiatives/12129-Corporate-Sustainability-Reporting_en</w:t>
      </w:r>
    </w:p>
  </w:footnote>
  <w:footnote w:id="28">
    <w:p w14:paraId="68AA551F" w14:textId="539BB44A" w:rsidR="00EA7989" w:rsidRDefault="00EA7989" w:rsidP="007F4115">
      <w:pPr>
        <w:pStyle w:val="FootnoteText"/>
        <w:jc w:val="both"/>
      </w:pPr>
      <w:r>
        <w:rPr>
          <w:rStyle w:val="FootnoteReference"/>
        </w:rPr>
        <w:footnoteRef/>
      </w:r>
      <w:r>
        <w:t xml:space="preserve"> </w:t>
      </w:r>
      <w:r w:rsidRPr="00387F5F">
        <w:t>https://ec.europa.eu/info/law/better-regulation/have-your-say/initiatives/12511-Environmental-performance-of-products-&amp;-businesses-substantiating-claims_en</w:t>
      </w:r>
    </w:p>
  </w:footnote>
  <w:footnote w:id="29">
    <w:p w14:paraId="1719AFB7" w14:textId="77777777" w:rsidR="00EA7989" w:rsidRDefault="00EA7989" w:rsidP="007F4115">
      <w:pPr>
        <w:pStyle w:val="FootnoteText"/>
        <w:jc w:val="both"/>
      </w:pPr>
      <w:r>
        <w:rPr>
          <w:rStyle w:val="FootnoteReference"/>
        </w:rPr>
        <w:footnoteRef/>
      </w:r>
      <w:r>
        <w:t xml:space="preserve"> </w:t>
      </w:r>
      <w:r w:rsidRPr="00387F5F">
        <w:t>https://ec.europa.eu/info/law/better-regulation/have-your-say/initiatives/12567-Sustainable-products-initiative_en</w:t>
      </w:r>
    </w:p>
  </w:footnote>
  <w:footnote w:id="30">
    <w:p w14:paraId="59791A2A" w14:textId="77777777" w:rsidR="00EA7989" w:rsidRDefault="00EA7989" w:rsidP="005C614D">
      <w:pPr>
        <w:pStyle w:val="FootnoteText"/>
        <w:jc w:val="both"/>
        <w:rPr>
          <w:rFonts w:ascii="Calibri" w:eastAsia="Calibri" w:hAnsi="Calibri" w:cs="Times New Roman"/>
          <w:sz w:val="20"/>
          <w:lang w:val="en-US"/>
        </w:rPr>
      </w:pPr>
      <w:r>
        <w:rPr>
          <w:rStyle w:val="FootnoteReference"/>
        </w:rPr>
        <w:footnoteRef/>
      </w:r>
      <w:r>
        <w:t xml:space="preserve"> </w:t>
      </w:r>
      <w:r>
        <w:rPr>
          <w:lang w:val="en-US"/>
        </w:rPr>
        <w:t>In particular, Article 5.1 of the Paris Agreement recalls the commitment made by the Parties in the 1992 Convention to “</w:t>
      </w:r>
      <w:r>
        <w:rPr>
          <w:i/>
          <w:lang w:val="en-US"/>
        </w:rPr>
        <w:t>take action to conserve and enhance, as appropriate, sinks and reservoirs of greenhouse gases […] including forests</w:t>
      </w:r>
      <w:r>
        <w:rPr>
          <w:lang w:val="en-US"/>
        </w:rPr>
        <w:t>.” Article 5.2 further calls on Parties to implement and support  the existing framework relating to reducing emissions from deforestation and forest degradation, and the role of conservation, sustainable management of forests and enhancement of forest carbon stocks in developing countries (REDD+), and alternative policy approaches.</w:t>
      </w:r>
    </w:p>
  </w:footnote>
  <w:footnote w:id="31">
    <w:p w14:paraId="15EDA21D" w14:textId="77777777" w:rsidR="00EA7989" w:rsidRDefault="00EA7989" w:rsidP="007F4115">
      <w:pPr>
        <w:pStyle w:val="FootnoteText"/>
        <w:jc w:val="both"/>
        <w:rPr>
          <w:rFonts w:cs="Arial"/>
        </w:rPr>
      </w:pPr>
      <w:r>
        <w:rPr>
          <w:rStyle w:val="FootnoteReference"/>
        </w:rPr>
        <w:footnoteRef/>
      </w:r>
      <w:r>
        <w:t xml:space="preserve"> Of particular relevance to deforestation and forest degradation are Target 3, 4, 9, 14, 15 and 20</w:t>
      </w:r>
    </w:p>
  </w:footnote>
  <w:footnote w:id="32">
    <w:p w14:paraId="5870F8BE" w14:textId="77777777" w:rsidR="00EA7989" w:rsidRDefault="00EA7989" w:rsidP="005C614D">
      <w:pPr>
        <w:pStyle w:val="FootnoteText"/>
        <w:jc w:val="both"/>
        <w:rPr>
          <w:rFonts w:cs="Times New Roman"/>
        </w:rPr>
      </w:pPr>
      <w:r>
        <w:rPr>
          <w:rStyle w:val="FootnoteReference"/>
        </w:rPr>
        <w:footnoteRef/>
      </w:r>
      <w:r>
        <w:t xml:space="preserve"> Of particular relevance for deforestation and forest degradation are SDGs 12.2, 13, and 15.2.</w:t>
      </w:r>
    </w:p>
  </w:footnote>
  <w:footnote w:id="33">
    <w:p w14:paraId="0103726F" w14:textId="77777777" w:rsidR="00EA7989" w:rsidRDefault="00EA7989" w:rsidP="005C614D">
      <w:pPr>
        <w:pStyle w:val="FootnoteText"/>
        <w:jc w:val="both"/>
      </w:pPr>
      <w:r>
        <w:rPr>
          <w:rStyle w:val="FootnoteReference"/>
        </w:rPr>
        <w:footnoteRef/>
      </w:r>
      <w:r>
        <w:t xml:space="preserve"> The main outcome of the work of the UNFF so far are: 1) The International Arrangements on Forests and the UN Forest Instrument,  and 2) The UN Strategic Plan for Forest 2017-2030 , which provides a global framework for action at all levels to sustainably manage all types of forests and trees outside forests, and to halt deforestation and forest degradation</w:t>
      </w:r>
    </w:p>
  </w:footnote>
  <w:footnote w:id="34">
    <w:p w14:paraId="7C49C4E4" w14:textId="77777777" w:rsidR="00EA7989" w:rsidRDefault="00EA7989" w:rsidP="007F4115">
      <w:pPr>
        <w:pStyle w:val="FootnoteText"/>
        <w:jc w:val="both"/>
      </w:pPr>
      <w:r>
        <w:rPr>
          <w:rStyle w:val="FootnoteReference"/>
        </w:rPr>
        <w:footnoteRef/>
      </w:r>
      <w:r>
        <w:t xml:space="preserve"> United Nations General Assembly Resolution 73/284: United Nations Decade on Ecosystem Restoration (2021–2030) A/RES/73/284: </w:t>
      </w:r>
    </w:p>
  </w:footnote>
  <w:footnote w:id="35">
    <w:p w14:paraId="13C88857" w14:textId="47E93412" w:rsidR="00EA7989" w:rsidRPr="00B8307C" w:rsidRDefault="00EA7989" w:rsidP="007F4115">
      <w:pPr>
        <w:pStyle w:val="FootnoteText"/>
        <w:jc w:val="both"/>
        <w:rPr>
          <w:lang w:val="en-US"/>
        </w:rPr>
      </w:pPr>
      <w:r>
        <w:rPr>
          <w:rStyle w:val="FootnoteReference"/>
        </w:rPr>
        <w:footnoteRef/>
      </w:r>
      <w:r w:rsidRPr="00B8307C">
        <w:rPr>
          <w:lang w:val="en-US"/>
        </w:rPr>
        <w:t xml:space="preserve"> </w:t>
      </w:r>
      <w:hyperlink r:id="rId4" w:history="1">
        <w:r w:rsidRPr="00B8307C">
          <w:rPr>
            <w:color w:val="0000FF"/>
            <w:szCs w:val="16"/>
            <w:u w:val="single"/>
          </w:rPr>
          <w:t>Home - Amsterdam Declarations Partnership (ad-partnership.org)</w:t>
        </w:r>
      </w:hyperlink>
    </w:p>
  </w:footnote>
  <w:footnote w:id="36">
    <w:p w14:paraId="3513645A" w14:textId="77777777" w:rsidR="00EA7989" w:rsidRDefault="00EA7989" w:rsidP="007F4115">
      <w:pPr>
        <w:pStyle w:val="FootnoteText"/>
        <w:jc w:val="both"/>
        <w:rPr>
          <w:lang w:val="en-IE"/>
        </w:rPr>
      </w:pPr>
      <w:r>
        <w:rPr>
          <w:rStyle w:val="FootnoteReference"/>
        </w:rPr>
        <w:footnoteRef/>
      </w:r>
      <w:r>
        <w:rPr>
          <w:lang w:val="fr-BE"/>
        </w:rPr>
        <w:t xml:space="preserve"> République Française - Ministère de la Transition Écologique et Solidaire. 2018. Stratégie nationale de lutte contre la déforestation importée 2018-2030: dossier de presse. </w:t>
      </w:r>
      <w:r>
        <w:rPr>
          <w:lang w:val="en-IE"/>
        </w:rPr>
        <w:t>Available at https://www.ecologie.gouv.fr/sites/default/files/2018.11.14_dp_sndi_mtes.pdf</w:t>
      </w:r>
    </w:p>
  </w:footnote>
  <w:footnote w:id="37">
    <w:p w14:paraId="43FDA9EF" w14:textId="77777777" w:rsidR="00EA7989" w:rsidRDefault="00EA7989" w:rsidP="007F4115">
      <w:pPr>
        <w:pStyle w:val="FootnoteText"/>
        <w:jc w:val="both"/>
      </w:pPr>
      <w:r>
        <w:rPr>
          <w:rStyle w:val="FootnoteReference"/>
        </w:rPr>
        <w:footnoteRef/>
      </w:r>
      <w:r>
        <w:t xml:space="preserve"> </w:t>
      </w:r>
      <w:r>
        <w:rPr>
          <w:lang w:val="en-IE"/>
        </w:rPr>
        <w:t xml:space="preserve">Environmental Investigation Agency. 2020, March 3. EIA Applauds Newly Announced U.S. Bill to Tackle Global Deforestation; Urges Biden-Harris Administration to Support. Press release. Available at </w:t>
      </w:r>
      <w:r>
        <w:t>https://eia-global.org/press-releases/20210303-tackling-global-deforestation-schatz-pr</w:t>
      </w:r>
    </w:p>
  </w:footnote>
  <w:footnote w:id="38">
    <w:p w14:paraId="6BB10B97" w14:textId="120C8C87" w:rsidR="00EA7989" w:rsidRDefault="00EA7989" w:rsidP="007F4115">
      <w:pPr>
        <w:pStyle w:val="FootnoteText"/>
        <w:jc w:val="both"/>
      </w:pPr>
      <w:r>
        <w:rPr>
          <w:rStyle w:val="FootnoteReference"/>
        </w:rPr>
        <w:footnoteRef/>
      </w:r>
      <w:r>
        <w:t xml:space="preserve"> Council of the European Union 2019. Conclusions of the Council and of the Governments of the Member States sitting in the Council on the Communication on Stepping Up EU Action to Protect and Restore the World’s Forests: Outcome of proceedings. Available at </w:t>
      </w:r>
      <w:r w:rsidRPr="0019656A">
        <w:t>https://www.consilium.europa.eu/media/41860/st15151-en19.pdf</w:t>
      </w:r>
    </w:p>
  </w:footnote>
  <w:footnote w:id="39">
    <w:p w14:paraId="3583F253" w14:textId="2B17EA16" w:rsidR="00EA7989" w:rsidRPr="00051E66" w:rsidRDefault="00EA7989" w:rsidP="008213C8">
      <w:pPr>
        <w:pStyle w:val="FootnoteText"/>
        <w:rPr>
          <w:rFonts w:cs="Times New Roman"/>
        </w:rPr>
      </w:pPr>
      <w:r w:rsidRPr="00051E66">
        <w:rPr>
          <w:rStyle w:val="FootnoteReference"/>
          <w:rFonts w:cs="Times New Roman"/>
        </w:rPr>
        <w:footnoteRef/>
      </w:r>
      <w:r w:rsidRPr="00652FBE">
        <w:rPr>
          <w:rFonts w:cs="Times New Roman"/>
          <w:lang w:val="en-US"/>
        </w:rPr>
        <w:t>FAO</w:t>
      </w:r>
      <w:r>
        <w:rPr>
          <w:rFonts w:cs="Times New Roman"/>
          <w:lang w:val="en-US"/>
        </w:rPr>
        <w:t>.</w:t>
      </w:r>
      <w:r w:rsidRPr="00652FBE">
        <w:rPr>
          <w:rFonts w:cs="Times New Roman"/>
          <w:lang w:val="en-US"/>
        </w:rPr>
        <w:t xml:space="preserve"> 2020</w:t>
      </w:r>
      <w:r>
        <w:rPr>
          <w:rFonts w:cs="Times New Roman"/>
          <w:lang w:val="en-US"/>
        </w:rPr>
        <w:t>.</w:t>
      </w:r>
      <w:r w:rsidRPr="00652FBE">
        <w:rPr>
          <w:rFonts w:cs="Times New Roman"/>
          <w:lang w:val="en-US"/>
        </w:rPr>
        <w:t xml:space="preserve"> Global Forests Resources Assessment</w:t>
      </w:r>
      <w:r>
        <w:rPr>
          <w:rFonts w:cs="Times New Roman"/>
          <w:lang w:val="en-US"/>
        </w:rPr>
        <w:t xml:space="preserve"> 2020: Main report. Rome. </w:t>
      </w:r>
      <w:r>
        <w:rPr>
          <w:rFonts w:cs="Times New Roman"/>
          <w:lang w:val="en-IE"/>
        </w:rPr>
        <w:t>Available at</w:t>
      </w:r>
      <w:r w:rsidRPr="00051E66">
        <w:rPr>
          <w:rFonts w:cs="Times New Roman"/>
        </w:rPr>
        <w:t xml:space="preserve"> </w:t>
      </w:r>
      <w:hyperlink r:id="rId5" w:history="1">
        <w:r w:rsidRPr="00BB6F9C" w:rsidDel="00DF4D9A">
          <w:rPr>
            <w:lang w:val="en-US"/>
          </w:rPr>
          <w:t>http://www.fao.org/3/ca9825en/CA9825EN.pdf</w:t>
        </w:r>
      </w:hyperlink>
      <w:r w:rsidDel="00DF4D9A">
        <w:rPr>
          <w:rFonts w:cs="Times New Roman"/>
        </w:rPr>
        <w:t xml:space="preserve"> </w:t>
      </w:r>
    </w:p>
  </w:footnote>
  <w:footnote w:id="40">
    <w:p w14:paraId="1102F0A6" w14:textId="6E0AC774" w:rsidR="00EA7989" w:rsidRPr="00051E66" w:rsidRDefault="00EA7989" w:rsidP="008213C8">
      <w:pPr>
        <w:pStyle w:val="FootnoteText"/>
        <w:rPr>
          <w:rFonts w:cs="Times New Roman"/>
        </w:rPr>
      </w:pPr>
      <w:r w:rsidRPr="00051E66">
        <w:rPr>
          <w:rStyle w:val="FootnoteReference"/>
          <w:rFonts w:cs="Times New Roman"/>
        </w:rPr>
        <w:footnoteRef/>
      </w:r>
      <w:r w:rsidRPr="00051E66">
        <w:rPr>
          <w:rFonts w:cs="Times New Roman"/>
        </w:rPr>
        <w:t xml:space="preserve"> </w:t>
      </w:r>
      <w:r w:rsidRPr="00652FBE">
        <w:rPr>
          <w:rFonts w:cs="Times New Roman"/>
        </w:rPr>
        <w:t xml:space="preserve">FAO and UNEP, 2020. The State of the World's Forests 2020. Forests, biodiversity and people. Rome. </w:t>
      </w:r>
      <w:r w:rsidRPr="00652FBE" w:rsidDel="00DF4D9A">
        <w:rPr>
          <w:rFonts w:cs="Times New Roman"/>
        </w:rPr>
        <w:t xml:space="preserve">Available at  </w:t>
      </w:r>
      <w:hyperlink r:id="rId6" w:history="1">
        <w:r w:rsidRPr="00BB6F9C" w:rsidDel="00DF4D9A">
          <w:rPr>
            <w:lang w:val="en-US"/>
          </w:rPr>
          <w:t>http://www.fao.org/3/ca8642en/CA8642EN.pdf</w:t>
        </w:r>
      </w:hyperlink>
      <w:r w:rsidDel="00DF4D9A">
        <w:rPr>
          <w:rFonts w:cs="Times New Roman"/>
        </w:rPr>
        <w:t xml:space="preserve"> </w:t>
      </w:r>
    </w:p>
  </w:footnote>
  <w:footnote w:id="41">
    <w:p w14:paraId="18F51B71" w14:textId="4F7C2223" w:rsidR="00EA7989" w:rsidRPr="00051E66" w:rsidRDefault="00EA7989" w:rsidP="008213C8">
      <w:pPr>
        <w:pStyle w:val="FootnoteText"/>
        <w:rPr>
          <w:rFonts w:cs="Times New Roman"/>
        </w:rPr>
      </w:pPr>
      <w:r w:rsidRPr="00051E66">
        <w:rPr>
          <w:rStyle w:val="FootnoteReference"/>
          <w:rFonts w:cs="Times New Roman"/>
        </w:rPr>
        <w:footnoteRef/>
      </w:r>
      <w:r w:rsidRPr="00051E66">
        <w:rPr>
          <w:rFonts w:cs="Times New Roman"/>
        </w:rPr>
        <w:t xml:space="preserve"> </w:t>
      </w:r>
      <w:r w:rsidRPr="00034218">
        <w:rPr>
          <w:rFonts w:cs="Times New Roman"/>
        </w:rPr>
        <w:t xml:space="preserve">Kayler, Z.; Janowiak, M.; Swanston, C. 2017. Global Carbon. (June, 2017). U.S. Department of Agriculture, Forest Service, </w:t>
      </w:r>
      <w:r>
        <w:rPr>
          <w:rFonts w:cs="Times New Roman"/>
        </w:rPr>
        <w:t>Climate Change Resource Center</w:t>
      </w:r>
    </w:p>
  </w:footnote>
  <w:footnote w:id="42">
    <w:p w14:paraId="60E94B5A" w14:textId="1E0C9BC9" w:rsidR="00EA7989" w:rsidRPr="00051E66" w:rsidRDefault="00EA7989" w:rsidP="00BB6F9C">
      <w:pPr>
        <w:pStyle w:val="FootnoteText"/>
        <w:rPr>
          <w:rFonts w:cs="Times New Roman"/>
        </w:rPr>
      </w:pPr>
      <w:r w:rsidRPr="00051E66">
        <w:rPr>
          <w:rStyle w:val="FootnoteReference"/>
          <w:rFonts w:cs="Times New Roman"/>
        </w:rPr>
        <w:footnoteRef/>
      </w:r>
      <w:r w:rsidRPr="00051E66">
        <w:rPr>
          <w:rFonts w:cs="Times New Roman"/>
        </w:rPr>
        <w:t xml:space="preserve"> </w:t>
      </w:r>
      <w:r w:rsidRPr="00652FBE">
        <w:rPr>
          <w:rFonts w:cs="Times New Roman"/>
          <w:lang w:val="en-US"/>
        </w:rPr>
        <w:t>FAO</w:t>
      </w:r>
      <w:r>
        <w:rPr>
          <w:rFonts w:cs="Times New Roman"/>
          <w:lang w:val="en-US"/>
        </w:rPr>
        <w:t>.</w:t>
      </w:r>
      <w:r w:rsidRPr="00652FBE">
        <w:rPr>
          <w:rFonts w:cs="Times New Roman"/>
          <w:lang w:val="en-US"/>
        </w:rPr>
        <w:t xml:space="preserve"> 2020</w:t>
      </w:r>
      <w:r>
        <w:rPr>
          <w:rFonts w:cs="Times New Roman"/>
          <w:lang w:val="en-US"/>
        </w:rPr>
        <w:t>.</w:t>
      </w:r>
      <w:r w:rsidRPr="00652FBE">
        <w:rPr>
          <w:rFonts w:cs="Times New Roman"/>
          <w:lang w:val="en-US"/>
        </w:rPr>
        <w:t xml:space="preserve"> Global Forests Resources Assessment</w:t>
      </w:r>
      <w:r>
        <w:rPr>
          <w:rFonts w:cs="Times New Roman"/>
          <w:lang w:val="en-US"/>
        </w:rPr>
        <w:t xml:space="preserve"> 2020: Main report. Rome.</w:t>
      </w:r>
      <w:r w:rsidRPr="00BB6F9C">
        <w:rPr>
          <w:rFonts w:cs="Times New Roman"/>
          <w:lang w:val="en-US"/>
        </w:rPr>
        <w:t xml:space="preserve"> Available at </w:t>
      </w:r>
      <w:hyperlink r:id="rId7" w:history="1">
        <w:r w:rsidRPr="00BB6F9C">
          <w:rPr>
            <w:lang w:val="en-US"/>
          </w:rPr>
          <w:t>http://www.fao.org/3/ca9825en/CA9825EN.pdf</w:t>
        </w:r>
      </w:hyperlink>
    </w:p>
  </w:footnote>
  <w:footnote w:id="43">
    <w:p w14:paraId="23384C15" w14:textId="41CB8BF5" w:rsidR="00EA7989" w:rsidRPr="00BB6F9C" w:rsidRDefault="00EA7989" w:rsidP="00BB6F9C">
      <w:pPr>
        <w:pStyle w:val="FootnoteText"/>
        <w:rPr>
          <w:rFonts w:cs="Times New Roman"/>
          <w:lang w:val="en-US"/>
        </w:rPr>
      </w:pPr>
      <w:r w:rsidRPr="00051E66">
        <w:rPr>
          <w:rStyle w:val="FootnoteReference"/>
          <w:rFonts w:cs="Times New Roman"/>
        </w:rPr>
        <w:footnoteRef/>
      </w:r>
      <w:r w:rsidRPr="00051E66">
        <w:rPr>
          <w:rFonts w:cs="Times New Roman"/>
        </w:rPr>
        <w:t xml:space="preserve"> </w:t>
      </w:r>
      <w:r w:rsidRPr="00652FBE">
        <w:rPr>
          <w:rFonts w:cs="Times New Roman"/>
          <w:lang w:val="en-US"/>
        </w:rPr>
        <w:t>FAO</w:t>
      </w:r>
      <w:r>
        <w:rPr>
          <w:rFonts w:cs="Times New Roman"/>
          <w:lang w:val="en-US"/>
        </w:rPr>
        <w:t>.</w:t>
      </w:r>
      <w:r w:rsidRPr="00652FBE">
        <w:rPr>
          <w:rFonts w:cs="Times New Roman"/>
          <w:lang w:val="en-US"/>
        </w:rPr>
        <w:t xml:space="preserve"> 2020</w:t>
      </w:r>
      <w:r>
        <w:rPr>
          <w:rFonts w:cs="Times New Roman"/>
          <w:lang w:val="en-US"/>
        </w:rPr>
        <w:t>.</w:t>
      </w:r>
      <w:r w:rsidRPr="00652FBE">
        <w:rPr>
          <w:rFonts w:cs="Times New Roman"/>
          <w:lang w:val="en-US"/>
        </w:rPr>
        <w:t xml:space="preserve"> Global Forests Resources Assessment</w:t>
      </w:r>
      <w:r>
        <w:rPr>
          <w:rFonts w:cs="Times New Roman"/>
          <w:lang w:val="en-US"/>
        </w:rPr>
        <w:t xml:space="preserve"> 2020: Main report. </w:t>
      </w:r>
      <w:r w:rsidRPr="00A753F7">
        <w:rPr>
          <w:rFonts w:cs="Times New Roman"/>
          <w:lang w:val="en-US"/>
        </w:rPr>
        <w:t>Rome.</w:t>
      </w:r>
      <w:r w:rsidRPr="00BB6F9C">
        <w:rPr>
          <w:rFonts w:cs="Times New Roman"/>
          <w:lang w:val="en-US"/>
        </w:rPr>
        <w:t xml:space="preserve"> Available at </w:t>
      </w:r>
      <w:hyperlink r:id="rId8" w:history="1">
        <w:r w:rsidRPr="00BB6F9C">
          <w:rPr>
            <w:lang w:val="en-US"/>
          </w:rPr>
          <w:t>http://www.fao.org/3/ca9825en/CA9825EN.pdf</w:t>
        </w:r>
      </w:hyperlink>
      <w:r w:rsidRPr="00BB6F9C">
        <w:rPr>
          <w:rFonts w:cs="Times New Roman"/>
          <w:lang w:val="en-US"/>
        </w:rPr>
        <w:t xml:space="preserve"> </w:t>
      </w:r>
    </w:p>
    <w:p w14:paraId="6D539CDE" w14:textId="43A4B258" w:rsidR="00EA7989" w:rsidRPr="00733983" w:rsidRDefault="00EA7989">
      <w:pPr>
        <w:pStyle w:val="FootnoteText"/>
        <w:rPr>
          <w:rFonts w:cs="Times New Roman"/>
        </w:rPr>
      </w:pPr>
    </w:p>
  </w:footnote>
  <w:footnote w:id="44">
    <w:p w14:paraId="3170A3A2" w14:textId="28193239" w:rsidR="00EA7989" w:rsidRPr="0014437D" w:rsidRDefault="00EA7989" w:rsidP="008213C8">
      <w:pPr>
        <w:pStyle w:val="FootnoteText"/>
        <w:rPr>
          <w:rFonts w:cs="Times New Roman"/>
        </w:rPr>
      </w:pPr>
      <w:r w:rsidRPr="00051E66">
        <w:rPr>
          <w:rStyle w:val="FootnoteReference"/>
          <w:rFonts w:cs="Times New Roman"/>
        </w:rPr>
        <w:footnoteRef/>
      </w:r>
      <w:r w:rsidRPr="00733983">
        <w:rPr>
          <w:rFonts w:cs="Times New Roman"/>
        </w:rPr>
        <w:t xml:space="preserve"> </w:t>
      </w:r>
      <w:r w:rsidRPr="000C7F0B">
        <w:rPr>
          <w:rFonts w:cs="Times New Roman"/>
        </w:rPr>
        <w:t xml:space="preserve">World Resources Institute. 2020. We Lost a Football Pitch of Primary Rainforest Every 6 Seconds in 2019. Available at </w:t>
      </w:r>
      <w:r w:rsidRPr="0014437D" w:rsidDel="002B3C17">
        <w:rPr>
          <w:rFonts w:cs="Times New Roman"/>
        </w:rPr>
        <w:t>https://www.wri.org/blog/2020/06/global-tree-cover-loss-data-2019</w:t>
      </w:r>
    </w:p>
  </w:footnote>
  <w:footnote w:id="45">
    <w:p w14:paraId="3919FF43" w14:textId="77777777" w:rsidR="00EA7989" w:rsidRPr="00733983" w:rsidRDefault="00EA7989" w:rsidP="00B8307C">
      <w:pPr>
        <w:pStyle w:val="FootnoteText"/>
        <w:jc w:val="both"/>
        <w:rPr>
          <w:rFonts w:cs="Times New Roman"/>
        </w:rPr>
      </w:pPr>
      <w:r w:rsidRPr="00852A17">
        <w:rPr>
          <w:rStyle w:val="FootnoteReference"/>
        </w:rPr>
        <w:footnoteRef/>
      </w:r>
      <w:r w:rsidRPr="00051E66">
        <w:rPr>
          <w:rFonts w:cs="Times New Roman"/>
        </w:rPr>
        <w:t xml:space="preserve"> </w:t>
      </w:r>
      <w:r w:rsidRPr="00652FBE">
        <w:rPr>
          <w:rFonts w:cs="Times New Roman"/>
          <w:lang w:val="en-US"/>
        </w:rPr>
        <w:t>FAO</w:t>
      </w:r>
      <w:r>
        <w:rPr>
          <w:rFonts w:cs="Times New Roman"/>
          <w:lang w:val="en-US"/>
        </w:rPr>
        <w:t>.</w:t>
      </w:r>
      <w:r w:rsidRPr="00652FBE">
        <w:rPr>
          <w:rFonts w:cs="Times New Roman"/>
          <w:lang w:val="en-US"/>
        </w:rPr>
        <w:t xml:space="preserve"> 2020</w:t>
      </w:r>
      <w:r>
        <w:rPr>
          <w:rFonts w:cs="Times New Roman"/>
          <w:lang w:val="en-US"/>
        </w:rPr>
        <w:t>.</w:t>
      </w:r>
      <w:r w:rsidRPr="00652FBE">
        <w:rPr>
          <w:rFonts w:cs="Times New Roman"/>
          <w:lang w:val="en-US"/>
        </w:rPr>
        <w:t xml:space="preserve"> Global Forests Resources Assessment</w:t>
      </w:r>
      <w:r>
        <w:rPr>
          <w:rFonts w:cs="Times New Roman"/>
          <w:lang w:val="en-US"/>
        </w:rPr>
        <w:t xml:space="preserve"> 2020: Main report. </w:t>
      </w:r>
      <w:r w:rsidRPr="00A753F7">
        <w:rPr>
          <w:rFonts w:cs="Times New Roman"/>
          <w:lang w:val="en-US"/>
        </w:rPr>
        <w:t>Rome.</w:t>
      </w:r>
      <w:r w:rsidRPr="00BB6F9C">
        <w:rPr>
          <w:rFonts w:cs="Times New Roman"/>
          <w:lang w:val="en-US"/>
        </w:rPr>
        <w:t xml:space="preserve"> Available at </w:t>
      </w:r>
      <w:hyperlink r:id="rId9" w:history="1">
        <w:r w:rsidRPr="00BB6F9C">
          <w:rPr>
            <w:lang w:val="en-US"/>
          </w:rPr>
          <w:t>http://www.fao.org/3/ca9825en/CA9825EN.pdf</w:t>
        </w:r>
      </w:hyperlink>
      <w:r w:rsidRPr="00BB6F9C">
        <w:rPr>
          <w:rFonts w:cs="Times New Roman"/>
          <w:lang w:val="en-US"/>
        </w:rPr>
        <w:t xml:space="preserve"> </w:t>
      </w:r>
    </w:p>
  </w:footnote>
  <w:footnote w:id="46">
    <w:p w14:paraId="356285AE" w14:textId="77777777" w:rsidR="00EA7989" w:rsidRPr="00F61171" w:rsidRDefault="00EA7989" w:rsidP="00B8307C">
      <w:pPr>
        <w:pStyle w:val="FootnoteText"/>
        <w:jc w:val="both"/>
      </w:pPr>
      <w:r>
        <w:rPr>
          <w:rStyle w:val="FootnoteReference"/>
        </w:rPr>
        <w:footnoteRef/>
      </w:r>
      <w:r>
        <w:t xml:space="preserve"> FAO. 2021. Sustainable Forest Management Toolbox. Technical Module: Reducing Deforestation. Rome. Available at </w:t>
      </w:r>
      <w:hyperlink r:id="rId10" w:history="1">
        <w:r w:rsidRPr="0080679D">
          <w:t>http://www.fao.org/sustainable-forest-management/toolbox/modules/reducing-deforestation/in-more-depth/en/?type=111</w:t>
        </w:r>
      </w:hyperlink>
      <w:r>
        <w:t xml:space="preserve"> </w:t>
      </w:r>
    </w:p>
  </w:footnote>
  <w:footnote w:id="47">
    <w:p w14:paraId="1FAF43F9" w14:textId="77777777" w:rsidR="00EA7989" w:rsidRPr="00B07F5F" w:rsidRDefault="00EA7989" w:rsidP="00B8307C">
      <w:pPr>
        <w:pStyle w:val="FootnoteText"/>
        <w:jc w:val="both"/>
        <w:rPr>
          <w:rFonts w:cs="Times New Roman"/>
          <w:lang w:val="en-US"/>
        </w:rPr>
      </w:pPr>
      <w:r w:rsidRPr="00852A17">
        <w:rPr>
          <w:rStyle w:val="FootnoteReference"/>
        </w:rPr>
        <w:footnoteRef/>
      </w:r>
      <w:r w:rsidRPr="00051E66">
        <w:rPr>
          <w:rFonts w:cs="Times New Roman"/>
        </w:rPr>
        <w:t xml:space="preserve"> </w:t>
      </w:r>
      <w:r w:rsidRPr="00652FBE">
        <w:rPr>
          <w:rFonts w:cs="Times New Roman"/>
          <w:lang w:val="en-US"/>
        </w:rPr>
        <w:t>FAO</w:t>
      </w:r>
      <w:r>
        <w:rPr>
          <w:rFonts w:cs="Times New Roman"/>
          <w:lang w:val="en-US"/>
        </w:rPr>
        <w:t>.</w:t>
      </w:r>
      <w:r w:rsidRPr="00652FBE">
        <w:rPr>
          <w:rFonts w:cs="Times New Roman"/>
          <w:lang w:val="en-US"/>
        </w:rPr>
        <w:t xml:space="preserve"> 2020</w:t>
      </w:r>
      <w:r>
        <w:rPr>
          <w:rFonts w:cs="Times New Roman"/>
          <w:lang w:val="en-US"/>
        </w:rPr>
        <w:t>.</w:t>
      </w:r>
      <w:r w:rsidRPr="00652FBE">
        <w:rPr>
          <w:rFonts w:cs="Times New Roman"/>
          <w:lang w:val="en-US"/>
        </w:rPr>
        <w:t xml:space="preserve"> Global Forests Resources Assessment</w:t>
      </w:r>
      <w:r>
        <w:rPr>
          <w:rFonts w:cs="Times New Roman"/>
          <w:lang w:val="en-US"/>
        </w:rPr>
        <w:t xml:space="preserve"> 2020: Main report. </w:t>
      </w:r>
      <w:r w:rsidRPr="00B07F5F">
        <w:rPr>
          <w:rFonts w:cs="Times New Roman"/>
          <w:lang w:val="en-US"/>
        </w:rPr>
        <w:t xml:space="preserve">Rome. Available at </w:t>
      </w:r>
      <w:hyperlink r:id="rId11" w:history="1">
        <w:r w:rsidRPr="00B07F5F">
          <w:rPr>
            <w:lang w:val="en-US"/>
          </w:rPr>
          <w:t>http://www.fao.org/3/ca9825en/CA9825EN.pdf</w:t>
        </w:r>
      </w:hyperlink>
      <w:r w:rsidRPr="00B07F5F">
        <w:rPr>
          <w:rFonts w:cs="Times New Roman"/>
          <w:lang w:val="en-US"/>
        </w:rPr>
        <w:t xml:space="preserve"> </w:t>
      </w:r>
    </w:p>
  </w:footnote>
  <w:footnote w:id="48">
    <w:p w14:paraId="3EA01E81" w14:textId="41D7A7BF" w:rsidR="00EA7989" w:rsidRPr="00296866" w:rsidRDefault="00EA7989" w:rsidP="00296866">
      <w:pPr>
        <w:pStyle w:val="FootnoteText"/>
        <w:jc w:val="both"/>
        <w:rPr>
          <w:lang w:val="fr-BE"/>
        </w:rPr>
      </w:pPr>
      <w:r>
        <w:rPr>
          <w:rStyle w:val="FootnoteReference"/>
        </w:rPr>
        <w:footnoteRef/>
      </w:r>
      <w:r>
        <w:t xml:space="preserve"> </w:t>
      </w:r>
      <w:r w:rsidRPr="00296866">
        <w:t>FAO and UNEP, 2020. The State of the World's Forests 2020. Forests, biodiversity and people. Rome. </w:t>
      </w:r>
      <w:r w:rsidRPr="00667CA6">
        <w:rPr>
          <w:lang w:val="fr-BE"/>
        </w:rPr>
        <w:t xml:space="preserve">Available at  http://www.fao.org/3/ca8642en/CA8642EN.pdf </w:t>
      </w:r>
    </w:p>
  </w:footnote>
  <w:footnote w:id="49">
    <w:p w14:paraId="3BEAB394" w14:textId="77777777" w:rsidR="00EA7989" w:rsidRPr="00A50503" w:rsidRDefault="00EA7989" w:rsidP="00B8307C">
      <w:pPr>
        <w:spacing w:after="0" w:line="240" w:lineRule="auto"/>
        <w:jc w:val="both"/>
      </w:pPr>
      <w:r w:rsidRPr="00D71A8D">
        <w:rPr>
          <w:rStyle w:val="FootnoteReference"/>
          <w:sz w:val="16"/>
          <w:szCs w:val="16"/>
        </w:rPr>
        <w:footnoteRef/>
      </w:r>
      <w:r w:rsidRPr="00B07F5F">
        <w:rPr>
          <w:lang w:val="fr-BE"/>
        </w:rPr>
        <w:t xml:space="preserve"> </w:t>
      </w:r>
      <w:r w:rsidRPr="00B07F5F">
        <w:rPr>
          <w:rStyle w:val="FootnoteTextChar"/>
          <w:lang w:val="fr-BE"/>
        </w:rPr>
        <w:t xml:space="preserve">Vancutsem </w:t>
      </w:r>
      <w:r w:rsidRPr="00B07F5F">
        <w:rPr>
          <w:rStyle w:val="FootnoteTextChar"/>
          <w:i/>
          <w:lang w:val="fr-BE"/>
        </w:rPr>
        <w:t>et al</w:t>
      </w:r>
      <w:r w:rsidRPr="00B07F5F">
        <w:rPr>
          <w:rStyle w:val="FootnoteTextChar"/>
          <w:lang w:val="fr-BE"/>
        </w:rPr>
        <w:t xml:space="preserve">.,  (2021). </w:t>
      </w:r>
      <w:r w:rsidRPr="00733983">
        <w:rPr>
          <w:rStyle w:val="FootnoteTextChar"/>
        </w:rPr>
        <w:t>Long-term</w:t>
      </w:r>
      <w:r>
        <w:rPr>
          <w:rStyle w:val="FootnoteTextChar"/>
        </w:rPr>
        <w:t xml:space="preserve"> </w:t>
      </w:r>
      <w:r w:rsidRPr="00733983">
        <w:rPr>
          <w:rStyle w:val="FootnoteTextChar"/>
        </w:rPr>
        <w:t>(1990–2019) monitoring of forest cover changes in the humid tropics. Science Advances 7:10</w:t>
      </w:r>
      <w:r>
        <w:rPr>
          <w:rStyle w:val="FootnoteTextChar"/>
        </w:rPr>
        <w:t xml:space="preserve">. Available at </w:t>
      </w:r>
      <w:hyperlink r:id="rId12" w:history="1">
        <w:r w:rsidRPr="00733983">
          <w:rPr>
            <w:rStyle w:val="FootnoteTextChar"/>
          </w:rPr>
          <w:t>https://advances.sciencemag.org/content/7/10/eabe1603</w:t>
        </w:r>
      </w:hyperlink>
    </w:p>
  </w:footnote>
  <w:footnote w:id="50">
    <w:p w14:paraId="1EC560AE" w14:textId="755D49FB" w:rsidR="00EA7989" w:rsidRPr="000D1E26" w:rsidRDefault="00EA7989">
      <w:pPr>
        <w:pStyle w:val="FootnoteText"/>
      </w:pPr>
      <w:r>
        <w:rPr>
          <w:rStyle w:val="FootnoteReference"/>
        </w:rPr>
        <w:footnoteRef/>
      </w:r>
      <w:r>
        <w:t xml:space="preserve"> </w:t>
      </w:r>
      <w:r w:rsidRPr="000D1E26">
        <w:t>https://www.worldwildlife.org/stories/deforestation-fronts</w:t>
      </w:r>
    </w:p>
  </w:footnote>
  <w:footnote w:id="51">
    <w:p w14:paraId="136C6CA6" w14:textId="52A1C1D1" w:rsidR="00EA7989" w:rsidRPr="008F16F6" w:rsidRDefault="00EA7989">
      <w:pPr>
        <w:pStyle w:val="FootnoteText"/>
        <w:rPr>
          <w:lang w:val="en-US"/>
        </w:rPr>
      </w:pPr>
      <w:r>
        <w:rPr>
          <w:rStyle w:val="FootnoteReference"/>
        </w:rPr>
        <w:footnoteRef/>
      </w:r>
      <w:r>
        <w:t xml:space="preserve"> </w:t>
      </w:r>
      <w:r w:rsidRPr="008F16F6">
        <w:t>FOREST EUROPE, 2020: State of Europe’s Forests 2020.</w:t>
      </w:r>
      <w:r>
        <w:t xml:space="preserve"> Available at </w:t>
      </w:r>
      <w:hyperlink r:id="rId13" w:history="1">
        <w:r w:rsidRPr="008F16F6">
          <w:rPr>
            <w:rStyle w:val="Hyperlink"/>
          </w:rPr>
          <w:t>SoEF_2020.pdf (foresteurope.org)</w:t>
        </w:r>
      </w:hyperlink>
    </w:p>
  </w:footnote>
  <w:footnote w:id="52">
    <w:p w14:paraId="090CCBB8" w14:textId="437BE459" w:rsidR="00843043" w:rsidRPr="00705FFA" w:rsidRDefault="00843043" w:rsidP="00843043">
      <w:pPr>
        <w:pStyle w:val="FootnoteText"/>
        <w:rPr>
          <w:lang w:val="en-US"/>
        </w:rPr>
      </w:pPr>
      <w:r w:rsidRPr="004068A1">
        <w:rPr>
          <w:rStyle w:val="FootnoteReference"/>
        </w:rPr>
        <w:footnoteRef/>
      </w:r>
      <w:r>
        <w:t xml:space="preserve">Forest Europe - Ministerial Conference on the Protection of Forests in Europe, State of Europe’s Forests 2020, </w:t>
      </w:r>
      <w:r w:rsidRPr="00F076AA">
        <w:t>https://foresteurope.org/state-europes-forests-2020/</w:t>
      </w:r>
      <w:r>
        <w:t>.</w:t>
      </w:r>
    </w:p>
  </w:footnote>
  <w:footnote w:id="53">
    <w:p w14:paraId="4AF00C83" w14:textId="79170138" w:rsidR="00843043" w:rsidRPr="00705FFA" w:rsidRDefault="00843043" w:rsidP="00843043">
      <w:pPr>
        <w:pStyle w:val="FootnoteText"/>
        <w:rPr>
          <w:lang w:val="en-US"/>
        </w:rPr>
      </w:pPr>
      <w:r w:rsidRPr="004068A1">
        <w:rPr>
          <w:rStyle w:val="FootnoteReference"/>
        </w:rPr>
        <w:footnoteRef/>
      </w:r>
      <w:r w:rsidRPr="00F076AA">
        <w:t>European Environment Agency</w:t>
      </w:r>
      <w:r>
        <w:t xml:space="preserve">, </w:t>
      </w:r>
      <w:r w:rsidRPr="00F076AA">
        <w:t>State of the Environment 2020</w:t>
      </w:r>
      <w:r>
        <w:t xml:space="preserve">, </w:t>
      </w:r>
      <w:r w:rsidRPr="00F076AA">
        <w:t>https://www.eea.europa.eu/soer/publications/soer-2020</w:t>
      </w:r>
      <w:r>
        <w:t>.</w:t>
      </w:r>
    </w:p>
  </w:footnote>
  <w:footnote w:id="54">
    <w:p w14:paraId="48C3B962" w14:textId="04A7AB85" w:rsidR="00EA7989" w:rsidRPr="00051E66" w:rsidRDefault="00EA7989">
      <w:pPr>
        <w:pStyle w:val="FootnoteText"/>
        <w:jc w:val="both"/>
        <w:rPr>
          <w:rFonts w:cs="Times New Roman"/>
        </w:rPr>
      </w:pPr>
      <w:r w:rsidRPr="00051E66">
        <w:rPr>
          <w:rStyle w:val="FootnoteReference"/>
          <w:rFonts w:cs="Times New Roman"/>
        </w:rPr>
        <w:footnoteRef/>
      </w:r>
      <w:r w:rsidRPr="00051E66">
        <w:rPr>
          <w:rFonts w:cs="Times New Roman"/>
        </w:rPr>
        <w:t xml:space="preserve"> </w:t>
      </w:r>
      <w:r>
        <w:rPr>
          <w:rFonts w:cs="Times New Roman"/>
        </w:rPr>
        <w:t>I</w:t>
      </w:r>
      <w:r>
        <w:t>PCC, 2019: Climate Change and Land: an IPCC special report on climate change, desertification, land degradation, sustainable land management, food security, and greenhouse gas fluxes in terrestrial ecosystems [P.R. Shukla, J. Skea, E. Calvo Buendia, V. Masson-Delmotte, H.-O. Pörtner, D. C. Roberts, P. Zhai, R. Slade, S. Connors, R. van Diemen, M. Ferrat, E. Haughey, S. Luz, S. Neogi, M. Pathak, J. Petzold, J. Portugal Pereira, P. Vyas, E. Huntley, K. Kissick, M. Belkacemi, J. Malley, (eds.)].</w:t>
      </w:r>
      <w:r w:rsidRPr="00051E66">
        <w:rPr>
          <w:rFonts w:cs="Times New Roman"/>
        </w:rPr>
        <w:t xml:space="preserve"> </w:t>
      </w:r>
      <w:r>
        <w:rPr>
          <w:rFonts w:cs="Times New Roman"/>
        </w:rPr>
        <w:t>Available at</w:t>
      </w:r>
      <w:r w:rsidRPr="00051E66">
        <w:rPr>
          <w:rFonts w:cs="Times New Roman"/>
        </w:rPr>
        <w:t xml:space="preserve"> https://www.ipcc.ch/site/assets/uploads/sites/4/2021/02/210202-IPCCJ7230-SRCCL-Complete-BOOK-HRES.pdf</w:t>
      </w:r>
    </w:p>
  </w:footnote>
  <w:footnote w:id="55">
    <w:p w14:paraId="17ABAF02" w14:textId="3FED3E26" w:rsidR="00EA7989" w:rsidRPr="00612E19" w:rsidRDefault="00EA7989">
      <w:pPr>
        <w:pStyle w:val="FootnoteText"/>
        <w:jc w:val="both"/>
      </w:pPr>
      <w:r>
        <w:rPr>
          <w:rStyle w:val="FootnoteReference"/>
        </w:rPr>
        <w:footnoteRef/>
      </w:r>
      <w:r w:rsidRPr="005D6D16">
        <w:t xml:space="preserve"> </w:t>
      </w:r>
      <w:r w:rsidRPr="005D6D16">
        <w:rPr>
          <w:rStyle w:val="FootnoteTextChar"/>
        </w:rPr>
        <w:t xml:space="preserve">Vancutsem, C., Achard, F., Pekel, J.-F., Vielliedent, G., Carboni, S., Simonetti, D., L. E. O. C. Aragão, Nasi, R. (2021). </w:t>
      </w:r>
      <w:r w:rsidRPr="00765EEB">
        <w:rPr>
          <w:rStyle w:val="FootnoteTextChar"/>
        </w:rPr>
        <w:t>Long-term (1990–2019) monitoring of forest cover changes in the humid tropics. Science Advances 7:10.</w:t>
      </w:r>
      <w:r>
        <w:rPr>
          <w:rStyle w:val="FootnoteTextChar"/>
        </w:rPr>
        <w:t xml:space="preserve"> Available at </w:t>
      </w:r>
      <w:r w:rsidRPr="00612E19" w:rsidDel="00D009D3">
        <w:t>https://advances.sciencemag.org/content/7/10/eabe1603</w:t>
      </w:r>
    </w:p>
  </w:footnote>
  <w:footnote w:id="56">
    <w:p w14:paraId="3065A15D" w14:textId="3F041E1E" w:rsidR="00EA7989" w:rsidRPr="00051E66" w:rsidRDefault="00EA7989">
      <w:pPr>
        <w:pStyle w:val="FootnoteText"/>
        <w:jc w:val="both"/>
        <w:rPr>
          <w:rFonts w:cs="Times New Roman"/>
        </w:rPr>
      </w:pPr>
      <w:r w:rsidRPr="00051E66">
        <w:rPr>
          <w:rStyle w:val="FootnoteReference"/>
          <w:rFonts w:cs="Times New Roman"/>
        </w:rPr>
        <w:footnoteRef/>
      </w:r>
      <w:r w:rsidRPr="00051E66">
        <w:rPr>
          <w:rFonts w:cs="Times New Roman"/>
        </w:rPr>
        <w:t xml:space="preserve"> </w:t>
      </w:r>
      <w:r>
        <w:rPr>
          <w:rFonts w:cs="Times New Roman"/>
        </w:rPr>
        <w:t>I</w:t>
      </w:r>
      <w:r>
        <w:t>PCC, 2019: Climate Change and Land: an IPCC special report on climate change, desertification, land degradation, sustainable land management, food security, and greenhouse gas fluxes in terrestrial ecosystems [P.R. Shukla, J. Skea, E. Calvo Buendia, V. Masson-Delmotte, H.-O. Pörtner, D. C. Roberts, P. Zhai, R. Slade, S. Connors, R. van Diemen, M. Ferrat, E. Haughey, S. Luz, S. Neogi, M. Pathak, J. Petzold, J. Portugal Pereira, P. Vyas, E. Huntley, K. Kissick, M. Belkacemi, J. Malley, (eds.)].</w:t>
      </w:r>
      <w:r w:rsidRPr="00051E66">
        <w:rPr>
          <w:rFonts w:cs="Times New Roman"/>
        </w:rPr>
        <w:t xml:space="preserve"> </w:t>
      </w:r>
      <w:r>
        <w:rPr>
          <w:rFonts w:cs="Times New Roman"/>
        </w:rPr>
        <w:t>Available at</w:t>
      </w:r>
      <w:r w:rsidRPr="00051E66">
        <w:rPr>
          <w:rFonts w:cs="Times New Roman"/>
        </w:rPr>
        <w:t xml:space="preserve"> https://www.ipcc.ch/site/assets/uploads/sites/4/2021/02/210202-IPCCJ7230-SRCCL-Complete-BOOK-HRES.pdf</w:t>
      </w:r>
    </w:p>
  </w:footnote>
  <w:footnote w:id="57">
    <w:p w14:paraId="08F7EBD2" w14:textId="2451EC13" w:rsidR="00EA7989" w:rsidRPr="00247BE5" w:rsidRDefault="00EA7989">
      <w:pPr>
        <w:pStyle w:val="FootnoteText"/>
        <w:rPr>
          <w:lang w:val="en-US"/>
        </w:rPr>
      </w:pPr>
      <w:r>
        <w:rPr>
          <w:rStyle w:val="FootnoteReference"/>
        </w:rPr>
        <w:footnoteRef/>
      </w:r>
      <w:r>
        <w:t xml:space="preserve"> </w:t>
      </w:r>
      <w:r w:rsidRPr="00247BE5">
        <w:rPr>
          <w:lang w:val="en-US"/>
        </w:rPr>
        <w:t xml:space="preserve">On the link between biodiversity and climate change see the final report of </w:t>
      </w:r>
      <w:r w:rsidRPr="00247BE5">
        <w:t>IPBES-IPCC co-sponsored -workshop “Biodiversity and climate chang</w:t>
      </w:r>
      <w:r w:rsidRPr="00247BE5">
        <w:rPr>
          <w:lang w:val="en-US"/>
        </w:rPr>
        <w:t xml:space="preserve">e”, available at  </w:t>
      </w:r>
      <w:hyperlink r:id="rId14" w:history="1">
        <w:r w:rsidRPr="00247BE5">
          <w:rPr>
            <w:color w:val="0000FF"/>
            <w:u w:val="single"/>
            <w:lang w:val="en-US"/>
          </w:rPr>
          <w:t>20210609_workshop_report_embargo_3pm_CEST_10_june_0.pdf (ipbes.net)</w:t>
        </w:r>
      </w:hyperlink>
      <w:r w:rsidRPr="00247BE5">
        <w:rPr>
          <w:lang w:val="en-US"/>
        </w:rPr>
        <w:t xml:space="preserve"> </w:t>
      </w:r>
    </w:p>
  </w:footnote>
  <w:footnote w:id="58">
    <w:p w14:paraId="45EC4B1F" w14:textId="12AEA861" w:rsidR="00EA7989" w:rsidRPr="00051E66" w:rsidRDefault="00EA7989">
      <w:pPr>
        <w:pStyle w:val="FootnoteText"/>
        <w:jc w:val="both"/>
        <w:rPr>
          <w:rFonts w:cs="Times New Roman"/>
        </w:rPr>
      </w:pPr>
      <w:r w:rsidRPr="00051E66">
        <w:rPr>
          <w:rStyle w:val="FootnoteReference"/>
          <w:rFonts w:cs="Times New Roman"/>
        </w:rPr>
        <w:footnoteRef/>
      </w:r>
      <w:r w:rsidRPr="00051E66">
        <w:rPr>
          <w:rFonts w:cs="Times New Roman"/>
        </w:rPr>
        <w:t xml:space="preserve"> </w:t>
      </w:r>
      <w:r>
        <w:t xml:space="preserve">IPBES. 2019. Summary for policymakers of the global assessment report on biodiversity and ecosystem services of the Intergovernmental Science-Policy Platform on Biodiversity and Ecosystem Services. S. Díaz, J. Settele, E. S. Brondízio E.S., H. T. Ngo, M. Guèze, J. Agard, A. Arneth, P. Balvanera, K. A. Brauman, S. H. M. Butchart, K. M. A. Chan, L. A. Garibaldi, K. Ichii, J. Liu, S. M. Subramanian, G. F. Midgley, P. Miloslavich, Z. Molnár, D. Obura, A. Pfaff, S. Polasky, A. Purvis, J. Razzaque, B. Reyers, R. Roy Chowdhury, Y. J. Shin, I. J. Visseren-Hamakers, K. J. Willis, and C. N. Zayas (eds.). IPBES secretariat, Bonn, Germany. Available at </w:t>
      </w:r>
      <w:r w:rsidRPr="00051E66">
        <w:rPr>
          <w:rFonts w:cs="Times New Roman"/>
        </w:rPr>
        <w:t>https://ipbes.net/sites/default/files/2020-02/ipbes_global_assessment_report_summary_for_policymakers_en.pdf</w:t>
      </w:r>
    </w:p>
  </w:footnote>
  <w:footnote w:id="59">
    <w:p w14:paraId="0552CC20" w14:textId="77777777" w:rsidR="00EA7989" w:rsidRPr="00D215BA" w:rsidRDefault="00EA7989" w:rsidP="00892EB7">
      <w:pPr>
        <w:pStyle w:val="FootnoteText"/>
        <w:jc w:val="both"/>
      </w:pPr>
      <w:r>
        <w:rPr>
          <w:rStyle w:val="FootnoteReference"/>
        </w:rPr>
        <w:footnoteRef/>
      </w:r>
      <w:r>
        <w:t xml:space="preserve"> </w:t>
      </w:r>
      <w:r w:rsidRPr="00652FBE">
        <w:rPr>
          <w:rFonts w:cs="Times New Roman"/>
        </w:rPr>
        <w:t xml:space="preserve">FAO and UNEP, 2020. The State of the World's Forests 2020. Forests, biodiversity and people. Rome. </w:t>
      </w:r>
      <w:r w:rsidRPr="00D215BA" w:rsidDel="00DF4D9A">
        <w:rPr>
          <w:rFonts w:cs="Times New Roman"/>
        </w:rPr>
        <w:t xml:space="preserve">Available at  </w:t>
      </w:r>
      <w:hyperlink r:id="rId15" w:history="1">
        <w:r w:rsidRPr="00D215BA" w:rsidDel="00DF4D9A">
          <w:t>http://www.fao.org/3/ca8642en/CA8642EN.pdf</w:t>
        </w:r>
      </w:hyperlink>
    </w:p>
  </w:footnote>
  <w:footnote w:id="60">
    <w:p w14:paraId="58C63374" w14:textId="510DC76A" w:rsidR="00EA7989" w:rsidRPr="00033FD4" w:rsidRDefault="00EA7989">
      <w:pPr>
        <w:pStyle w:val="FootnoteText"/>
        <w:jc w:val="both"/>
      </w:pPr>
      <w:r>
        <w:rPr>
          <w:rStyle w:val="FootnoteReference"/>
        </w:rPr>
        <w:footnoteRef/>
      </w:r>
      <w:r w:rsidRPr="00BA3E9B">
        <w:t xml:space="preserve"> </w:t>
      </w:r>
      <w:r w:rsidRPr="00BA3E9B">
        <w:rPr>
          <w:rStyle w:val="FootnoteTextChar"/>
        </w:rPr>
        <w:t xml:space="preserve">Vancutsem, C., Achard, F., Pekel, J.-F., Vielliedent, G., Carboni, S., Simonetti, D., L. E. O. C. Aragão, Nasi, R. (2021). </w:t>
      </w:r>
      <w:r w:rsidRPr="00765EEB">
        <w:rPr>
          <w:rStyle w:val="FootnoteTextChar"/>
        </w:rPr>
        <w:t>Long-term (1990–2019) monitoring of forest cover changes in the humid tropics. Science Advances 7:10.</w:t>
      </w:r>
      <w:r>
        <w:rPr>
          <w:rStyle w:val="FootnoteTextChar"/>
        </w:rPr>
        <w:t xml:space="preserve"> Available at </w:t>
      </w:r>
      <w:r w:rsidRPr="00033FD4">
        <w:t>https://advances.sciencemag.org/content/7/10/eabe1603</w:t>
      </w:r>
    </w:p>
  </w:footnote>
  <w:footnote w:id="61">
    <w:p w14:paraId="7554DF6A" w14:textId="77777777" w:rsidR="00EA7989" w:rsidRDefault="00EA7989" w:rsidP="00892EB7">
      <w:pPr>
        <w:pStyle w:val="FootnoteText"/>
        <w:jc w:val="both"/>
      </w:pPr>
      <w:r>
        <w:rPr>
          <w:rStyle w:val="FootnoteReference"/>
        </w:rPr>
        <w:footnoteRef/>
      </w:r>
      <w:r>
        <w:t xml:space="preserve"> </w:t>
      </w:r>
      <w:r w:rsidRPr="00652FBE">
        <w:rPr>
          <w:rFonts w:cs="Times New Roman"/>
        </w:rPr>
        <w:t xml:space="preserve">FAO and UNEP, 2020. The State of the World's Forests 2020. Forests, biodiversity and people. Rome. </w:t>
      </w:r>
      <w:r w:rsidRPr="00652FBE" w:rsidDel="00DF4D9A">
        <w:rPr>
          <w:rFonts w:cs="Times New Roman"/>
        </w:rPr>
        <w:t xml:space="preserve">Available at  </w:t>
      </w:r>
      <w:hyperlink r:id="rId16" w:history="1">
        <w:r w:rsidRPr="00BB6F9C" w:rsidDel="00DF4D9A">
          <w:rPr>
            <w:lang w:val="en-US"/>
          </w:rPr>
          <w:t>http://www.fao.org/3/ca8642en/CA8642EN.pdf</w:t>
        </w:r>
      </w:hyperlink>
    </w:p>
  </w:footnote>
  <w:footnote w:id="62">
    <w:p w14:paraId="1828DCFA" w14:textId="5B17003A" w:rsidR="00EA7989" w:rsidRPr="00335774" w:rsidRDefault="00EA7989" w:rsidP="00892EB7">
      <w:pPr>
        <w:pStyle w:val="FootnoteText"/>
        <w:jc w:val="both"/>
        <w:rPr>
          <w:rFonts w:cs="Times New Roman"/>
        </w:rPr>
      </w:pPr>
      <w:r w:rsidRPr="00051E66">
        <w:rPr>
          <w:rStyle w:val="FootnoteReference"/>
          <w:rFonts w:cs="Times New Roman"/>
        </w:rPr>
        <w:footnoteRef/>
      </w:r>
      <w:r w:rsidRPr="00202DA8">
        <w:rPr>
          <w:rFonts w:cs="Times New Roman"/>
          <w:lang w:val="en-IE"/>
        </w:rPr>
        <w:t xml:space="preserve"> Hosonuma </w:t>
      </w:r>
      <w:r w:rsidRPr="00521385">
        <w:rPr>
          <w:rFonts w:cs="Times New Roman"/>
          <w:i/>
          <w:lang w:val="en-IE"/>
        </w:rPr>
        <w:t>et al</w:t>
      </w:r>
      <w:r w:rsidRPr="00521385">
        <w:rPr>
          <w:rFonts w:cs="Times New Roman"/>
          <w:lang w:val="en-IE"/>
        </w:rPr>
        <w:t>. 2012</w:t>
      </w:r>
      <w:r>
        <w:rPr>
          <w:rFonts w:cs="Times New Roman"/>
          <w:lang w:val="en-IE"/>
        </w:rPr>
        <w:t xml:space="preserve">. </w:t>
      </w:r>
      <w:r w:rsidRPr="0097289C">
        <w:rPr>
          <w:rFonts w:cs="Times New Roman"/>
          <w:lang w:val="en-IE"/>
        </w:rPr>
        <w:t>An assessm</w:t>
      </w:r>
      <w:r>
        <w:rPr>
          <w:rFonts w:cs="Times New Roman"/>
          <w:lang w:val="en-IE"/>
        </w:rPr>
        <w:t xml:space="preserve">ent of deforestation and forest </w:t>
      </w:r>
      <w:r w:rsidRPr="0097289C">
        <w:rPr>
          <w:rFonts w:cs="Times New Roman"/>
          <w:lang w:val="en-IE"/>
        </w:rPr>
        <w:t>de</w:t>
      </w:r>
      <w:r>
        <w:rPr>
          <w:rFonts w:cs="Times New Roman"/>
          <w:lang w:val="en-IE"/>
        </w:rPr>
        <w:t xml:space="preserve">gradation drivers in developing </w:t>
      </w:r>
      <w:r w:rsidRPr="0097289C">
        <w:rPr>
          <w:rFonts w:cs="Times New Roman"/>
          <w:lang w:val="en-IE"/>
        </w:rPr>
        <w:t>countries</w:t>
      </w:r>
      <w:r>
        <w:rPr>
          <w:rFonts w:cs="Times New Roman"/>
          <w:lang w:val="en-IE"/>
        </w:rPr>
        <w:t>.</w:t>
      </w:r>
      <w:r w:rsidRPr="00202DA8">
        <w:rPr>
          <w:rFonts w:cs="Times New Roman"/>
          <w:lang w:val="en-IE"/>
        </w:rPr>
        <w:t xml:space="preserve"> </w:t>
      </w:r>
      <w:r w:rsidRPr="00335774">
        <w:rPr>
          <w:rFonts w:cs="Times New Roman"/>
        </w:rPr>
        <w:t>Environ. Res. Lett. 7 044009. Available at  https://iopscience.iop.org/article/10.1088/1748-9326/7/4/044009/pdf</w:t>
      </w:r>
    </w:p>
  </w:footnote>
  <w:footnote w:id="63">
    <w:p w14:paraId="44535C77" w14:textId="4D4F32E3" w:rsidR="00EA7989" w:rsidRPr="00051E66" w:rsidRDefault="00EA7989" w:rsidP="00892EB7">
      <w:pPr>
        <w:pStyle w:val="FootnoteText"/>
        <w:jc w:val="both"/>
        <w:rPr>
          <w:rFonts w:cs="Times New Roman"/>
        </w:rPr>
      </w:pPr>
      <w:r w:rsidRPr="00051E66">
        <w:rPr>
          <w:rStyle w:val="FootnoteReference"/>
          <w:rFonts w:cs="Times New Roman"/>
        </w:rPr>
        <w:footnoteRef/>
      </w:r>
      <w:r w:rsidRPr="00202DA8">
        <w:rPr>
          <w:rFonts w:cs="Times New Roman"/>
          <w:lang w:val="en-IE"/>
        </w:rPr>
        <w:t xml:space="preserve"> </w:t>
      </w:r>
      <w:r w:rsidRPr="00994809">
        <w:rPr>
          <w:rFonts w:cs="Times New Roman"/>
        </w:rPr>
        <w:t xml:space="preserve">FAO and UNEP, 2020. The State of the World's Forests 2020. Forests, biodiversity and people. Rome. </w:t>
      </w:r>
      <w:r>
        <w:rPr>
          <w:rFonts w:cs="Times New Roman"/>
        </w:rPr>
        <w:t>Available at</w:t>
      </w:r>
      <w:r w:rsidRPr="00994809">
        <w:rPr>
          <w:rFonts w:cs="Times New Roman"/>
        </w:rPr>
        <w:t xml:space="preserve"> </w:t>
      </w:r>
      <w:r w:rsidRPr="00051E66">
        <w:rPr>
          <w:rFonts w:cs="Times New Roman"/>
        </w:rPr>
        <w:t xml:space="preserve"> </w:t>
      </w:r>
      <w:hyperlink r:id="rId17" w:history="1">
        <w:r w:rsidRPr="00274B46">
          <w:t>http://www.fao.org/3/ca8642en/CA8642EN.pdf</w:t>
        </w:r>
      </w:hyperlink>
      <w:r>
        <w:t xml:space="preserve"> </w:t>
      </w:r>
    </w:p>
  </w:footnote>
  <w:footnote w:id="64">
    <w:p w14:paraId="0C21294A" w14:textId="79A4B117" w:rsidR="00EA7989" w:rsidRPr="00863909" w:rsidRDefault="00EA7989" w:rsidP="00892EB7">
      <w:pPr>
        <w:pStyle w:val="FootnoteText"/>
        <w:jc w:val="both"/>
      </w:pPr>
      <w:r>
        <w:rPr>
          <w:rStyle w:val="FootnoteReference"/>
        </w:rPr>
        <w:footnoteRef/>
      </w:r>
      <w:r>
        <w:t xml:space="preserve"> IEEEP. 2019. EU Consumption as a Driver of Global Deforestation. </w:t>
      </w:r>
      <w:r w:rsidRPr="008A3347">
        <w:t>Avail</w:t>
      </w:r>
      <w:r w:rsidRPr="00202DA8">
        <w:t>able a</w:t>
      </w:r>
      <w:r>
        <w:t xml:space="preserve">t </w:t>
      </w:r>
      <w:r w:rsidRPr="00863909">
        <w:rPr>
          <w:rFonts w:cs="Times New Roman"/>
        </w:rPr>
        <w:t>https://ieep.eu/uploads/articles/attachments/d99f5a14-e05c-4592-b59e-63612a6ea9b2/EU%20consumption%20and%20deforestation%20factsheet%20(IEEP).pdf?v=63744063219</w:t>
      </w:r>
    </w:p>
  </w:footnote>
  <w:footnote w:id="65">
    <w:p w14:paraId="2975BBE4" w14:textId="11C8918C" w:rsidR="00EA7989" w:rsidRPr="00202DA8" w:rsidRDefault="00EA7989" w:rsidP="00202DA8">
      <w:pPr>
        <w:pStyle w:val="FootnoteText"/>
        <w:rPr>
          <w:rFonts w:cs="Times New Roman"/>
          <w:lang w:val="en-IE"/>
        </w:rPr>
      </w:pPr>
      <w:r w:rsidRPr="00397C82">
        <w:rPr>
          <w:rStyle w:val="FootnoteReference"/>
          <w:rFonts w:cs="Times New Roman"/>
        </w:rPr>
        <w:footnoteRef/>
      </w:r>
      <w:r w:rsidRPr="00202DA8">
        <w:rPr>
          <w:rFonts w:cs="Times New Roman"/>
          <w:lang w:val="en-IE"/>
        </w:rPr>
        <w:t xml:space="preserve"> EC. 2013.</w:t>
      </w:r>
      <w:r w:rsidRPr="008A3347">
        <w:t xml:space="preserve"> </w:t>
      </w:r>
      <w:r w:rsidRPr="00202DA8">
        <w:rPr>
          <w:rFonts w:cs="Times New Roman"/>
          <w:lang w:val="en-IE"/>
        </w:rPr>
        <w:t>The impact of EU</w:t>
      </w:r>
      <w:r w:rsidRPr="008A3347">
        <w:rPr>
          <w:rFonts w:cs="Times New Roman"/>
          <w:lang w:val="en-IE"/>
        </w:rPr>
        <w:t xml:space="preserve"> consumption on deforestation: </w:t>
      </w:r>
      <w:r>
        <w:rPr>
          <w:rFonts w:cs="Times New Roman"/>
          <w:lang w:val="en-IE"/>
        </w:rPr>
        <w:t xml:space="preserve"> </w:t>
      </w:r>
      <w:r w:rsidRPr="00202DA8">
        <w:rPr>
          <w:rFonts w:cs="Times New Roman"/>
          <w:lang w:val="en-IE"/>
        </w:rPr>
        <w:t>Comprehensiv</w:t>
      </w:r>
      <w:r w:rsidRPr="008A3347">
        <w:rPr>
          <w:rFonts w:cs="Times New Roman"/>
          <w:lang w:val="en-IE"/>
        </w:rPr>
        <w:t xml:space="preserve">e analysis of the impact of EU </w:t>
      </w:r>
      <w:r w:rsidRPr="00202DA8">
        <w:rPr>
          <w:rFonts w:cs="Times New Roman"/>
          <w:lang w:val="en-IE"/>
        </w:rPr>
        <w:t xml:space="preserve">consumption </w:t>
      </w:r>
      <w:r w:rsidRPr="00521385">
        <w:rPr>
          <w:rFonts w:cs="Times New Roman"/>
          <w:lang w:val="en-IE"/>
        </w:rPr>
        <w:t>on deforestation</w:t>
      </w:r>
      <w:r>
        <w:rPr>
          <w:rFonts w:cs="Times New Roman"/>
          <w:lang w:val="en-IE"/>
        </w:rPr>
        <w:t>. Technical Report 2013-</w:t>
      </w:r>
      <w:r w:rsidRPr="008A3347">
        <w:rPr>
          <w:rFonts w:cs="Times New Roman"/>
          <w:lang w:val="en-IE"/>
        </w:rPr>
        <w:t>063</w:t>
      </w:r>
      <w:r>
        <w:rPr>
          <w:rFonts w:cs="Times New Roman"/>
          <w:lang w:val="en-IE"/>
        </w:rPr>
        <w:t xml:space="preserve">. </w:t>
      </w:r>
      <w:r w:rsidRPr="008A3347">
        <w:rPr>
          <w:rFonts w:cs="Times New Roman"/>
          <w:lang w:val="en-IE"/>
        </w:rPr>
        <w:t>Avai</w:t>
      </w:r>
      <w:r w:rsidRPr="00202DA8">
        <w:rPr>
          <w:rFonts w:cs="Times New Roman"/>
          <w:lang w:val="en-IE"/>
        </w:rPr>
        <w:t>lable at https://ec.europa.eu/environment/forests/pdf/1.%20Report%20analysis%20of%20impact.pdf</w:t>
      </w:r>
    </w:p>
  </w:footnote>
  <w:footnote w:id="66">
    <w:p w14:paraId="4CAD851D" w14:textId="57AC21EF" w:rsidR="00EA7989" w:rsidRPr="00A34516" w:rsidRDefault="00EA7989">
      <w:pPr>
        <w:pStyle w:val="FootnoteText"/>
        <w:rPr>
          <w:lang w:val="en-US"/>
        </w:rPr>
      </w:pPr>
      <w:r>
        <w:rPr>
          <w:rStyle w:val="FootnoteReference"/>
        </w:rPr>
        <w:footnoteRef/>
      </w:r>
      <w:r w:rsidRPr="00202DA8">
        <w:rPr>
          <w:lang w:val="sv-SE"/>
        </w:rPr>
        <w:t xml:space="preserve"> Pendrill F</w:t>
      </w:r>
      <w:r w:rsidRPr="001B198B">
        <w:rPr>
          <w:lang w:val="sv-SE"/>
        </w:rPr>
        <w:t>.</w:t>
      </w:r>
      <w:r>
        <w:rPr>
          <w:lang w:val="sv-SE"/>
        </w:rPr>
        <w:t xml:space="preserve">, Persson U. M., Kastner, T. </w:t>
      </w:r>
      <w:r w:rsidRPr="007843D3">
        <w:rPr>
          <w:lang w:val="sv-SE"/>
        </w:rPr>
        <w:t>2020</w:t>
      </w:r>
      <w:r w:rsidRPr="001B5DF4">
        <w:rPr>
          <w:lang w:val="sv-SE"/>
        </w:rPr>
        <w:t xml:space="preserve">. </w:t>
      </w:r>
      <w:r w:rsidRPr="00A34516">
        <w:rPr>
          <w:lang w:val="en-US"/>
        </w:rPr>
        <w:t xml:space="preserve">Deforestation risk embodied in production and consumption of agricultural and forestry commodities 2005-2017 (Version 1.0) [Data set]. Zenodo. Available at </w:t>
      </w:r>
      <w:hyperlink r:id="rId18" w:anchor=".YGrNv0BuK1M" w:history="1">
        <w:r w:rsidRPr="00521385">
          <w:t>https://zenodo.org/record/4250532#.YGrNv0BuK1M</w:t>
        </w:r>
      </w:hyperlink>
      <w:r w:rsidRPr="00A34516">
        <w:rPr>
          <w:lang w:val="en-US"/>
        </w:rPr>
        <w:t xml:space="preserve"> </w:t>
      </w:r>
    </w:p>
  </w:footnote>
  <w:footnote w:id="67">
    <w:p w14:paraId="08AE1D9E" w14:textId="3B9E5D96" w:rsidR="00EA7989" w:rsidRDefault="00EA7989">
      <w:pPr>
        <w:pStyle w:val="FootnoteText"/>
      </w:pPr>
      <w:r w:rsidRPr="00521385">
        <w:rPr>
          <w:lang w:val="sv-SE"/>
        </w:rPr>
        <w:footnoteRef/>
      </w:r>
      <w:r w:rsidRPr="00A34516">
        <w:rPr>
          <w:lang w:val="en-US"/>
        </w:rPr>
        <w:t xml:space="preserve"> Based on imports of wood, palm oil, soy, cocoa, coffee and beef from Eurostat Comext data.</w:t>
      </w:r>
    </w:p>
  </w:footnote>
  <w:footnote w:id="68">
    <w:p w14:paraId="1E24C4D8" w14:textId="77777777" w:rsidR="00EA7989" w:rsidRPr="00434F4C" w:rsidRDefault="00EA7989" w:rsidP="00A44A23">
      <w:pPr>
        <w:pStyle w:val="FootnoteText"/>
        <w:rPr>
          <w:rFonts w:cs="Times New Roman"/>
          <w:lang w:val="fr-BE"/>
        </w:rPr>
      </w:pPr>
      <w:r w:rsidRPr="001A31F3">
        <w:rPr>
          <w:rStyle w:val="FootnoteReference"/>
          <w:rFonts w:cs="Times New Roman"/>
        </w:rPr>
        <w:footnoteRef/>
      </w:r>
      <w:r w:rsidRPr="00D0599E">
        <w:rPr>
          <w:rFonts w:cs="Times New Roman"/>
          <w:lang w:val="pt-PT"/>
        </w:rPr>
        <w:t xml:space="preserve"> </w:t>
      </w:r>
      <w:r w:rsidRPr="00D0599E">
        <w:rPr>
          <w:rFonts w:cs="Times New Roman"/>
          <w:color w:val="222222"/>
          <w:shd w:val="clear" w:color="auto" w:fill="FFFFFF"/>
          <w:lang w:val="pt-PT"/>
        </w:rPr>
        <w:t>Leite-Filho, A.T., Soares-Filho, B.S., Davis, J.L. </w:t>
      </w:r>
      <w:r w:rsidRPr="00D0599E">
        <w:rPr>
          <w:rFonts w:cs="Times New Roman"/>
          <w:i/>
          <w:iCs/>
          <w:color w:val="222222"/>
          <w:shd w:val="clear" w:color="auto" w:fill="FFFFFF"/>
          <w:lang w:val="pt-PT"/>
        </w:rPr>
        <w:t>et al.</w:t>
      </w:r>
      <w:r w:rsidRPr="00D0599E">
        <w:rPr>
          <w:rFonts w:cs="Times New Roman"/>
          <w:color w:val="222222"/>
          <w:shd w:val="clear" w:color="auto" w:fill="FFFFFF"/>
          <w:lang w:val="pt-PT"/>
        </w:rPr>
        <w:t> </w:t>
      </w:r>
      <w:r w:rsidRPr="00187E0F">
        <w:rPr>
          <w:rFonts w:cs="Times New Roman"/>
          <w:color w:val="222222"/>
          <w:shd w:val="clear" w:color="auto" w:fill="FFFFFF"/>
        </w:rPr>
        <w:t>Deforestation reduces rainfall and agricultural revenues in the Brazilian Amazon. </w:t>
      </w:r>
      <w:r w:rsidRPr="00434F4C">
        <w:rPr>
          <w:rFonts w:cs="Times New Roman"/>
          <w:i/>
          <w:iCs/>
          <w:color w:val="222222"/>
          <w:shd w:val="clear" w:color="auto" w:fill="FFFFFF"/>
          <w:lang w:val="fr-BE"/>
        </w:rPr>
        <w:t>Nat Commun</w:t>
      </w:r>
      <w:r w:rsidRPr="00434F4C">
        <w:rPr>
          <w:rFonts w:cs="Times New Roman"/>
          <w:color w:val="222222"/>
          <w:shd w:val="clear" w:color="auto" w:fill="FFFFFF"/>
          <w:lang w:val="fr-BE"/>
        </w:rPr>
        <w:t> </w:t>
      </w:r>
      <w:r w:rsidRPr="00434F4C">
        <w:rPr>
          <w:rFonts w:cs="Times New Roman"/>
          <w:b/>
          <w:bCs/>
          <w:color w:val="222222"/>
          <w:shd w:val="clear" w:color="auto" w:fill="FFFFFF"/>
          <w:lang w:val="fr-BE"/>
        </w:rPr>
        <w:t>12, </w:t>
      </w:r>
      <w:r w:rsidRPr="00434F4C">
        <w:rPr>
          <w:rFonts w:cs="Times New Roman"/>
          <w:color w:val="222222"/>
          <w:shd w:val="clear" w:color="auto" w:fill="FFFFFF"/>
          <w:lang w:val="fr-BE"/>
        </w:rPr>
        <w:t>2591 (2021)</w:t>
      </w:r>
    </w:p>
  </w:footnote>
  <w:footnote w:id="69">
    <w:p w14:paraId="7025EF1C" w14:textId="6441F5D9" w:rsidR="00EA7989" w:rsidRPr="00434F4C" w:rsidRDefault="00EA7989">
      <w:pPr>
        <w:pStyle w:val="FootnoteText"/>
        <w:rPr>
          <w:lang w:val="fr-BE"/>
        </w:rPr>
      </w:pPr>
      <w:r>
        <w:rPr>
          <w:rStyle w:val="FootnoteReference"/>
        </w:rPr>
        <w:footnoteRef/>
      </w:r>
      <w:r w:rsidRPr="00434F4C">
        <w:rPr>
          <w:lang w:val="fr-BE"/>
        </w:rPr>
        <w:t xml:space="preserve"> https://forest500.org/sites/default/files/forest500_2021report.pdf</w:t>
      </w:r>
    </w:p>
  </w:footnote>
  <w:footnote w:id="70">
    <w:p w14:paraId="7CB924AC" w14:textId="77777777" w:rsidR="00EA7989" w:rsidRPr="00DD6DF0" w:rsidRDefault="00EA7989" w:rsidP="00D6567C">
      <w:pPr>
        <w:pStyle w:val="FootnoteText"/>
        <w:jc w:val="both"/>
      </w:pPr>
      <w:r>
        <w:rPr>
          <w:rStyle w:val="FootnoteReference"/>
        </w:rPr>
        <w:footnoteRef/>
      </w:r>
      <w:r>
        <w:t xml:space="preserve"> More information is available at </w:t>
      </w:r>
      <w:r w:rsidRPr="00DD6DF0">
        <w:t>https://www.deforestationimportee.fr/fr</w:t>
      </w:r>
    </w:p>
  </w:footnote>
  <w:footnote w:id="71">
    <w:p w14:paraId="4AC7D17B" w14:textId="71B99015" w:rsidR="00EA7989" w:rsidRPr="005529C4" w:rsidRDefault="00EA7989" w:rsidP="00D6567C">
      <w:pPr>
        <w:pStyle w:val="FootnoteText"/>
        <w:jc w:val="both"/>
        <w:rPr>
          <w:rFonts w:cs="Times New Roman"/>
          <w:lang w:val="en-US"/>
        </w:rPr>
      </w:pPr>
      <w:r w:rsidRPr="00051E66">
        <w:rPr>
          <w:rStyle w:val="FootnoteReference"/>
          <w:rFonts w:cs="Times New Roman"/>
        </w:rPr>
        <w:footnoteRef/>
      </w:r>
      <w:r w:rsidRPr="00051E66">
        <w:rPr>
          <w:rFonts w:cs="Times New Roman"/>
        </w:rPr>
        <w:t xml:space="preserve"> COWI</w:t>
      </w:r>
      <w:r>
        <w:rPr>
          <w:rFonts w:cs="Times New Roman"/>
        </w:rPr>
        <w:t>.</w:t>
      </w:r>
      <w:r w:rsidRPr="00051E66">
        <w:rPr>
          <w:rFonts w:cs="Times New Roman"/>
        </w:rPr>
        <w:t xml:space="preserve"> 2018</w:t>
      </w:r>
      <w:r>
        <w:rPr>
          <w:rFonts w:cs="Times New Roman"/>
        </w:rPr>
        <w:t>.</w:t>
      </w:r>
      <w:r w:rsidRPr="00051E66">
        <w:rPr>
          <w:rFonts w:cs="Times New Roman"/>
        </w:rPr>
        <w:t xml:space="preserve"> Feasibility study on options to step up EU action against deforestation</w:t>
      </w:r>
      <w:r>
        <w:rPr>
          <w:rFonts w:cs="Times New Roman"/>
        </w:rPr>
        <w:t xml:space="preserve">. Available at </w:t>
      </w:r>
      <w:r w:rsidRPr="00DC7321">
        <w:rPr>
          <w:rFonts w:cs="Times New Roman"/>
        </w:rPr>
        <w:t>https://ec.europa.eu/environment/forests/pdf/feasibility_study_deforestation_kh0418199enn_main_report.pdf</w:t>
      </w:r>
    </w:p>
  </w:footnote>
  <w:footnote w:id="72">
    <w:p w14:paraId="42ED0A1F" w14:textId="77777777" w:rsidR="00EA7989" w:rsidRPr="001C54C4" w:rsidRDefault="00EA7989" w:rsidP="001321CB">
      <w:pPr>
        <w:pStyle w:val="FootnoteText"/>
      </w:pPr>
      <w:r>
        <w:rPr>
          <w:rStyle w:val="FootnoteReference"/>
        </w:rPr>
        <w:footnoteRef/>
      </w:r>
      <w:r>
        <w:t xml:space="preserve"> </w:t>
      </w:r>
      <w:r w:rsidRPr="001C54C4">
        <w:t>https://eur-lex.europa.eu/resource.html?uri=cellar:a1d5a7da-ad30-11e9-9d01-01aa75ed71a1.0001.02/DOC_2&amp;format=PDF</w:t>
      </w:r>
    </w:p>
  </w:footnote>
  <w:footnote w:id="73">
    <w:p w14:paraId="053A6D77" w14:textId="69876AFA" w:rsidR="00EA7989" w:rsidRPr="003F7451" w:rsidRDefault="00EA7989" w:rsidP="00BD402F">
      <w:pPr>
        <w:jc w:val="both"/>
        <w:rPr>
          <w:b/>
          <w:i/>
          <w:sz w:val="16"/>
          <w:szCs w:val="16"/>
          <w:lang w:val="en-US"/>
        </w:rPr>
      </w:pPr>
      <w:r w:rsidRPr="00BD402F">
        <w:rPr>
          <w:rStyle w:val="FootnoteReference"/>
          <w:sz w:val="18"/>
          <w:szCs w:val="18"/>
        </w:rPr>
        <w:footnoteRef/>
      </w:r>
      <w:r w:rsidRPr="00BD402F">
        <w:rPr>
          <w:sz w:val="18"/>
          <w:szCs w:val="18"/>
        </w:rPr>
        <w:t xml:space="preserve"> </w:t>
      </w:r>
      <w:r w:rsidRPr="003F7451">
        <w:rPr>
          <w:b/>
          <w:i/>
          <w:sz w:val="16"/>
          <w:szCs w:val="16"/>
          <w:lang w:val="en-US"/>
        </w:rPr>
        <w:t>A</w:t>
      </w:r>
      <w:r w:rsidRPr="003F7451">
        <w:rPr>
          <w:sz w:val="16"/>
          <w:szCs w:val="16"/>
          <w:lang w:val="en-US"/>
        </w:rPr>
        <w:t xml:space="preserve"> description of the interplay between the due diligence requirements in the Sustainable Corporate Governance (SCG) initiative and those established in the legislative initiative on deforestation is included in Box 3</w:t>
      </w:r>
    </w:p>
  </w:footnote>
  <w:footnote w:id="74">
    <w:p w14:paraId="6F659167" w14:textId="7EB060D0" w:rsidR="00EA7989" w:rsidRPr="00F238CE" w:rsidRDefault="00EA7989">
      <w:pPr>
        <w:pStyle w:val="FootnoteText"/>
      </w:pPr>
      <w:r>
        <w:rPr>
          <w:rStyle w:val="FootnoteReference"/>
        </w:rPr>
        <w:footnoteRef/>
      </w:r>
      <w:r>
        <w:t xml:space="preserve"> </w:t>
      </w:r>
      <w:r w:rsidRPr="00F238CE">
        <w:t>https://www.forest-trends.org/publications/illicit-harvest-complicit-goods/</w:t>
      </w:r>
    </w:p>
  </w:footnote>
  <w:footnote w:id="75">
    <w:p w14:paraId="4FF29F02" w14:textId="61B10C02" w:rsidR="00EA7989" w:rsidRDefault="00EA7989">
      <w:pPr>
        <w:pStyle w:val="FootnoteText"/>
      </w:pPr>
      <w:r>
        <w:rPr>
          <w:rStyle w:val="FootnoteReference"/>
        </w:rPr>
        <w:footnoteRef/>
      </w:r>
      <w:r>
        <w:t xml:space="preserve"> </w:t>
      </w:r>
      <w:r>
        <w:rPr>
          <w:rFonts w:eastAsia="Times New Roman" w:cs="Times New Roman"/>
          <w:szCs w:val="24"/>
        </w:rPr>
        <w:t>N</w:t>
      </w:r>
      <w:r w:rsidRPr="007C1494">
        <w:rPr>
          <w:rFonts w:eastAsia="Times New Roman" w:cs="Times New Roman"/>
          <w:szCs w:val="24"/>
        </w:rPr>
        <w:t>ote that indication of responses reported in this Impact Assessment concern unique responses to the OPC and the, campaign responses which were analysed separately as explained</w:t>
      </w:r>
      <w:r>
        <w:rPr>
          <w:rFonts w:eastAsia="Times New Roman" w:cs="Times New Roman"/>
          <w:szCs w:val="24"/>
        </w:rPr>
        <w:t xml:space="preserve"> in Annex 2.</w:t>
      </w:r>
    </w:p>
  </w:footnote>
  <w:footnote w:id="76">
    <w:p w14:paraId="7B26A360" w14:textId="77777777" w:rsidR="00EA7989" w:rsidRPr="00A34516" w:rsidRDefault="00EA7989" w:rsidP="00083922">
      <w:pPr>
        <w:pStyle w:val="FootnoteText"/>
        <w:rPr>
          <w:rFonts w:cs="Times New Roman"/>
          <w:lang w:val="en-US"/>
        </w:rPr>
      </w:pPr>
      <w:r w:rsidRPr="00CC1AA3">
        <w:rPr>
          <w:rStyle w:val="FootnoteReference"/>
          <w:rFonts w:cs="Times New Roman"/>
        </w:rPr>
        <w:footnoteRef/>
      </w:r>
      <w:r w:rsidRPr="00A34516">
        <w:rPr>
          <w:rFonts w:cs="Times New Roman"/>
          <w:lang w:val="en-US"/>
        </w:rPr>
        <w:t xml:space="preserve"> </w:t>
      </w:r>
      <w:r w:rsidRPr="00A34516">
        <w:rPr>
          <w:rFonts w:eastAsia="Calibri" w:cs="Times New Roman"/>
          <w:lang w:val="en-US"/>
        </w:rPr>
        <w:t xml:space="preserve">FAO. 2018. Global Forest Resources Assessment 2020: Terms and Definitions. Forest Resources Assessment Working Paper 188. Rome. Available at </w:t>
      </w:r>
      <w:hyperlink r:id="rId19" w:history="1">
        <w:r w:rsidRPr="00A34516">
          <w:rPr>
            <w:rFonts w:eastAsia="Calibri" w:cs="Times New Roman"/>
            <w:lang w:val="en-US"/>
          </w:rPr>
          <w:t>http://www.fao.org/3/I8661EN/i8661en.pdf</w:t>
        </w:r>
      </w:hyperlink>
    </w:p>
  </w:footnote>
  <w:footnote w:id="77">
    <w:p w14:paraId="52F8C8AF" w14:textId="77777777" w:rsidR="00EA7989" w:rsidRDefault="00EA7989" w:rsidP="00582E08">
      <w:pPr>
        <w:pStyle w:val="FootnoteText"/>
      </w:pPr>
      <w:r>
        <w:rPr>
          <w:rStyle w:val="FootnoteReference"/>
        </w:rPr>
        <w:footnoteRef/>
      </w:r>
      <w:r>
        <w:t xml:space="preserve"> http://www.fao.org/3/I8661EN/i8661en.pdf</w:t>
      </w:r>
    </w:p>
  </w:footnote>
  <w:footnote w:id="78">
    <w:p w14:paraId="2D37BC04" w14:textId="77777777" w:rsidR="00EA7989" w:rsidRDefault="00EA7989" w:rsidP="00582E08">
      <w:pPr>
        <w:pStyle w:val="FootnoteText"/>
      </w:pPr>
      <w:r>
        <w:rPr>
          <w:rStyle w:val="FootnoteReference"/>
        </w:rPr>
        <w:footnoteRef/>
      </w:r>
      <w:r>
        <w:t xml:space="preserve"> The explanatory notes from the FAO</w:t>
      </w:r>
    </w:p>
    <w:p w14:paraId="4E34A225" w14:textId="77777777" w:rsidR="00EA7989" w:rsidRDefault="00EA7989" w:rsidP="00582E08">
      <w:pPr>
        <w:pStyle w:val="FootnoteText"/>
      </w:pPr>
      <w:r>
        <w:t>1. Forest is determined both by the presence of trees and the absence of other predominant land uses. The trees</w:t>
      </w:r>
    </w:p>
    <w:p w14:paraId="543D443A" w14:textId="77777777" w:rsidR="00EA7989" w:rsidRDefault="00EA7989" w:rsidP="00582E08">
      <w:pPr>
        <w:pStyle w:val="FootnoteText"/>
      </w:pPr>
      <w:r>
        <w:t>should be able to reach a minimum height of 5 meters in situ.</w:t>
      </w:r>
    </w:p>
    <w:p w14:paraId="4D6F364B" w14:textId="77777777" w:rsidR="00EA7989" w:rsidRDefault="00EA7989" w:rsidP="00582E08">
      <w:pPr>
        <w:pStyle w:val="FootnoteText"/>
      </w:pPr>
      <w:r>
        <w:t>2. Includes areas with young trees that have not yet reached but which are expected to reach a canopy cover of</w:t>
      </w:r>
    </w:p>
    <w:p w14:paraId="3E82B130" w14:textId="77777777" w:rsidR="00EA7989" w:rsidRDefault="00EA7989" w:rsidP="00582E08">
      <w:pPr>
        <w:pStyle w:val="FootnoteText"/>
      </w:pPr>
      <w:r>
        <w:t>10 percent and tree height of 5 meters. It also includes areas that are temporarily unstocked due to clear-cutting</w:t>
      </w:r>
    </w:p>
    <w:p w14:paraId="36D46564" w14:textId="77777777" w:rsidR="00EA7989" w:rsidRDefault="00EA7989" w:rsidP="00582E08">
      <w:pPr>
        <w:pStyle w:val="FootnoteText"/>
      </w:pPr>
      <w:r>
        <w:t>as part of a forest management practice or natural disasters, and which are expected to be regenerated within</w:t>
      </w:r>
    </w:p>
    <w:p w14:paraId="0D4276D6" w14:textId="77777777" w:rsidR="00EA7989" w:rsidRDefault="00EA7989" w:rsidP="00582E08">
      <w:pPr>
        <w:pStyle w:val="FootnoteText"/>
      </w:pPr>
      <w:r>
        <w:t>5 years. Local conditions may, in exceptional cases, justify that a longer time frame is used.</w:t>
      </w:r>
    </w:p>
    <w:p w14:paraId="49D5AA7C" w14:textId="77777777" w:rsidR="00EA7989" w:rsidRDefault="00EA7989" w:rsidP="00582E08">
      <w:pPr>
        <w:pStyle w:val="FootnoteText"/>
      </w:pPr>
      <w:r>
        <w:t>3. Includes forest roads, firebreaks and other small open areas; forest in national parks, nature reserves and other</w:t>
      </w:r>
    </w:p>
    <w:p w14:paraId="24FA4079" w14:textId="77777777" w:rsidR="00EA7989" w:rsidRDefault="00EA7989" w:rsidP="00582E08">
      <w:pPr>
        <w:pStyle w:val="FootnoteText"/>
      </w:pPr>
      <w:r>
        <w:t>protected areas such as those of specific environmental, scientific, historical, cultural or spiritual interest.</w:t>
      </w:r>
    </w:p>
    <w:p w14:paraId="2F882B3D" w14:textId="77777777" w:rsidR="00EA7989" w:rsidRDefault="00EA7989" w:rsidP="00582E08">
      <w:pPr>
        <w:pStyle w:val="FootnoteText"/>
      </w:pPr>
      <w:r>
        <w:t>4. Includes windbreaks, shelterbelts and corridors of trees with an area of more than 0.5 hectares and width of</w:t>
      </w:r>
    </w:p>
    <w:p w14:paraId="15EF8F5D" w14:textId="77777777" w:rsidR="00EA7989" w:rsidRDefault="00EA7989" w:rsidP="00582E08">
      <w:pPr>
        <w:pStyle w:val="FootnoteText"/>
      </w:pPr>
      <w:r>
        <w:t>more than 20 meters.</w:t>
      </w:r>
    </w:p>
    <w:p w14:paraId="225BB236" w14:textId="77777777" w:rsidR="00EA7989" w:rsidRDefault="00EA7989" w:rsidP="00582E08">
      <w:pPr>
        <w:pStyle w:val="FootnoteText"/>
      </w:pPr>
      <w:r>
        <w:t>5. Includes abandoned shifting cultivation land with a regeneration of trees that have, or are expected to reach,</w:t>
      </w:r>
    </w:p>
    <w:p w14:paraId="32D089C6" w14:textId="77777777" w:rsidR="00EA7989" w:rsidRDefault="00EA7989" w:rsidP="00582E08">
      <w:pPr>
        <w:pStyle w:val="FootnoteText"/>
      </w:pPr>
      <w:r>
        <w:t>a canopy cover of 10 percent and tree height of 5 meters.</w:t>
      </w:r>
    </w:p>
    <w:p w14:paraId="054247B3" w14:textId="77777777" w:rsidR="00EA7989" w:rsidRDefault="00EA7989" w:rsidP="00582E08">
      <w:pPr>
        <w:pStyle w:val="FootnoteText"/>
      </w:pPr>
      <w:r>
        <w:t>6. Includes areas with mangroves in tidal zones, regardless whether this area is classified as land area or not.</w:t>
      </w:r>
    </w:p>
    <w:p w14:paraId="5AC55E8A" w14:textId="77777777" w:rsidR="00EA7989" w:rsidRDefault="00EA7989" w:rsidP="00582E08">
      <w:pPr>
        <w:pStyle w:val="FootnoteText"/>
      </w:pPr>
      <w:r>
        <w:t>7. Includes rubber-wood, cork oak and Christmas tree plantations.</w:t>
      </w:r>
    </w:p>
    <w:p w14:paraId="60C8BD08" w14:textId="77777777" w:rsidR="00EA7989" w:rsidRDefault="00EA7989" w:rsidP="00582E08">
      <w:pPr>
        <w:pStyle w:val="FootnoteText"/>
      </w:pPr>
      <w:r>
        <w:t>8. Includes areas with bamboo and palms provided that land use, height and canopy cover criteria are met.</w:t>
      </w:r>
    </w:p>
    <w:p w14:paraId="1008C123" w14:textId="77777777" w:rsidR="00EA7989" w:rsidRDefault="00EA7989" w:rsidP="00582E08">
      <w:pPr>
        <w:pStyle w:val="FootnoteText"/>
      </w:pPr>
      <w:r>
        <w:t>9. Includes areas outside the legally designated forest land which meet the definition of “forest”.</w:t>
      </w:r>
    </w:p>
    <w:p w14:paraId="3AE61E67" w14:textId="77777777" w:rsidR="00EA7989" w:rsidRDefault="00EA7989" w:rsidP="00582E08">
      <w:pPr>
        <w:pStyle w:val="FootnoteText"/>
      </w:pPr>
      <w:r>
        <w:t>10. Excludes tree stands in agricultural production systems, such as fruit tree plantations, oil palm plantations,</w:t>
      </w:r>
    </w:p>
    <w:p w14:paraId="29292239" w14:textId="77777777" w:rsidR="00EA7989" w:rsidRDefault="00EA7989" w:rsidP="00582E08">
      <w:pPr>
        <w:pStyle w:val="FootnoteText"/>
      </w:pPr>
      <w:r>
        <w:t>olive orchards and agroforestry systems when crops are grown under tree cover. Note: Some agroforestry</w:t>
      </w:r>
    </w:p>
    <w:p w14:paraId="2A129F27" w14:textId="77777777" w:rsidR="00EA7989" w:rsidRDefault="00EA7989" w:rsidP="00582E08">
      <w:pPr>
        <w:pStyle w:val="FootnoteText"/>
      </w:pPr>
      <w:r>
        <w:t>systems such as the “Taungya” system where crops are grown only during the first years of the forest rotation</w:t>
      </w:r>
    </w:p>
    <w:p w14:paraId="1E6E349C" w14:textId="71A9BC04" w:rsidR="00EA7989" w:rsidRDefault="00EA7989" w:rsidP="00582E08">
      <w:pPr>
        <w:pStyle w:val="FootnoteText"/>
      </w:pPr>
      <w:r>
        <w:t>should be classified as forest.</w:t>
      </w:r>
    </w:p>
  </w:footnote>
  <w:footnote w:id="79">
    <w:p w14:paraId="1D345364" w14:textId="21A6876E" w:rsidR="00EA7989" w:rsidRPr="00DE1318" w:rsidRDefault="00EA7989">
      <w:pPr>
        <w:pStyle w:val="FootnoteText"/>
      </w:pPr>
      <w:r>
        <w:rPr>
          <w:rStyle w:val="FootnoteReference"/>
        </w:rPr>
        <w:footnoteRef/>
      </w:r>
      <w:r>
        <w:t xml:space="preserve"> </w:t>
      </w:r>
      <w:r w:rsidRPr="003B4180">
        <w:t>http://www.fao.org/3/ca8642en/online/ca8642en.html</w:t>
      </w:r>
    </w:p>
  </w:footnote>
  <w:footnote w:id="80">
    <w:p w14:paraId="110888B0" w14:textId="664CA908" w:rsidR="00EA7989" w:rsidRPr="00D07B8C" w:rsidRDefault="00EA7989">
      <w:pPr>
        <w:pStyle w:val="FootnoteText"/>
        <w:rPr>
          <w:lang w:val="en-IE"/>
        </w:rPr>
      </w:pPr>
      <w:r>
        <w:rPr>
          <w:rStyle w:val="FootnoteReference"/>
        </w:rPr>
        <w:footnoteRef/>
      </w:r>
      <w:r>
        <w:t xml:space="preserve"> </w:t>
      </w:r>
      <w:r w:rsidRPr="00B97954">
        <w:t>https://unfccc.int/sites/default/files/resource/docs/tp/tp0201.pdf</w:t>
      </w:r>
    </w:p>
  </w:footnote>
  <w:footnote w:id="81">
    <w:p w14:paraId="1C7AA41B" w14:textId="45E68098" w:rsidR="00EA7989" w:rsidRPr="00D07B8C" w:rsidRDefault="00EA7989">
      <w:pPr>
        <w:pStyle w:val="FootnoteText"/>
        <w:rPr>
          <w:lang w:val="en-IE"/>
        </w:rPr>
      </w:pPr>
      <w:r>
        <w:rPr>
          <w:rStyle w:val="FootnoteReference"/>
        </w:rPr>
        <w:footnoteRef/>
      </w:r>
      <w:r>
        <w:t xml:space="preserve"> </w:t>
      </w:r>
      <w:r w:rsidRPr="003029D3">
        <w:t>https://www.europarl.europa.eu/doceo/document/A-9-2020-0179_EN.html</w:t>
      </w:r>
    </w:p>
  </w:footnote>
  <w:footnote w:id="82">
    <w:p w14:paraId="2590B99F" w14:textId="57E6E4C7" w:rsidR="00EA7989" w:rsidRPr="00D07B8C" w:rsidRDefault="00EA7989">
      <w:pPr>
        <w:pStyle w:val="FootnoteText"/>
        <w:rPr>
          <w:lang w:val="en-IE"/>
        </w:rPr>
      </w:pPr>
      <w:r>
        <w:rPr>
          <w:rStyle w:val="FootnoteReference"/>
        </w:rPr>
        <w:footnoteRef/>
      </w:r>
      <w:r>
        <w:t xml:space="preserve"> </w:t>
      </w:r>
      <w:r w:rsidRPr="008006C7">
        <w:t>https://ec.europa.eu/commission/presscorner/detail/en/MEMO_19_1656</w:t>
      </w:r>
    </w:p>
  </w:footnote>
  <w:footnote w:id="83">
    <w:p w14:paraId="4F0DC24A" w14:textId="1C68BBA4" w:rsidR="00EA7989" w:rsidRPr="00D07B8C" w:rsidRDefault="00EA7989">
      <w:pPr>
        <w:pStyle w:val="FootnoteText"/>
        <w:rPr>
          <w:lang w:val="en-IE"/>
        </w:rPr>
      </w:pPr>
      <w:r>
        <w:rPr>
          <w:rStyle w:val="FootnoteReference"/>
        </w:rPr>
        <w:footnoteRef/>
      </w:r>
      <w:r>
        <w:t xml:space="preserve"> </w:t>
      </w:r>
      <w:r w:rsidRPr="006F4156">
        <w:t>https://www.rainforest-alliance.org/business/wp-content/uploads/2020/06/Annex-12-Additional-Detail-On-Requirements-For-No-conversion.pdf</w:t>
      </w:r>
    </w:p>
  </w:footnote>
  <w:footnote w:id="84">
    <w:p w14:paraId="127A913E" w14:textId="605F289A" w:rsidR="00EA7989" w:rsidRPr="00284A26" w:rsidRDefault="00EA7989">
      <w:pPr>
        <w:pStyle w:val="FootnoteText"/>
      </w:pPr>
      <w:r>
        <w:rPr>
          <w:rStyle w:val="FootnoteReference"/>
        </w:rPr>
        <w:footnoteRef/>
      </w:r>
      <w:r>
        <w:t xml:space="preserve"> </w:t>
      </w:r>
      <w:r w:rsidRPr="00FF0FB8">
        <w:t>https://www.greenpeace.org/static/planet4-malaysia-stateless/2021/03/f66b926f-destruction_certified_09_03_21.pdf</w:t>
      </w:r>
    </w:p>
  </w:footnote>
  <w:footnote w:id="85">
    <w:p w14:paraId="26F3562E" w14:textId="3D61E6C6" w:rsidR="00EA7989" w:rsidRPr="00D07B8C" w:rsidRDefault="00EA7989">
      <w:pPr>
        <w:pStyle w:val="FootnoteText"/>
        <w:rPr>
          <w:lang w:val="en-IE"/>
        </w:rPr>
      </w:pPr>
      <w:r>
        <w:rPr>
          <w:rStyle w:val="FootnoteReference"/>
        </w:rPr>
        <w:footnoteRef/>
      </w:r>
      <w:r>
        <w:t xml:space="preserve"> </w:t>
      </w:r>
      <w:r w:rsidRPr="00FF0FB8">
        <w:t>https://www.greenpeace.org/static/planet4-malaysia-stateless/2021/03/f66b926f-destruction_certified_09_03_21.pdf</w:t>
      </w:r>
    </w:p>
  </w:footnote>
  <w:footnote w:id="86">
    <w:p w14:paraId="66407413" w14:textId="6C9C4C76" w:rsidR="00EA7989" w:rsidRPr="00D07B8C" w:rsidRDefault="00EA7989">
      <w:pPr>
        <w:pStyle w:val="FootnoteText"/>
        <w:rPr>
          <w:lang w:val="en-IE"/>
        </w:rPr>
      </w:pPr>
      <w:r>
        <w:rPr>
          <w:rStyle w:val="FootnoteReference"/>
        </w:rPr>
        <w:footnoteRef/>
      </w:r>
      <w:r>
        <w:t xml:space="preserve"> </w:t>
      </w:r>
      <w:r w:rsidRPr="00CC67B6">
        <w:t>https://www.globalforestwatch.org/blog/data-and-research/tree-cover-loss-satellite-data-trend-analysis/</w:t>
      </w:r>
    </w:p>
  </w:footnote>
  <w:footnote w:id="87">
    <w:p w14:paraId="50E69FF5" w14:textId="77777777" w:rsidR="00EA7989" w:rsidRPr="00284A26" w:rsidRDefault="00EA7989" w:rsidP="00282E59">
      <w:pPr>
        <w:pStyle w:val="FootnoteText"/>
      </w:pPr>
      <w:r>
        <w:rPr>
          <w:rStyle w:val="FootnoteReference"/>
        </w:rPr>
        <w:footnoteRef/>
      </w:r>
      <w:r>
        <w:t xml:space="preserve"> </w:t>
      </w:r>
      <w:r w:rsidRPr="00E350BA">
        <w:t>Goal 15.2: “15.2 By 2020, promote the implementation of sustainable management of all types of forests, halt deforestation, restore degraded forests and substantially increase afforestation and reforestation globally</w:t>
      </w:r>
      <w:r>
        <w:t xml:space="preserve">.” </w:t>
      </w:r>
      <w:r w:rsidRPr="00511775">
        <w:t>https://sdgs.un.org/2030agenda</w:t>
      </w:r>
    </w:p>
  </w:footnote>
  <w:footnote w:id="88">
    <w:p w14:paraId="103B5EAD" w14:textId="7647D45D" w:rsidR="00EA7989" w:rsidRPr="00284A26" w:rsidRDefault="00EA7989">
      <w:pPr>
        <w:pStyle w:val="FootnoteText"/>
      </w:pPr>
      <w:r>
        <w:rPr>
          <w:rStyle w:val="FootnoteReference"/>
        </w:rPr>
        <w:footnoteRef/>
      </w:r>
      <w:r>
        <w:t xml:space="preserve"> </w:t>
      </w:r>
      <w:r w:rsidRPr="00511775">
        <w:t>https://forestdeclaration.org/</w:t>
      </w:r>
    </w:p>
  </w:footnote>
  <w:footnote w:id="89">
    <w:p w14:paraId="55EBAB6B" w14:textId="4A55CD6D" w:rsidR="00EA7989" w:rsidRPr="00E7608D" w:rsidRDefault="00EA7989" w:rsidP="00841C68">
      <w:pPr>
        <w:pStyle w:val="FootnoteText"/>
        <w:jc w:val="both"/>
      </w:pPr>
      <w:r>
        <w:rPr>
          <w:rStyle w:val="FootnoteReference"/>
        </w:rPr>
        <w:footnoteRef/>
      </w:r>
      <w:r>
        <w:t xml:space="preserve"> One example would be the freely available high-resolution satellite imagery of tropical forests, updated monthly, put in place by Norway’s Ministry of Climate and Environment and the satellite monitoring group Planet. These use</w:t>
      </w:r>
      <w:r w:rsidRPr="00E7608D">
        <w:t xml:space="preserve"> satellites to capture images of the Earth on a daily basis. The best images from a given month are stitched together into a seamless, cloudless, mosaic. These monthly mosaics give users a clear picture of where deforestation is happening and how it has progressed over time.</w:t>
      </w:r>
      <w:r>
        <w:t xml:space="preserve"> These monthly high-resolution images are available since 2020. More information here: </w:t>
      </w:r>
      <w:r w:rsidRPr="00E7608D">
        <w:t>https://www.planet.com/explorer/#/mosaic/45d01564-c099-42d8-b8f2-a0851accf3e7.planet_medres_visual_2021-02_mosaic/zoom/2.3</w:t>
      </w:r>
    </w:p>
  </w:footnote>
  <w:footnote w:id="90">
    <w:p w14:paraId="15AC7B12" w14:textId="77777777" w:rsidR="00EA7989" w:rsidRDefault="00EA7989" w:rsidP="00005227">
      <w:pPr>
        <w:pStyle w:val="FootnoteText"/>
      </w:pPr>
      <w:r>
        <w:rPr>
          <w:rStyle w:val="FootnoteReference"/>
        </w:rPr>
        <w:footnoteRef/>
      </w:r>
      <w:r>
        <w:t xml:space="preserve"> S</w:t>
      </w:r>
      <w:r w:rsidRPr="002E5D29">
        <w:t>tudy commissioned by the European Commission, DG ENV: “</w:t>
      </w:r>
      <w:r w:rsidRPr="002E5D29">
        <w:rPr>
          <w:i/>
        </w:rPr>
        <w:t>Study on EU forest policy: Impact assessment on demand side measures to address deforestation, Final Report.</w:t>
      </w:r>
      <w:r>
        <w:rPr>
          <w:i/>
        </w:rPr>
        <w:t>”</w:t>
      </w:r>
    </w:p>
  </w:footnote>
  <w:footnote w:id="91">
    <w:p w14:paraId="261A660E" w14:textId="03326EFE" w:rsidR="00EA7989" w:rsidRPr="004559DB" w:rsidRDefault="00EA7989">
      <w:pPr>
        <w:pStyle w:val="FootnoteText"/>
      </w:pPr>
      <w:r>
        <w:rPr>
          <w:rStyle w:val="FootnoteReference"/>
        </w:rPr>
        <w:footnoteRef/>
      </w:r>
      <w:r>
        <w:t xml:space="preserve"> </w:t>
      </w:r>
      <w:r w:rsidRPr="004559DB">
        <w:t>https://ec.europa.eu/environment/forests/pdf/1.%20Report%20analysis%20of%20impact.pdf</w:t>
      </w:r>
    </w:p>
  </w:footnote>
  <w:footnote w:id="92">
    <w:p w14:paraId="58DE42A2" w14:textId="46A0317E" w:rsidR="00EA7989" w:rsidRPr="00CB1E90" w:rsidRDefault="00EA7989">
      <w:pPr>
        <w:pStyle w:val="FootnoteText"/>
      </w:pPr>
      <w:r>
        <w:rPr>
          <w:rStyle w:val="FootnoteReference"/>
        </w:rPr>
        <w:footnoteRef/>
      </w:r>
      <w:r>
        <w:t xml:space="preserve"> </w:t>
      </w:r>
      <w:r w:rsidRPr="00CB1E90">
        <w:t>https://www.wri.org/research/estimating-role-seven-commodities-agriculture-linked-deforestation-oil-palm-soy-cattle</w:t>
      </w:r>
    </w:p>
  </w:footnote>
  <w:footnote w:id="93">
    <w:p w14:paraId="18B85A39" w14:textId="07A69EE2" w:rsidR="00EA7989" w:rsidRPr="00CB1E90" w:rsidRDefault="00EA7989">
      <w:pPr>
        <w:pStyle w:val="FootnoteText"/>
      </w:pPr>
      <w:r>
        <w:rPr>
          <w:rStyle w:val="FootnoteReference"/>
        </w:rPr>
        <w:footnoteRef/>
      </w:r>
      <w:r>
        <w:t xml:space="preserve"> </w:t>
      </w:r>
      <w:r w:rsidRPr="00CB1E90">
        <w:t>https://iopscience.iop.org/article/10.1088/1748-9326/ab0d41/pdf</w:t>
      </w:r>
    </w:p>
  </w:footnote>
  <w:footnote w:id="94">
    <w:p w14:paraId="2D14E6B7" w14:textId="4833019D" w:rsidR="00EA7989" w:rsidRPr="00135398" w:rsidRDefault="00EA7989">
      <w:pPr>
        <w:pStyle w:val="FootnoteText"/>
      </w:pPr>
      <w:r w:rsidRPr="00CB0303">
        <w:rPr>
          <w:rStyle w:val="FootnoteReference"/>
        </w:rPr>
        <w:footnoteRef/>
      </w:r>
      <w:r w:rsidRPr="00CB0303">
        <w:t xml:space="preserve"> Deforestation and forest degradation impacts of EU consumption.</w:t>
      </w:r>
    </w:p>
  </w:footnote>
  <w:footnote w:id="95">
    <w:p w14:paraId="0AFCC60C" w14:textId="77777777" w:rsidR="00524432" w:rsidRPr="00846DFF" w:rsidRDefault="00524432" w:rsidP="00524432">
      <w:pPr>
        <w:pStyle w:val="FootnoteText"/>
        <w:rPr>
          <w:lang w:val="pl-PL"/>
        </w:rPr>
      </w:pPr>
      <w:r>
        <w:rPr>
          <w:rStyle w:val="FootnoteReference"/>
        </w:rPr>
        <w:footnoteRef/>
      </w:r>
      <w:r w:rsidRPr="00846DFF">
        <w:rPr>
          <w:lang w:val="pl-PL"/>
        </w:rPr>
        <w:t xml:space="preserve"> Pendrill F., Persson U. M., Kastner, T. 2020.</w:t>
      </w:r>
    </w:p>
  </w:footnote>
  <w:footnote w:id="96">
    <w:p w14:paraId="7DE3A627" w14:textId="07E1A1EF" w:rsidR="00EA7989" w:rsidRDefault="00EA7989">
      <w:pPr>
        <w:pStyle w:val="FootnoteText"/>
      </w:pPr>
      <w:r>
        <w:rPr>
          <w:rStyle w:val="FootnoteReference"/>
        </w:rPr>
        <w:footnoteRef/>
      </w:r>
      <w:r>
        <w:t xml:space="preserve"> Average annual imports 2015-2019 extracted from Comext using the HS codes mentioned in the table presented later in this section. For rubber HS40 and for maize HS1005 were used. </w:t>
      </w:r>
    </w:p>
  </w:footnote>
  <w:footnote w:id="97">
    <w:p w14:paraId="6C5BC4F0" w14:textId="77777777" w:rsidR="00EA7989" w:rsidRPr="00A34516" w:rsidRDefault="00EA7989" w:rsidP="004A27E4">
      <w:pPr>
        <w:pStyle w:val="FootnoteText"/>
        <w:jc w:val="both"/>
        <w:rPr>
          <w:rFonts w:eastAsia="Calibri" w:cs="Times New Roman"/>
          <w:lang w:val="da-DK"/>
        </w:rPr>
      </w:pPr>
      <w:r w:rsidRPr="009730A8">
        <w:rPr>
          <w:rStyle w:val="FootnoteReference"/>
          <w:rFonts w:cs="Times New Roman"/>
        </w:rPr>
        <w:footnoteRef/>
      </w:r>
      <w:r w:rsidRPr="00564121">
        <w:rPr>
          <w:rFonts w:cs="Times New Roman"/>
          <w:lang w:val="en-US"/>
        </w:rPr>
        <w:t xml:space="preserve"> </w:t>
      </w:r>
      <w:r w:rsidRPr="00564121">
        <w:rPr>
          <w:rFonts w:eastAsia="Calibri" w:cs="Times New Roman"/>
          <w:lang w:val="en-US"/>
        </w:rPr>
        <w:t xml:space="preserve">Goldman, E., M.J. Weisse, N. Harris, and M. Schneider. </w:t>
      </w:r>
      <w:r w:rsidRPr="00077C36">
        <w:rPr>
          <w:rFonts w:eastAsia="Calibri" w:cs="Times New Roman"/>
        </w:rPr>
        <w:t xml:space="preserve">2020. Estimating the Role of Seven Commodities in Agriculture-Linked Deforestation: Oil Palm, Soy, Cattle, Wood Fiber, Cocoa, Coffee, and Rubber. Technical Note. Washington, DC: World Resources Institute. Available at wri.org/publication/estimating-the-role-of-sevencommodities-in-agriculture-linked-deforestation; FAO and UNEP. 2020. The State of the World’s Forests 2020. Forests, biodiversity and people. </w:t>
      </w:r>
      <w:r w:rsidRPr="006C2B77">
        <w:rPr>
          <w:rFonts w:eastAsia="Calibri" w:cs="Times New Roman"/>
          <w:lang w:val="da-DK"/>
        </w:rPr>
        <w:t xml:space="preserve">Rome. Available at </w:t>
      </w:r>
      <w:hyperlink r:id="rId20" w:history="1">
        <w:r w:rsidRPr="006C2B77">
          <w:rPr>
            <w:rFonts w:eastAsia="Calibri" w:cs="Times New Roman"/>
            <w:lang w:val="da-DK"/>
          </w:rPr>
          <w:t>https://doi.org/10.4060/ca8642en</w:t>
        </w:r>
      </w:hyperlink>
      <w:r w:rsidRPr="006C2B77">
        <w:rPr>
          <w:rFonts w:eastAsia="Calibri" w:cs="Times New Roman"/>
          <w:lang w:val="da-DK"/>
        </w:rPr>
        <w:t xml:space="preserve">; Henders, S., Persson, U.M.,  Kastner, T. 2015. </w:t>
      </w:r>
      <w:r w:rsidRPr="00077C36">
        <w:rPr>
          <w:rFonts w:eastAsia="Calibri" w:cs="Times New Roman"/>
        </w:rPr>
        <w:t xml:space="preserve">Trading forests: landuse change and carbon emissions embodied in production and exports of forest-risk commodities. Environmental Research Letters 10, no. 12, </w:t>
      </w:r>
      <w:r>
        <w:rPr>
          <w:rFonts w:eastAsia="Calibri" w:cs="Times New Roman"/>
        </w:rPr>
        <w:t>Available at</w:t>
      </w:r>
      <w:r w:rsidRPr="00077C36">
        <w:rPr>
          <w:rFonts w:eastAsia="Calibri" w:cs="Times New Roman"/>
        </w:rPr>
        <w:t xml:space="preserve"> doi:10.1088/1748-9326/10/12/125012; VITO. 2013. The impact of EU consumption on deforestation: Comprehensive analysis of the impact; Ordway</w:t>
      </w:r>
      <w:r>
        <w:rPr>
          <w:rFonts w:eastAsia="Calibri" w:cs="Times New Roman"/>
        </w:rPr>
        <w:t xml:space="preserve"> E. M</w:t>
      </w:r>
      <w:r w:rsidRPr="00077C36">
        <w:rPr>
          <w:rFonts w:eastAsia="Calibri" w:cs="Times New Roman"/>
        </w:rPr>
        <w:t xml:space="preserve">, Asner </w:t>
      </w:r>
      <w:r>
        <w:rPr>
          <w:rFonts w:eastAsia="Calibri" w:cs="Times New Roman"/>
        </w:rPr>
        <w:t>G. P.,</w:t>
      </w:r>
      <w:r w:rsidRPr="00077C36">
        <w:rPr>
          <w:rFonts w:eastAsia="Calibri" w:cs="Times New Roman"/>
        </w:rPr>
        <w:t xml:space="preserve"> Lambin</w:t>
      </w:r>
      <w:r>
        <w:rPr>
          <w:rFonts w:eastAsia="Calibri" w:cs="Times New Roman"/>
        </w:rPr>
        <w:t xml:space="preserve"> E. F</w:t>
      </w:r>
      <w:r w:rsidRPr="00077C36">
        <w:rPr>
          <w:rFonts w:eastAsia="Calibri" w:cs="Times New Roman"/>
        </w:rPr>
        <w:t>. 2017. Deforestation risk due to commodity crop expansion in sub-Saharan Africa</w:t>
      </w:r>
      <w:r>
        <w:rPr>
          <w:rFonts w:eastAsia="Calibri" w:cs="Times New Roman"/>
        </w:rPr>
        <w:t xml:space="preserve">. Environmental Research Letters 12:4. Available at </w:t>
      </w:r>
      <w:r w:rsidRPr="0083210C">
        <w:rPr>
          <w:rFonts w:eastAsia="Calibri" w:cs="Times New Roman"/>
        </w:rPr>
        <w:t>https://iopscience.iop.org/article/10.1088/1748-9326/aa6509</w:t>
      </w:r>
      <w:r w:rsidRPr="00077C36">
        <w:rPr>
          <w:rFonts w:eastAsia="Calibri" w:cs="Times New Roman"/>
        </w:rPr>
        <w:t xml:space="preserve">; </w:t>
      </w:r>
      <w:r w:rsidRPr="009B69D9">
        <w:rPr>
          <w:rFonts w:eastAsia="Calibri" w:cs="Times New Roman"/>
        </w:rPr>
        <w:t xml:space="preserve">Hylander et al. (2013), </w:t>
      </w:r>
      <w:r w:rsidRPr="00077C36">
        <w:rPr>
          <w:rFonts w:eastAsia="Calibri" w:cs="Times New Roman"/>
        </w:rPr>
        <w:t xml:space="preserve">Effects of coffee management on deforestation rates and forest integrity, </w:t>
      </w:r>
      <w:hyperlink r:id="rId21" w:history="1">
        <w:r w:rsidRPr="009B69D9">
          <w:rPr>
            <w:rFonts w:eastAsia="Calibri" w:cs="Times New Roman"/>
          </w:rPr>
          <w:t>https://pubmed.ncbi.nlm.nih.gov/23772911/</w:t>
        </w:r>
      </w:hyperlink>
      <w:r w:rsidRPr="00077C36">
        <w:rPr>
          <w:rFonts w:eastAsia="Calibri" w:cs="Times New Roman"/>
        </w:rPr>
        <w:t xml:space="preserve">; </w:t>
      </w:r>
      <w:r w:rsidRPr="009B69D9">
        <w:rPr>
          <w:rFonts w:eastAsia="Calibri" w:cs="Times New Roman"/>
        </w:rPr>
        <w:t>Pirker</w:t>
      </w:r>
      <w:r w:rsidRPr="00077C36">
        <w:rPr>
          <w:rFonts w:eastAsia="Calibri" w:cs="Times New Roman"/>
          <w:lang w:val="en-US"/>
        </w:rPr>
        <w:t>, J., Mosnier, A., Kraxner, F., Havlík, P., &amp; Obersteiner, M. (</w:t>
      </w:r>
      <w:r w:rsidRPr="009B69D9">
        <w:rPr>
          <w:rFonts w:eastAsia="Calibri" w:cs="Times New Roman"/>
        </w:rPr>
        <w:t xml:space="preserve">2016). </w:t>
      </w:r>
      <w:r w:rsidRPr="00077C36">
        <w:rPr>
          <w:rFonts w:eastAsia="Calibri" w:cs="Times New Roman"/>
        </w:rPr>
        <w:t xml:space="preserve">What are the limits to oil palm expansion?. </w:t>
      </w:r>
      <w:r w:rsidRPr="009B69D9">
        <w:rPr>
          <w:rFonts w:eastAsia="Calibri" w:cs="Times New Roman"/>
        </w:rPr>
        <w:t xml:space="preserve">Global Environmental Change, 40, 73-81. </w:t>
      </w:r>
      <w:hyperlink r:id="rId22" w:history="1">
        <w:r w:rsidRPr="009B69D9">
          <w:rPr>
            <w:rFonts w:eastAsia="Calibri" w:cs="Times New Roman"/>
          </w:rPr>
          <w:t>https://www.sciencedirect.com/science/article/pii/S0959378016300814</w:t>
        </w:r>
      </w:hyperlink>
      <w:r w:rsidRPr="00077C36">
        <w:rPr>
          <w:rFonts w:eastAsia="Calibri" w:cs="Times New Roman"/>
        </w:rPr>
        <w:t>;</w:t>
      </w:r>
      <w:r w:rsidRPr="009B69D9">
        <w:rPr>
          <w:rFonts w:eastAsia="Calibri" w:cs="Times New Roman"/>
        </w:rPr>
        <w:t xml:space="preserve"> </w:t>
      </w:r>
      <w:r w:rsidRPr="00077C36">
        <w:rPr>
          <w:rFonts w:eastAsia="Calibri" w:cs="Times New Roman"/>
        </w:rPr>
        <w:t xml:space="preserve">Strona G, Stringerb SD, Vieilledenta G, Szantoia Z, Garcia-Ulloa J, Wich SA. 2018. </w:t>
      </w:r>
      <w:r w:rsidRPr="00077C36">
        <w:rPr>
          <w:rFonts w:eastAsia="Calibri" w:cs="Times New Roman"/>
          <w:lang w:val="en-US"/>
        </w:rPr>
        <w:t>Small room for compromise between oil palm cultivation and primate conservation in Africa. Proceedings of the National Academy of Sciences of the United States of America 115(35):8811–8816 DOI 10.1073/pnas.1804775115.</w:t>
      </w:r>
      <w:r w:rsidRPr="00883F22">
        <w:rPr>
          <w:rFonts w:cs="Times New Roman"/>
        </w:rPr>
        <w:t xml:space="preserve"> Estrada A, Garber PA, Chaudhary A. 2019. Expanding global commodities trade and consumption place the world’s primates at risk of extinction. </w:t>
      </w:r>
      <w:r w:rsidRPr="00C348FD">
        <w:rPr>
          <w:rFonts w:cs="Times New Roman"/>
          <w:lang w:val="da-DK"/>
        </w:rPr>
        <w:t>PeerJ 7:e7068 DOI 10.7717</w:t>
      </w:r>
      <w:r w:rsidRPr="00456864">
        <w:rPr>
          <w:rFonts w:cs="Times New Roman"/>
          <w:lang w:val="da-DK"/>
        </w:rPr>
        <w:t xml:space="preserve">/peerj.7068 </w:t>
      </w:r>
    </w:p>
  </w:footnote>
  <w:footnote w:id="98">
    <w:p w14:paraId="179F20E7" w14:textId="77777777" w:rsidR="00EA7989" w:rsidRPr="00077C36" w:rsidRDefault="00EA7989" w:rsidP="004A27E4">
      <w:pPr>
        <w:pStyle w:val="FootnoteText"/>
        <w:jc w:val="both"/>
        <w:rPr>
          <w:rFonts w:cs="Times New Roman"/>
          <w:lang w:val="da-DK"/>
        </w:rPr>
      </w:pPr>
      <w:r w:rsidRPr="00077C36">
        <w:rPr>
          <w:rStyle w:val="FootnoteReference"/>
          <w:rFonts w:cs="Times New Roman"/>
        </w:rPr>
        <w:footnoteRef/>
      </w:r>
      <w:r w:rsidRPr="00077C36">
        <w:rPr>
          <w:rFonts w:cs="Times New Roman"/>
          <w:lang w:val="da-DK"/>
        </w:rPr>
        <w:t xml:space="preserve"> Partiti (2020); Goldman, et al. (2020); VITO (2013); Pendrill et al. 2019; FAO and UNEP (2020); Henders et al. (2015)</w:t>
      </w:r>
    </w:p>
  </w:footnote>
  <w:footnote w:id="99">
    <w:p w14:paraId="4EBDFF2E" w14:textId="77777777" w:rsidR="00EA7989" w:rsidRPr="00B07F5F" w:rsidRDefault="00EA7989" w:rsidP="004A27E4">
      <w:pPr>
        <w:pStyle w:val="FootnoteText"/>
        <w:jc w:val="both"/>
        <w:rPr>
          <w:rFonts w:cs="Times New Roman"/>
          <w:lang w:val="en-US"/>
        </w:rPr>
      </w:pPr>
      <w:r w:rsidRPr="00077C36">
        <w:rPr>
          <w:rStyle w:val="FootnoteReference"/>
          <w:rFonts w:cs="Times New Roman"/>
        </w:rPr>
        <w:footnoteRef/>
      </w:r>
      <w:r w:rsidRPr="00077C36">
        <w:rPr>
          <w:rFonts w:cs="Times New Roman"/>
          <w:lang w:val="da-DK"/>
        </w:rPr>
        <w:t xml:space="preserve">; Goldman, et al. (2020); Pendrill et al. 2019; FAO and UNEP (2020); Henders et al. </w:t>
      </w:r>
      <w:r w:rsidRPr="00B07F5F">
        <w:rPr>
          <w:rFonts w:cs="Times New Roman"/>
          <w:lang w:val="en-US"/>
        </w:rPr>
        <w:t>(2015)</w:t>
      </w:r>
    </w:p>
  </w:footnote>
  <w:footnote w:id="100">
    <w:p w14:paraId="5F8E2865" w14:textId="195317F2" w:rsidR="00EA7989" w:rsidRPr="00953AAD" w:rsidRDefault="00EA7989">
      <w:pPr>
        <w:pStyle w:val="FootnoteText"/>
      </w:pPr>
      <w:r>
        <w:rPr>
          <w:rStyle w:val="FootnoteReference"/>
        </w:rPr>
        <w:footnoteRef/>
      </w:r>
      <w:r>
        <w:t xml:space="preserve"> </w:t>
      </w:r>
      <w:r w:rsidRPr="00CE4822">
        <w:t>The cost-benefit analysis (table 1) is based on HS codes that correspond to “beef." ”Cattle” is however preferred across the document as it would allow for the progressive scope to be enlarged to derived products such as leather, which is a relevant factor of deforestation according to literature and feedback from stakeholders — which should be properly studied in the impact assessment foreseen to extend the product scope downstream.</w:t>
      </w:r>
    </w:p>
  </w:footnote>
  <w:footnote w:id="101">
    <w:p w14:paraId="69F36991" w14:textId="77777777" w:rsidR="00EA7989" w:rsidRPr="00B07F5F" w:rsidRDefault="00EA7989" w:rsidP="004A27E4">
      <w:pPr>
        <w:pStyle w:val="FootnoteText"/>
        <w:jc w:val="both"/>
        <w:rPr>
          <w:rFonts w:eastAsia="Calibri" w:cs="Times New Roman"/>
          <w:sz w:val="18"/>
        </w:rPr>
      </w:pPr>
      <w:r w:rsidRPr="00077C36">
        <w:rPr>
          <w:rStyle w:val="FootnoteReference"/>
          <w:rFonts w:cs="Times New Roman"/>
        </w:rPr>
        <w:footnoteRef/>
      </w:r>
      <w:r w:rsidRPr="00B07F5F">
        <w:rPr>
          <w:rFonts w:cs="Times New Roman"/>
        </w:rPr>
        <w:t xml:space="preserve"> </w:t>
      </w:r>
      <w:r w:rsidRPr="00B07F5F">
        <w:rPr>
          <w:rFonts w:eastAsia="Calibri" w:cs="Times New Roman"/>
        </w:rPr>
        <w:t xml:space="preserve">Earthsight. 2020. Grand theft chaco; Goldman et al. 2020; FAO and UNEP (2020); Henders, et al (2015); VITO. 2013. </w:t>
      </w:r>
    </w:p>
  </w:footnote>
  <w:footnote w:id="102">
    <w:p w14:paraId="3A25C20F" w14:textId="77777777" w:rsidR="00EA7989" w:rsidRPr="005D6D16" w:rsidRDefault="00EA7989" w:rsidP="004A27E4">
      <w:pPr>
        <w:pStyle w:val="FootnoteText"/>
        <w:jc w:val="both"/>
        <w:rPr>
          <w:rFonts w:cs="Times New Roman"/>
          <w:lang w:val="en-US"/>
        </w:rPr>
      </w:pPr>
      <w:r w:rsidRPr="00077C36">
        <w:rPr>
          <w:rStyle w:val="FootnoteReference"/>
          <w:rFonts w:cs="Times New Roman"/>
        </w:rPr>
        <w:footnoteRef/>
      </w:r>
      <w:r w:rsidRPr="00077C36">
        <w:rPr>
          <w:rFonts w:cs="Times New Roman"/>
          <w:lang w:val="da-DK"/>
        </w:rPr>
        <w:t xml:space="preserve"> Goldman, et al. </w:t>
      </w:r>
      <w:r w:rsidRPr="00F462B0">
        <w:rPr>
          <w:rFonts w:cs="Times New Roman"/>
          <w:lang w:val="da-DK"/>
        </w:rPr>
        <w:t>(2020);</w:t>
      </w:r>
      <w:r w:rsidRPr="00F462B0">
        <w:rPr>
          <w:rFonts w:eastAsia="Calibri" w:cs="Times New Roman"/>
          <w:lang w:val="da-DK"/>
        </w:rPr>
        <w:t xml:space="preserve"> Hylander et al. </w:t>
      </w:r>
      <w:r w:rsidRPr="00077C36">
        <w:rPr>
          <w:rFonts w:eastAsia="Calibri" w:cs="Times New Roman"/>
          <w:lang w:val="en-US"/>
        </w:rPr>
        <w:t>(2013)</w:t>
      </w:r>
      <w:r w:rsidRPr="00077C36">
        <w:rPr>
          <w:rFonts w:eastAsia="Calibri" w:cs="Times New Roman"/>
          <w:sz w:val="22"/>
          <w:szCs w:val="22"/>
          <w:lang w:val="en-US"/>
        </w:rPr>
        <w:t xml:space="preserve"> </w:t>
      </w:r>
      <w:r w:rsidRPr="00077C36">
        <w:rPr>
          <w:rFonts w:eastAsia="Calibri" w:cs="Times New Roman"/>
          <w:lang w:val="en-US"/>
        </w:rPr>
        <w:t xml:space="preserve">VITO. 2013; IDH (2020) The urgency of action to tackle tropical deforestation. February 2020. Prepared for IDH by FACTS Consulting, COWI A/S and AlphaBeta Singapore. </w:t>
      </w:r>
      <w:r w:rsidRPr="005D6D16">
        <w:rPr>
          <w:rFonts w:eastAsia="Calibri" w:cs="Times New Roman"/>
          <w:lang w:val="en-US"/>
        </w:rPr>
        <w:t>IDH: Utrecht, the Netherlands.</w:t>
      </w:r>
    </w:p>
  </w:footnote>
  <w:footnote w:id="103">
    <w:p w14:paraId="55927FE1" w14:textId="77777777" w:rsidR="00EA7989" w:rsidRPr="00077C36" w:rsidRDefault="00EA7989" w:rsidP="004A27E4">
      <w:pPr>
        <w:pStyle w:val="FootnoteText"/>
        <w:jc w:val="both"/>
      </w:pPr>
      <w:r w:rsidRPr="00077C36">
        <w:rPr>
          <w:rStyle w:val="FootnoteReference"/>
          <w:rFonts w:cs="Times New Roman"/>
        </w:rPr>
        <w:footnoteRef/>
      </w:r>
      <w:r w:rsidRPr="005D6D16">
        <w:rPr>
          <w:rFonts w:cs="Times New Roman"/>
          <w:lang w:val="en-US"/>
        </w:rPr>
        <w:t xml:space="preserve">  Goldman, et al. (2020); Hylander et al. (2013); IDH (2020); CBI. 2019. </w:t>
      </w:r>
      <w:r w:rsidRPr="00077C36">
        <w:rPr>
          <w:rFonts w:cs="Times New Roman"/>
        </w:rPr>
        <w:t xml:space="preserve">What is the demand for coffee on the European market? </w:t>
      </w:r>
      <w:hyperlink r:id="rId23" w:history="1">
        <w:r w:rsidRPr="00335774">
          <w:rPr>
            <w:rFonts w:eastAsia="Calibri"/>
          </w:rPr>
          <w:t>https://www.cbi.eu/market-information/coffee/trade-statistics</w:t>
        </w:r>
      </w:hyperlink>
      <w:r w:rsidRPr="00335774">
        <w:rPr>
          <w:rFonts w:eastAsia="Calibri" w:cs="Times New Roman"/>
        </w:rPr>
        <w:t xml:space="preserve"> ;  Conservation International. </w:t>
      </w:r>
      <w:r w:rsidRPr="009B69D9">
        <w:rPr>
          <w:rFonts w:eastAsia="Calibri" w:cs="Times New Roman"/>
        </w:rPr>
        <w:t xml:space="preserve">2016. Coffee in the 21st Century, </w:t>
      </w:r>
      <w:hyperlink r:id="rId24" w:history="1">
        <w:r w:rsidRPr="009B69D9">
          <w:rPr>
            <w:rFonts w:eastAsia="Calibri"/>
          </w:rPr>
          <w:t>https://www.conservation.org/docs/default-source/publication-pdfs/ci-coffee-report.pdf</w:t>
        </w:r>
      </w:hyperlink>
      <w:r>
        <w:t xml:space="preserve"> </w:t>
      </w:r>
    </w:p>
  </w:footnote>
  <w:footnote w:id="104">
    <w:p w14:paraId="34A04B37" w14:textId="77777777" w:rsidR="00EA7989" w:rsidRPr="00162EB8" w:rsidRDefault="00EA7989" w:rsidP="00441B18">
      <w:pPr>
        <w:pStyle w:val="FootnoteText"/>
      </w:pPr>
      <w:r>
        <w:rPr>
          <w:rStyle w:val="FootnoteReference"/>
        </w:rPr>
        <w:footnoteRef/>
      </w:r>
      <w:r w:rsidRPr="00162EB8">
        <w:t xml:space="preserve"> http://www.coceral.com/data/162192986321ENV047%20COCERAL-FEDIOL-FEFAC_Due%20Diligence%20position_210423.pdf</w:t>
      </w:r>
    </w:p>
  </w:footnote>
  <w:footnote w:id="105">
    <w:p w14:paraId="6246D932" w14:textId="232BBD00" w:rsidR="00EA7989" w:rsidRPr="00DC6D4E" w:rsidRDefault="00EA7989" w:rsidP="00DC6D4E">
      <w:pPr>
        <w:pStyle w:val="FootnoteText"/>
      </w:pPr>
      <w:r w:rsidRPr="000A50FE">
        <w:rPr>
          <w:rStyle w:val="FootnoteReference"/>
          <w:vertAlign w:val="baseline"/>
        </w:rPr>
        <w:footnoteRef/>
      </w:r>
      <w:r w:rsidRPr="00DC6D4E">
        <w:t xml:space="preserve"> Study on EU forest policy. Impact assessment on demand-side measures to address deforestation. </w:t>
      </w:r>
    </w:p>
  </w:footnote>
  <w:footnote w:id="106">
    <w:p w14:paraId="1A3F257F" w14:textId="77777777" w:rsidR="00EA7989" w:rsidRPr="000A50FE" w:rsidRDefault="00EA7989" w:rsidP="006E09F6">
      <w:pPr>
        <w:pStyle w:val="FootnoteText"/>
      </w:pPr>
      <w:r w:rsidRPr="000A50FE">
        <w:rPr>
          <w:rStyle w:val="FootnoteReference"/>
          <w:vertAlign w:val="baseline"/>
        </w:rPr>
        <w:footnoteRef/>
      </w:r>
      <w:r w:rsidRPr="000A50FE">
        <w:t xml:space="preserve"> European Commission, DG AGRI (2020), EU Agricultural Outlook, </w:t>
      </w:r>
      <w:hyperlink r:id="rId25" w:history="1">
        <w:r w:rsidRPr="000A50FE">
          <w:rPr>
            <w:rStyle w:val="Hyperlink"/>
            <w:color w:val="auto"/>
            <w:u w:val="none"/>
          </w:rPr>
          <w:t>https://ec.europa.eu/info/sites/info/files/food-farming-fisheries/farming/documents/agricultural-outlook-2020-report_en.pdf</w:t>
        </w:r>
      </w:hyperlink>
      <w:r w:rsidRPr="000A50FE">
        <w:t xml:space="preserve"> </w:t>
      </w:r>
    </w:p>
  </w:footnote>
  <w:footnote w:id="107">
    <w:p w14:paraId="038E33BC" w14:textId="77777777" w:rsidR="00EA7989" w:rsidRPr="000A50FE" w:rsidRDefault="00EA7989" w:rsidP="006E09F6">
      <w:pPr>
        <w:pStyle w:val="FootnoteText"/>
      </w:pPr>
      <w:r w:rsidRPr="000A50FE">
        <w:rPr>
          <w:rStyle w:val="FootnoteReference"/>
          <w:vertAlign w:val="baseline"/>
        </w:rPr>
        <w:footnoteRef/>
      </w:r>
      <w:r w:rsidRPr="000A50FE">
        <w:t xml:space="preserve"> OECD-FAO (2020), Agricultural Outlook 2020-2029, </w:t>
      </w:r>
      <w:hyperlink r:id="rId26" w:history="1">
        <w:r w:rsidRPr="000A50FE">
          <w:rPr>
            <w:rStyle w:val="Hyperlink"/>
            <w:color w:val="auto"/>
            <w:u w:val="none"/>
          </w:rPr>
          <w:t>https://stats.oecd.org/Index.aspx?datasetcode=HIGH_AGLINK_2019</w:t>
        </w:r>
      </w:hyperlink>
      <w:r w:rsidRPr="000A50FE">
        <w:t xml:space="preserve"> </w:t>
      </w:r>
    </w:p>
  </w:footnote>
  <w:footnote w:id="108">
    <w:p w14:paraId="0163686D" w14:textId="77777777" w:rsidR="00EA7989" w:rsidRPr="000A50FE" w:rsidRDefault="00EA7989" w:rsidP="006E09F6">
      <w:pPr>
        <w:pStyle w:val="FootnoteText"/>
      </w:pPr>
      <w:r w:rsidRPr="000A50FE">
        <w:rPr>
          <w:rStyle w:val="FootnoteReference"/>
          <w:vertAlign w:val="baseline"/>
        </w:rPr>
        <w:footnoteRef/>
      </w:r>
      <w:r w:rsidRPr="000A50FE">
        <w:t xml:space="preserve"> Jonsson et al. (2021), Boosting the EU forest-based bioeconomy: Market, climate, and employment impacts, </w:t>
      </w:r>
      <w:hyperlink r:id="rId27" w:history="1">
        <w:r w:rsidRPr="000A50FE">
          <w:rPr>
            <w:rStyle w:val="Hyperlink"/>
            <w:color w:val="auto"/>
            <w:u w:val="none"/>
          </w:rPr>
          <w:t>https://www.sciencedirect.com/science/article/pii/S0040162520313044</w:t>
        </w:r>
      </w:hyperlink>
      <w:r w:rsidRPr="000A50FE">
        <w:t xml:space="preserve"> </w:t>
      </w:r>
    </w:p>
  </w:footnote>
  <w:footnote w:id="109">
    <w:p w14:paraId="5DA9C8C1" w14:textId="77777777" w:rsidR="00EA7989" w:rsidRPr="00A34516" w:rsidRDefault="00EA7989" w:rsidP="006E09F6">
      <w:pPr>
        <w:pStyle w:val="FootnoteText"/>
        <w:rPr>
          <w:lang w:val="en-US"/>
        </w:rPr>
      </w:pPr>
      <w:r w:rsidRPr="000A50FE">
        <w:rPr>
          <w:rStyle w:val="FootnoteReference"/>
          <w:vertAlign w:val="baseline"/>
        </w:rPr>
        <w:footnoteRef/>
      </w:r>
      <w:r w:rsidRPr="00A34516">
        <w:rPr>
          <w:lang w:val="sv-SE"/>
        </w:rPr>
        <w:t xml:space="preserve"> </w:t>
      </w:r>
      <w:r>
        <w:rPr>
          <w:lang w:val="sv-SE"/>
        </w:rPr>
        <w:t xml:space="preserve">Pendrill F., Persson U. M., Kastner, T. 2020. </w:t>
      </w:r>
      <w:r w:rsidRPr="00A34516">
        <w:rPr>
          <w:lang w:val="en-US"/>
        </w:rPr>
        <w:t xml:space="preserve">Deforestation risk embodied in production and consumption of agricultural and forestry commodities 2005-2017 (Version 1.0) [Data set]. Zenodo. Available at </w:t>
      </w:r>
      <w:hyperlink r:id="rId28" w:anchor=".YGrNv0BuK1M" w:history="1">
        <w:r w:rsidRPr="00A34516">
          <w:rPr>
            <w:rStyle w:val="Hyperlink"/>
            <w:lang w:val="en-US"/>
          </w:rPr>
          <w:t>https://zenodo.org/record/4250532#.YGrNv0BuK1M</w:t>
        </w:r>
      </w:hyperlink>
      <w:r w:rsidRPr="00A34516">
        <w:rPr>
          <w:lang w:val="en-US"/>
        </w:rPr>
        <w:t xml:space="preserve"> </w:t>
      </w:r>
    </w:p>
  </w:footnote>
  <w:footnote w:id="110">
    <w:p w14:paraId="558785EE" w14:textId="77777777" w:rsidR="00EA7989" w:rsidRPr="000A50FE" w:rsidRDefault="00EA7989" w:rsidP="006E09F6">
      <w:pPr>
        <w:pStyle w:val="FootnoteText"/>
      </w:pPr>
      <w:r w:rsidRPr="000A50FE">
        <w:rPr>
          <w:rStyle w:val="FootnoteReference"/>
          <w:vertAlign w:val="baseline"/>
        </w:rPr>
        <w:footnoteRef/>
      </w:r>
      <w:r w:rsidRPr="000A50FE">
        <w:t xml:space="preserve"> </w:t>
      </w:r>
      <w:r>
        <w:t>Global Forest Watch Data available at</w:t>
      </w:r>
      <w:r w:rsidRPr="000A50FE">
        <w:t xml:space="preserve"> </w:t>
      </w:r>
      <w:hyperlink r:id="rId29" w:history="1">
        <w:r w:rsidRPr="000A50FE">
          <w:rPr>
            <w:rStyle w:val="Hyperlink"/>
            <w:color w:val="auto"/>
            <w:u w:val="none"/>
          </w:rPr>
          <w:t>https://www.globalforestwatch.org/dashboards/global/</w:t>
        </w:r>
      </w:hyperlink>
      <w:r w:rsidRPr="000A50FE">
        <w:t xml:space="preserve"> </w:t>
      </w:r>
    </w:p>
  </w:footnote>
  <w:footnote w:id="111">
    <w:p w14:paraId="4B29DD64" w14:textId="77777777" w:rsidR="00EA7989" w:rsidRDefault="00EA7989" w:rsidP="006E09F6">
      <w:pPr>
        <w:pStyle w:val="FootnoteText"/>
      </w:pPr>
      <w:r w:rsidRPr="000A50FE">
        <w:rPr>
          <w:rStyle w:val="FootnoteReference"/>
          <w:vertAlign w:val="baseline"/>
        </w:rPr>
        <w:footnoteRef/>
      </w:r>
      <w:r w:rsidRPr="000A50FE">
        <w:t xml:space="preserve"> </w:t>
      </w:r>
      <w:r>
        <w:t>FAOSTAT Data available at</w:t>
      </w:r>
      <w:r w:rsidRPr="000A50FE">
        <w:t xml:space="preserve"> </w:t>
      </w:r>
      <w:hyperlink r:id="rId30" w:anchor="data" w:history="1">
        <w:r w:rsidRPr="000A50FE">
          <w:rPr>
            <w:rStyle w:val="Hyperlink"/>
            <w:color w:val="auto"/>
            <w:u w:val="none"/>
          </w:rPr>
          <w:t>http://www.fao.org/faostat/en/#data</w:t>
        </w:r>
      </w:hyperlink>
      <w:r w:rsidRPr="00E8502D">
        <w:rPr>
          <w:rFonts w:cs="Times New Roman"/>
          <w:sz w:val="20"/>
        </w:rPr>
        <w:t xml:space="preserve"> </w:t>
      </w:r>
    </w:p>
  </w:footnote>
  <w:footnote w:id="112">
    <w:p w14:paraId="1DE2D192" w14:textId="58E7AFC7" w:rsidR="00EA7989" w:rsidRPr="00402941" w:rsidRDefault="00EA7989" w:rsidP="0080098F">
      <w:pPr>
        <w:pStyle w:val="FootnoteText"/>
        <w:rPr>
          <w:lang w:val="en-IE"/>
        </w:rPr>
      </w:pPr>
      <w:r>
        <w:rPr>
          <w:rStyle w:val="FootnoteReference"/>
          <w:rFonts w:cs="Segoe UI"/>
          <w:szCs w:val="18"/>
        </w:rPr>
        <w:footnoteRef/>
      </w:r>
      <w:r>
        <w:t xml:space="preserve"> EPRS. 2020. An EU legal framework to halt and reverse EU-driven global deforestation European added value assessment. </w:t>
      </w:r>
      <w:r w:rsidRPr="00724339">
        <w:rPr>
          <w:lang w:val="en-IE"/>
        </w:rPr>
        <w:t>Available at https://www.europarl.europa.eu/RegData/etudes/STUD/2020/654174/EPRS_STU(2020)654174_EN.pdf</w:t>
      </w:r>
    </w:p>
  </w:footnote>
  <w:footnote w:id="113">
    <w:p w14:paraId="3CD1691A" w14:textId="77777777" w:rsidR="00EA7989" w:rsidRDefault="00EA7989" w:rsidP="009A0156">
      <w:pPr>
        <w:pStyle w:val="FootnoteText"/>
      </w:pPr>
      <w:r>
        <w:rPr>
          <w:rStyle w:val="FootnoteReference"/>
        </w:rPr>
        <w:footnoteRef/>
      </w:r>
      <w:r>
        <w:t xml:space="preserve"> This option is inspired in the experience of the </w:t>
      </w:r>
      <w:r w:rsidRPr="00F37FF3">
        <w:t>EU Regulation 1005/2008</w:t>
      </w:r>
      <w:r>
        <w:t xml:space="preserve"> </w:t>
      </w:r>
      <w:r w:rsidRPr="00F37FF3">
        <w:t>to prevent, deter and eliminate illegal, unreported and unregulated fishing (IUU)</w:t>
      </w:r>
      <w:r>
        <w:t>.</w:t>
      </w:r>
    </w:p>
  </w:footnote>
  <w:footnote w:id="114">
    <w:p w14:paraId="66A0D7DE" w14:textId="369183BE" w:rsidR="00EA7989" w:rsidRDefault="00EA7989">
      <w:pPr>
        <w:pStyle w:val="FootnoteText"/>
      </w:pPr>
      <w:r>
        <w:rPr>
          <w:rStyle w:val="FootnoteReference"/>
        </w:rPr>
        <w:footnoteRef/>
      </w:r>
      <w:r>
        <w:t xml:space="preserve"> </w:t>
      </w:r>
      <w:r w:rsidRPr="00611C03">
        <w:t>https://ec.europa.eu/info/law/better-regulation/have-your-say/initiatives/12137-Deforestation-and-forest-degradation-reducing-the-impact-of-products-placed-on-the-EU-market_en</w:t>
      </w:r>
    </w:p>
  </w:footnote>
  <w:footnote w:id="115">
    <w:p w14:paraId="646D63DA" w14:textId="40D920A0" w:rsidR="00EA7989" w:rsidRDefault="00EA7989">
      <w:pPr>
        <w:pStyle w:val="FootnoteText"/>
        <w:jc w:val="both"/>
      </w:pPr>
      <w:r>
        <w:rPr>
          <w:rStyle w:val="FootnoteReference"/>
        </w:rPr>
        <w:footnoteRef/>
      </w:r>
      <w:r>
        <w:t xml:space="preserve"> </w:t>
      </w:r>
      <w:r w:rsidRPr="00611C03">
        <w:t>The questionnaire of the online public consultation contained a multiple choice question where respondents could assess the suitability of 14 policy measures.</w:t>
      </w:r>
    </w:p>
  </w:footnote>
  <w:footnote w:id="116">
    <w:p w14:paraId="35718DEF" w14:textId="77777777" w:rsidR="00EA7989" w:rsidRPr="0078683D" w:rsidRDefault="00EA7989" w:rsidP="00EB51E2">
      <w:pPr>
        <w:pStyle w:val="FootnoteText"/>
        <w:rPr>
          <w:lang w:val="en-US"/>
        </w:rPr>
      </w:pPr>
      <w:r>
        <w:rPr>
          <w:rStyle w:val="FootnoteReference"/>
        </w:rPr>
        <w:footnoteRef/>
      </w:r>
      <w:r>
        <w:t xml:space="preserve"> </w:t>
      </w:r>
      <w:r w:rsidRPr="0078683D">
        <w:rPr>
          <w:lang w:val="en-US"/>
        </w:rPr>
        <w:t>Reference to  para 8</w:t>
      </w:r>
    </w:p>
  </w:footnote>
  <w:footnote w:id="117">
    <w:p w14:paraId="2A365EE4" w14:textId="3EBF1B1C" w:rsidR="00EA7989" w:rsidRPr="00DE1506" w:rsidRDefault="00EA7989">
      <w:pPr>
        <w:pStyle w:val="FootnoteText"/>
      </w:pPr>
      <w:r>
        <w:rPr>
          <w:rStyle w:val="FootnoteReference"/>
        </w:rPr>
        <w:footnoteRef/>
      </w:r>
      <w:r>
        <w:t xml:space="preserve"> </w:t>
      </w:r>
      <w:r w:rsidRPr="005A69F4">
        <w:t>WWF</w:t>
      </w:r>
      <w:r>
        <w:t>.</w:t>
      </w:r>
      <w:r w:rsidRPr="005A69F4">
        <w:t xml:space="preserve"> 2015</w:t>
      </w:r>
      <w:r>
        <w:t>.</w:t>
      </w:r>
      <w:r w:rsidRPr="005A69F4">
        <w:t xml:space="preserve"> Profitability and Sustainability in Responsible Forestry Economi</w:t>
      </w:r>
      <w:r>
        <w:t xml:space="preserve">c impacts of FSC certification </w:t>
      </w:r>
      <w:r w:rsidRPr="005A69F4">
        <w:t>on forest operators</w:t>
      </w:r>
      <w:r>
        <w:t xml:space="preserve">. Available at </w:t>
      </w:r>
      <w:r w:rsidRPr="00724339">
        <w:t>https://wwfmy.awsassets.panda.org/downloads/profitability_and_sustainability_in_responsible_forestry_main_report_final.pdf</w:t>
      </w:r>
    </w:p>
  </w:footnote>
  <w:footnote w:id="118">
    <w:p w14:paraId="4C8E9984" w14:textId="65C17EC7" w:rsidR="00EA7989" w:rsidRPr="00DE1506" w:rsidRDefault="00EA7989">
      <w:pPr>
        <w:pStyle w:val="FootnoteText"/>
      </w:pPr>
      <w:r>
        <w:rPr>
          <w:rStyle w:val="FootnoteReference"/>
        </w:rPr>
        <w:footnoteRef/>
      </w:r>
      <w:r>
        <w:t xml:space="preserve"> Lang, C. IKEA’s illegal timber problem that FSC didn’t notice. FSC-Watch. 2020. </w:t>
      </w:r>
      <w:r w:rsidRPr="00903FCB">
        <w:rPr>
          <w:lang w:val="en-US"/>
        </w:rPr>
        <w:t xml:space="preserve">Available at </w:t>
      </w:r>
      <w:hyperlink r:id="rId31" w:history="1">
        <w:r w:rsidRPr="00903FCB">
          <w:rPr>
            <w:lang w:val="en-US"/>
          </w:rPr>
          <w:t>https://fsc-watch.com/2020/07/02/ikeas-ukrainian-illegal-timber-problem-that-fsc-didnt-notice/</w:t>
        </w:r>
      </w:hyperlink>
      <w:r w:rsidRPr="00903FCB">
        <w:rPr>
          <w:lang w:val="en-US"/>
        </w:rPr>
        <w:t xml:space="preserve"> ; Lang, C. 2018. </w:t>
      </w:r>
      <w:r w:rsidRPr="00724339">
        <w:t>New Documentary Slams FSC: “The</w:t>
      </w:r>
      <w:r>
        <w:t xml:space="preserve"> Eco-Label Could Not Slow Down t</w:t>
      </w:r>
      <w:r w:rsidRPr="00724339">
        <w:t>he Forest Industry”</w:t>
      </w:r>
      <w:r>
        <w:t xml:space="preserve">. FSC-Watch. </w:t>
      </w:r>
      <w:r w:rsidRPr="009C0E10">
        <w:rPr>
          <w:lang w:val="en-IE"/>
        </w:rPr>
        <w:t xml:space="preserve">Available at </w:t>
      </w:r>
      <w:hyperlink r:id="rId32" w:history="1">
        <w:r w:rsidRPr="009C0E10">
          <w:rPr>
            <w:lang w:val="en-IE"/>
          </w:rPr>
          <w:t>https://fsc-watch.com/2018/10/18/new-documentary-slams-fsc-the-eco-label-could-not-slow-down-the-forest-industry/</w:t>
        </w:r>
      </w:hyperlink>
      <w:r w:rsidRPr="009C0E10">
        <w:rPr>
          <w:lang w:val="en-IE"/>
        </w:rPr>
        <w:t xml:space="preserve"> ;</w:t>
      </w:r>
      <w:r>
        <w:rPr>
          <w:lang w:val="en-IE"/>
        </w:rPr>
        <w:t xml:space="preserve"> Conniff, R. 2018. </w:t>
      </w:r>
      <w:r w:rsidRPr="00096BF1">
        <w:rPr>
          <w:lang w:val="en-IE"/>
        </w:rPr>
        <w:t>Greenwashed Timber: How Sustainable Forest Certification Has Failed</w:t>
      </w:r>
      <w:r>
        <w:rPr>
          <w:lang w:val="en-IE"/>
        </w:rPr>
        <w:t xml:space="preserve">. </w:t>
      </w:r>
      <w:r w:rsidRPr="009C0E10">
        <w:t>Yale Environment 360. Available at</w:t>
      </w:r>
      <w:r w:rsidRPr="00647A5E">
        <w:t xml:space="preserve"> </w:t>
      </w:r>
      <w:hyperlink r:id="rId33" w:history="1">
        <w:r w:rsidRPr="00647A5E">
          <w:t>https://e360.yale.edu/features/greenwashed-timber-how-sustainable-forest-certification-has-failed</w:t>
        </w:r>
      </w:hyperlink>
    </w:p>
  </w:footnote>
  <w:footnote w:id="119">
    <w:p w14:paraId="6AE1ABC2" w14:textId="5706C609" w:rsidR="00EA7989" w:rsidRPr="002D27E6" w:rsidRDefault="00EA7989">
      <w:pPr>
        <w:pStyle w:val="FootnoteText"/>
      </w:pPr>
      <w:r>
        <w:rPr>
          <w:rStyle w:val="FootnoteReference"/>
        </w:rPr>
        <w:footnoteRef/>
      </w:r>
      <w:r>
        <w:t xml:space="preserve"> Study on Certification and Verification Schemes in the Forest Sector and for Wood-based Products; Preferred by Nature; 2021. Available at: </w:t>
      </w:r>
      <w:r w:rsidRPr="00C508B9">
        <w:t>https://op.europa.eu/en/publication-detail/-/publication/afa5e0df-fb19-11eb-b520-01aa75ed71a1/language-en</w:t>
      </w:r>
      <w:r w:rsidRPr="00761D97">
        <w:t>]</w:t>
      </w:r>
    </w:p>
  </w:footnote>
  <w:footnote w:id="120">
    <w:p w14:paraId="6DE4BD35" w14:textId="4C3744D7" w:rsidR="00EA7989" w:rsidRPr="00903AFF" w:rsidRDefault="00EA7989">
      <w:pPr>
        <w:pStyle w:val="FootnoteText"/>
      </w:pPr>
      <w:r>
        <w:rPr>
          <w:rStyle w:val="FootnoteReference"/>
        </w:rPr>
        <w:footnoteRef/>
      </w:r>
      <w:r>
        <w:t xml:space="preserve"> </w:t>
      </w:r>
      <w:r w:rsidRPr="0093180D">
        <w:t>https://www.europarl.europa.eu/doceo/document/TA-9-2020-0285_EN.html</w:t>
      </w:r>
    </w:p>
  </w:footnote>
  <w:footnote w:id="121">
    <w:p w14:paraId="077B01AA" w14:textId="39E82561" w:rsidR="00EA7989" w:rsidRPr="00E81839" w:rsidRDefault="00EA7989" w:rsidP="000C4559">
      <w:pPr>
        <w:pStyle w:val="FootnoteText"/>
        <w:jc w:val="both"/>
      </w:pPr>
      <w:r>
        <w:rPr>
          <w:rStyle w:val="FootnoteReference"/>
        </w:rPr>
        <w:footnoteRef/>
      </w:r>
      <w:r>
        <w:t xml:space="preserve"> The full analysis can be consulted in  Annex C (difference-in-difference analysis) of the ‘</w:t>
      </w:r>
      <w:r w:rsidRPr="00375969">
        <w:t>Support study for a Fitness Check of the EUTR and FLEGT Regulation’</w:t>
      </w:r>
    </w:p>
  </w:footnote>
  <w:footnote w:id="122">
    <w:p w14:paraId="0C764F1C" w14:textId="032EFEDC" w:rsidR="00EA7989" w:rsidRPr="0087368B" w:rsidRDefault="00EA7989" w:rsidP="000C4559">
      <w:pPr>
        <w:pStyle w:val="FootnoteText"/>
        <w:jc w:val="both"/>
      </w:pPr>
      <w:r>
        <w:rPr>
          <w:rStyle w:val="FootnoteReference"/>
        </w:rPr>
        <w:footnoteRef/>
      </w:r>
      <w:r>
        <w:t xml:space="preserve"> The analysis uses trade data to estimate the impacts of the EUTR on imports of illegally harvested timber to the EU. It builds on import statistics comparing products from ‘low’ and ‘high’ risk countries, and changes before and after the entry into force of the EUTR. Two different control groups are used</w:t>
      </w:r>
      <w:r w:rsidRPr="0087368B">
        <w:t xml:space="preserve"> </w:t>
      </w:r>
      <w:r>
        <w:t xml:space="preserve">to </w:t>
      </w:r>
      <w:r w:rsidRPr="0087368B">
        <w:t>compare</w:t>
      </w:r>
      <w:r>
        <w:t xml:space="preserve"> actual trends: A group of comparable countries who do not have in place a legality control system, and the products that are not covered by the EUTR but belong to the same HS groups of the EUTR scope. The analysis provided a range of estimated effectiveness between 12% and 29%. Analysis of the levels of illegal timber entering the EU is complex and problematic. There are several caveats and limitations in the research. The results, therefore, should be considered an estimation subject to a degree of uncertainty.</w:t>
      </w:r>
    </w:p>
  </w:footnote>
  <w:footnote w:id="123">
    <w:p w14:paraId="72E8A9CC" w14:textId="77777777" w:rsidR="00EA7989" w:rsidRDefault="00EA7989" w:rsidP="00324ECA">
      <w:pPr>
        <w:pStyle w:val="FootnoteText"/>
      </w:pPr>
      <w:r>
        <w:rPr>
          <w:rStyle w:val="FootnoteReference"/>
        </w:rPr>
        <w:footnoteRef/>
      </w:r>
      <w:r>
        <w:t xml:space="preserve"> European Commission (2019). </w:t>
      </w:r>
      <w:r w:rsidRPr="00D145FE">
        <w:t>Handbook on the external costs of transport</w:t>
      </w:r>
      <w:r>
        <w:t xml:space="preserve">. </w:t>
      </w:r>
      <w:hyperlink r:id="rId34" w:history="1">
        <w:r w:rsidRPr="002C090E">
          <w:rPr>
            <w:rStyle w:val="Hyperlink"/>
          </w:rPr>
          <w:t>https://op.europa.eu/en/publication-detail/-/publication/9781f65f-8448-11ea-bf12-01aa75ed71a1</w:t>
        </w:r>
      </w:hyperlink>
      <w:r>
        <w:t xml:space="preserve"> </w:t>
      </w:r>
    </w:p>
  </w:footnote>
  <w:footnote w:id="124">
    <w:p w14:paraId="62C6DCDC" w14:textId="77777777" w:rsidR="00EA7989" w:rsidRPr="00760984" w:rsidRDefault="00EA7989" w:rsidP="00324ECA">
      <w:pPr>
        <w:pStyle w:val="FootnoteText"/>
      </w:pPr>
      <w:r>
        <w:rPr>
          <w:rStyle w:val="FootnoteReference"/>
        </w:rPr>
        <w:footnoteRef/>
      </w:r>
      <w:r>
        <w:t xml:space="preserve"> </w:t>
      </w:r>
      <w:r w:rsidRPr="00760984">
        <w:t>https://ember-climate.org/data/carbon-price-viewer/</w:t>
      </w:r>
    </w:p>
  </w:footnote>
  <w:footnote w:id="125">
    <w:p w14:paraId="3CBDFF54" w14:textId="77777777" w:rsidR="00EA7989" w:rsidRPr="00E01DF9" w:rsidRDefault="00EA7989" w:rsidP="005020F6">
      <w:pPr>
        <w:pStyle w:val="FootnoteText"/>
        <w:rPr>
          <w:lang w:val="en-US"/>
        </w:rPr>
      </w:pPr>
      <w:r w:rsidRPr="00E01DF9">
        <w:rPr>
          <w:rStyle w:val="FootnoteReference"/>
          <w:rFonts w:cs="Times New Roman"/>
          <w:color w:val="000000"/>
        </w:rPr>
        <w:footnoteRef/>
      </w:r>
      <w:r>
        <w:t xml:space="preserve"> Under the assumption that the regulation enters into effect three years after a proposal is agreed upon, i.e. in 2025. Several years will be required to reach the maximum effectiveness of the regulation as operators and Competent Authorities adjust their approaches to be able to more effectively perform their duties in the context of the new requirements, thus the full effects of the regulation are expected to start in 2030.</w:t>
      </w:r>
    </w:p>
  </w:footnote>
  <w:footnote w:id="126">
    <w:p w14:paraId="70FF01FD" w14:textId="77777777" w:rsidR="00EA7989" w:rsidRDefault="00EA7989" w:rsidP="00320B59">
      <w:pPr>
        <w:pStyle w:val="FootnoteText"/>
      </w:pPr>
      <w:r>
        <w:rPr>
          <w:rStyle w:val="FootnoteReference"/>
        </w:rPr>
        <w:footnoteRef/>
      </w:r>
      <w:r>
        <w:t xml:space="preserve"> IPBES 2019. </w:t>
      </w:r>
      <w:r w:rsidRPr="00EC54C5">
        <w:t xml:space="preserve">Global assessment report on biodiversity and ecosystem services of the Intergovernmental Science-Policy Platform on Biodiversity and Ecosystem Services. </w:t>
      </w:r>
      <w:r w:rsidRPr="00201B76">
        <w:rPr>
          <w:lang w:val="it-IT"/>
        </w:rPr>
        <w:t xml:space="preserve">E. S. Brondizio, J. Settele, S. Díaz, and H. T. Ngo (Eds.). </w:t>
      </w:r>
      <w:r w:rsidRPr="00EC54C5">
        <w:t xml:space="preserve">IPBES </w:t>
      </w:r>
      <w:r>
        <w:t>S</w:t>
      </w:r>
      <w:r w:rsidRPr="00EC54C5">
        <w:t>ecretariat, Bonn, Germany.</w:t>
      </w:r>
      <w:r w:rsidRPr="00EC54C5" w:rsidDel="00457E4D">
        <w:t xml:space="preserve"> </w:t>
      </w:r>
    </w:p>
  </w:footnote>
  <w:footnote w:id="127">
    <w:p w14:paraId="4A5F8DAB" w14:textId="2C98E408" w:rsidR="00EA7989" w:rsidRPr="00760984" w:rsidRDefault="00EA7989">
      <w:pPr>
        <w:pStyle w:val="FootnoteText"/>
      </w:pPr>
      <w:r>
        <w:rPr>
          <w:rStyle w:val="FootnoteReference"/>
        </w:rPr>
        <w:footnoteRef/>
      </w:r>
      <w:r>
        <w:t xml:space="preserve"> </w:t>
      </w:r>
      <w:r w:rsidRPr="005D42D0">
        <w:t>https://www.nature.com/articles/536143a.pdf</w:t>
      </w:r>
    </w:p>
  </w:footnote>
  <w:footnote w:id="128">
    <w:p w14:paraId="6A5A0EB9" w14:textId="77777777" w:rsidR="00EA7989" w:rsidRDefault="00EA7989" w:rsidP="006F203E">
      <w:pPr>
        <w:pStyle w:val="FootnoteText"/>
      </w:pPr>
      <w:r>
        <w:rPr>
          <w:rStyle w:val="FootnoteReference"/>
        </w:rPr>
        <w:footnoteRef/>
      </w:r>
      <w:r>
        <w:t xml:space="preserve"> </w:t>
      </w:r>
      <w:r w:rsidRPr="001B124B">
        <w:t>World Resources Institute 2021. Global Forest Review. Indicator – Deforestation linked to agriculture. Available at: https://research.wri.org/gfr/forest-extent-indicators/deforestation-agriculture.</w:t>
      </w:r>
    </w:p>
  </w:footnote>
  <w:footnote w:id="129">
    <w:p w14:paraId="1BF3D050" w14:textId="77777777" w:rsidR="00EA7989" w:rsidRPr="002F625C" w:rsidRDefault="00EA7989" w:rsidP="006F203E">
      <w:pPr>
        <w:pStyle w:val="FootnoteText"/>
      </w:pPr>
      <w:r>
        <w:rPr>
          <w:rStyle w:val="FootnoteReference"/>
        </w:rPr>
        <w:footnoteRef/>
      </w:r>
      <w:r>
        <w:t xml:space="preserve"> Data covers EU28 countries and Switzerland. See EPOA and IDH. 2020. </w:t>
      </w:r>
      <w:r>
        <w:rPr>
          <w:i/>
          <w:iCs/>
        </w:rPr>
        <w:t>Sustainable Palm Oil for Europe in 2019</w:t>
      </w:r>
      <w:r>
        <w:t xml:space="preserve">. </w:t>
      </w:r>
    </w:p>
  </w:footnote>
  <w:footnote w:id="130">
    <w:p w14:paraId="738B3F43" w14:textId="77777777" w:rsidR="00EA7989" w:rsidRDefault="00EA7989" w:rsidP="006F203E">
      <w:pPr>
        <w:pStyle w:val="FootnoteText"/>
      </w:pPr>
      <w:r>
        <w:rPr>
          <w:rStyle w:val="FootnoteReference"/>
        </w:rPr>
        <w:footnoteRef/>
      </w:r>
      <w:r>
        <w:t xml:space="preserve"> Thomson, E. 2020. Time for change: delivering deforestation-free supply chains. Global Canopy, Oxford, UK.</w:t>
      </w:r>
    </w:p>
  </w:footnote>
  <w:footnote w:id="131">
    <w:p w14:paraId="4006E201" w14:textId="77777777" w:rsidR="00EA7989" w:rsidRDefault="00EA7989" w:rsidP="006F203E">
      <w:pPr>
        <w:pStyle w:val="FootnoteText"/>
      </w:pPr>
      <w:r>
        <w:rPr>
          <w:rStyle w:val="FootnoteReference"/>
        </w:rPr>
        <w:footnoteRef/>
      </w:r>
      <w:r>
        <w:t xml:space="preserve"> </w:t>
      </w:r>
      <w:r w:rsidRPr="002A215C">
        <w:t>Bakhtary, H., Matson, E., Mikulcak, F., Streck, C. and Thomson, A. 2020. Company progress in engaging smallholders to implement zero- deforestation commitments in cocoa and palm oil.</w:t>
      </w:r>
    </w:p>
  </w:footnote>
  <w:footnote w:id="132">
    <w:p w14:paraId="63191328" w14:textId="77777777" w:rsidR="00EA7989" w:rsidRDefault="00EA7989" w:rsidP="006F203E">
      <w:pPr>
        <w:pStyle w:val="FootnoteText"/>
      </w:pPr>
      <w:r w:rsidRPr="00D27961">
        <w:rPr>
          <w:rStyle w:val="FootnoteReference"/>
        </w:rPr>
        <w:footnoteRef/>
      </w:r>
      <w:r>
        <w:t xml:space="preserve"> E.g. </w:t>
      </w:r>
      <w:r w:rsidRPr="00262D5B">
        <w:rPr>
          <w:rFonts w:cs="Times New Roman"/>
          <w:szCs w:val="24"/>
        </w:rPr>
        <w:t>Unilever publishes the list of all palm oil mills declared by its direct suppliers</w:t>
      </w:r>
      <w:r>
        <w:rPr>
          <w:rFonts w:cs="Times New Roman"/>
          <w:szCs w:val="24"/>
        </w:rPr>
        <w:t>:</w:t>
      </w:r>
      <w:r w:rsidRPr="00A155B8">
        <w:t xml:space="preserve"> https://www.unilever.com/planet-and-society/protect-and-regenerate-nature/sustainable-palm-oil/</w:t>
      </w:r>
    </w:p>
  </w:footnote>
  <w:footnote w:id="133">
    <w:p w14:paraId="5400DAB8" w14:textId="77777777" w:rsidR="00EA7989" w:rsidRDefault="00EA7989" w:rsidP="00841C68">
      <w:pPr>
        <w:pStyle w:val="FootnoteText"/>
        <w:jc w:val="both"/>
      </w:pPr>
      <w:r>
        <w:rPr>
          <w:rStyle w:val="FootnoteReference"/>
        </w:rPr>
        <w:footnoteRef/>
      </w:r>
      <w:r>
        <w:t xml:space="preserve"> </w:t>
      </w:r>
      <w:r w:rsidRPr="00B02969">
        <w:t>Cadby, J., Araki, T. and Villacis, A.H. 2021. Breaking the mold: Craft chocolate makers prioritize quality, ethical and direct sourcing, and environmental welfare. Journal of Agriculture and Food Research, 4.</w:t>
      </w:r>
    </w:p>
  </w:footnote>
  <w:footnote w:id="134">
    <w:p w14:paraId="3FD3A1FB" w14:textId="77777777" w:rsidR="00EA7989" w:rsidRDefault="00EA7989" w:rsidP="00841C68">
      <w:pPr>
        <w:pStyle w:val="FootnoteText"/>
        <w:jc w:val="both"/>
      </w:pPr>
      <w:r>
        <w:rPr>
          <w:rStyle w:val="FootnoteReference"/>
        </w:rPr>
        <w:footnoteRef/>
      </w:r>
      <w:r>
        <w:t xml:space="preserve"> </w:t>
      </w:r>
      <w:r w:rsidRPr="00D07C02">
        <w:rPr>
          <w:szCs w:val="16"/>
        </w:rPr>
        <w:t xml:space="preserve">DG Health &amp; Food Safety, undated. </w:t>
      </w:r>
      <w:hyperlink r:id="rId35" w:history="1">
        <w:r w:rsidRPr="00C93A25">
          <w:rPr>
            <w:rStyle w:val="Hyperlink"/>
            <w:szCs w:val="16"/>
          </w:rPr>
          <w:t>https://ec.europa.eu/food/sites/food/files/safety/docs/ia_trade_import-cond-meat_en.pdf</w:t>
        </w:r>
      </w:hyperlink>
      <w:r w:rsidRPr="007B39AB">
        <w:rPr>
          <w:sz w:val="22"/>
          <w:szCs w:val="22"/>
        </w:rPr>
        <w:t xml:space="preserve"> </w:t>
      </w:r>
    </w:p>
  </w:footnote>
  <w:footnote w:id="135">
    <w:p w14:paraId="34F9EB8F" w14:textId="77777777" w:rsidR="00EA7989" w:rsidRDefault="00EA7989" w:rsidP="00841C68">
      <w:pPr>
        <w:pStyle w:val="FootnoteText"/>
        <w:jc w:val="both"/>
      </w:pPr>
      <w:r w:rsidRPr="00D27961">
        <w:rPr>
          <w:rStyle w:val="FootnoteReference"/>
        </w:rPr>
        <w:footnoteRef/>
      </w:r>
      <w:r>
        <w:t xml:space="preserve">World Resources Institute. 2021. Universal Mill List. See </w:t>
      </w:r>
      <w:r w:rsidRPr="00525981">
        <w:t>https://data.globalforestwatch.org/datasets/gfw::universal-mill-list-1/about</w:t>
      </w:r>
    </w:p>
  </w:footnote>
  <w:footnote w:id="136">
    <w:p w14:paraId="72CE8A76" w14:textId="77777777" w:rsidR="00EA7989" w:rsidRDefault="00EA7989" w:rsidP="00841C68">
      <w:pPr>
        <w:pStyle w:val="FootnoteText"/>
        <w:jc w:val="both"/>
      </w:pPr>
      <w:r w:rsidRPr="00D27961">
        <w:rPr>
          <w:rStyle w:val="FootnoteReference"/>
        </w:rPr>
        <w:footnoteRef/>
      </w:r>
      <w:r>
        <w:t xml:space="preserve"> FEFAC Soy Sourcing Guidelines 2021. Available at: </w:t>
      </w:r>
      <w:hyperlink r:id="rId36" w:history="1">
        <w:r w:rsidRPr="00AD7B22">
          <w:rPr>
            <w:rStyle w:val="Hyperlink"/>
          </w:rPr>
          <w:t>https://fefac.eu/wp-content/uploads/2021/02/FEFAC-Soy-Sourcing-Guidelines-2021-1.pdf</w:t>
        </w:r>
      </w:hyperlink>
      <w:r>
        <w:t xml:space="preserve"> </w:t>
      </w:r>
    </w:p>
  </w:footnote>
  <w:footnote w:id="137">
    <w:p w14:paraId="78A2D5F0" w14:textId="3E2EA726" w:rsidR="00EA7989" w:rsidRPr="00AB3DD9" w:rsidRDefault="00EA7989" w:rsidP="00841C68">
      <w:pPr>
        <w:pStyle w:val="FootnoteText"/>
        <w:jc w:val="both"/>
      </w:pPr>
      <w:r w:rsidRPr="00D27961">
        <w:rPr>
          <w:rStyle w:val="FootnoteReference"/>
        </w:rPr>
        <w:footnoteRef/>
      </w:r>
      <w:r>
        <w:t xml:space="preserve"> Palm Oil Transparency Coalition and 3keel. 2020. </w:t>
      </w:r>
      <w:r>
        <w:rPr>
          <w:i/>
          <w:iCs/>
        </w:rPr>
        <w:t>First Importer Suvey: 2019 Palm Oil Industry Standard</w:t>
      </w:r>
      <w:r>
        <w:t xml:space="preserve">. Available at: </w:t>
      </w:r>
      <w:hyperlink r:id="rId37" w:history="1">
        <w:r w:rsidRPr="00CA73D1">
          <w:rPr>
            <w:rStyle w:val="Hyperlink"/>
          </w:rPr>
          <w:t>https://www.palmoiltransparency.org/wp-content/uploads/2020/01/2019-POTC-Scorecard-Report_public.pdf</w:t>
        </w:r>
      </w:hyperlink>
      <w:r>
        <w:t xml:space="preserve"> . </w:t>
      </w:r>
      <w:r>
        <w:rPr>
          <w:rFonts w:cs="Times New Roman"/>
          <w:szCs w:val="24"/>
        </w:rPr>
        <w:t>The same survey indicated that over half of importers already have traceability to the mill commitments in place, while only 33% have traceability to plantation commitments in place</w:t>
      </w:r>
    </w:p>
  </w:footnote>
  <w:footnote w:id="138">
    <w:p w14:paraId="19F648CF" w14:textId="77777777" w:rsidR="00EA7989" w:rsidRDefault="00EA7989" w:rsidP="00841C68">
      <w:pPr>
        <w:pStyle w:val="FootnoteText"/>
        <w:jc w:val="both"/>
      </w:pPr>
      <w:r w:rsidRPr="00D27961">
        <w:rPr>
          <w:rStyle w:val="FootnoteReference"/>
        </w:rPr>
        <w:footnoteRef/>
      </w:r>
      <w:r w:rsidRPr="00841C68">
        <w:t xml:space="preserve"> Kuepper, B., Steinweg, T. and Piotrowski, M. 2020. </w:t>
      </w:r>
      <w:r w:rsidRPr="0062112F">
        <w:t xml:space="preserve">Brazilian beef supply chain under pressure amid worsening ESG impacts. </w:t>
      </w:r>
      <w:r>
        <w:t>Chain Reaction Research.</w:t>
      </w:r>
    </w:p>
  </w:footnote>
  <w:footnote w:id="139">
    <w:p w14:paraId="1853E0FA" w14:textId="77777777" w:rsidR="00EA7989" w:rsidRDefault="00EA7989" w:rsidP="00841C68">
      <w:pPr>
        <w:pStyle w:val="FootnoteText"/>
        <w:jc w:val="both"/>
      </w:pPr>
      <w:r w:rsidRPr="00D27961">
        <w:rPr>
          <w:rStyle w:val="FootnoteReference"/>
        </w:rPr>
        <w:footnoteRef/>
      </w:r>
      <w:r>
        <w:t xml:space="preserve"> </w:t>
      </w:r>
      <w:r w:rsidRPr="003B7553">
        <w:t>Brack, D. 2019. Towards sustainable cocoa supply chains: Regulatory options for the EU. FERN, Tropenbos International and Fair Trade Advocacy Office</w:t>
      </w:r>
      <w:r>
        <w:t xml:space="preserve">. </w:t>
      </w:r>
      <w:r w:rsidRPr="003B7553">
        <w:t>52 pp.</w:t>
      </w:r>
    </w:p>
  </w:footnote>
  <w:footnote w:id="140">
    <w:p w14:paraId="71436510" w14:textId="7A3924B8" w:rsidR="00EA7989" w:rsidRPr="00B375A5" w:rsidRDefault="00EA7989">
      <w:pPr>
        <w:pStyle w:val="FootnoteText"/>
      </w:pPr>
      <w:r>
        <w:rPr>
          <w:rStyle w:val="FootnoteReference"/>
        </w:rPr>
        <w:footnoteRef/>
      </w:r>
      <w:r>
        <w:t xml:space="preserve"> </w:t>
      </w:r>
      <w:r w:rsidRPr="00B375A5">
        <w:t xml:space="preserve">Case studies </w:t>
      </w:r>
    </w:p>
  </w:footnote>
  <w:footnote w:id="141">
    <w:p w14:paraId="5B5609AE" w14:textId="77777777" w:rsidR="00EA7989" w:rsidRPr="00391CD4" w:rsidRDefault="00EA7989" w:rsidP="006F203E">
      <w:pPr>
        <w:pStyle w:val="FootnoteText"/>
        <w:rPr>
          <w:lang w:val="fr-BE"/>
        </w:rPr>
      </w:pPr>
      <w:r>
        <w:rPr>
          <w:rStyle w:val="FootnoteReference"/>
        </w:rPr>
        <w:footnoteRef/>
      </w:r>
      <w:r w:rsidRPr="00391CD4">
        <w:rPr>
          <w:lang w:val="fr-BE"/>
        </w:rPr>
        <w:t xml:space="preserve"> TRASE 2021. </w:t>
      </w:r>
      <w:hyperlink r:id="rId38" w:history="1">
        <w:r w:rsidRPr="00391CD4">
          <w:rPr>
            <w:rStyle w:val="Hyperlink"/>
            <w:lang w:val="fr-BE"/>
          </w:rPr>
          <w:t>https://trase.earth/explore</w:t>
        </w:r>
      </w:hyperlink>
      <w:r w:rsidRPr="00391CD4">
        <w:rPr>
          <w:lang w:val="fr-BE"/>
        </w:rPr>
        <w:t xml:space="preserve"> </w:t>
      </w:r>
    </w:p>
  </w:footnote>
  <w:footnote w:id="142">
    <w:p w14:paraId="0EBE460F" w14:textId="77777777" w:rsidR="00EA7989" w:rsidRDefault="00EA7989" w:rsidP="006F203E">
      <w:pPr>
        <w:pStyle w:val="FootnoteText"/>
      </w:pPr>
      <w:r>
        <w:rPr>
          <w:rStyle w:val="FootnoteReference"/>
        </w:rPr>
        <w:footnoteRef/>
      </w:r>
      <w:r w:rsidRPr="00391CD4">
        <w:rPr>
          <w:lang w:val="fr-BE"/>
        </w:rPr>
        <w:t xml:space="preserve"> CBI 2020. </w:t>
      </w:r>
      <w:r w:rsidRPr="009C62EC">
        <w:t>What is the demand for cocoa on the European market? 11 November 2020. Available at: https://www.cbi.eu/market-information/cocoa/trade-statistics</w:t>
      </w:r>
      <w:r>
        <w:t>.</w:t>
      </w:r>
    </w:p>
  </w:footnote>
  <w:footnote w:id="143">
    <w:p w14:paraId="34926BDE" w14:textId="77777777" w:rsidR="00EA7989" w:rsidRPr="00DE3522" w:rsidRDefault="00EA7989" w:rsidP="006F203E">
      <w:pPr>
        <w:pStyle w:val="FootnoteText"/>
      </w:pPr>
      <w:r>
        <w:rPr>
          <w:rStyle w:val="FootnoteReference"/>
        </w:rPr>
        <w:footnoteRef/>
      </w:r>
      <w:r>
        <w:t xml:space="preserve"> For palm, AAK AB (Sweden), Unilever (Netherlands), </w:t>
      </w:r>
      <w:r w:rsidRPr="00CC0A0C">
        <w:t>Nestlé</w:t>
      </w:r>
      <w:r>
        <w:t xml:space="preserve"> (Switzerland), and BASF are among the largest palm oil buyers. See WWF. 2019. </w:t>
      </w:r>
      <w:r>
        <w:rPr>
          <w:i/>
          <w:iCs/>
        </w:rPr>
        <w:t xml:space="preserve">Palm Oil Buyers Scorecard. </w:t>
      </w:r>
      <w:r>
        <w:t xml:space="preserve">Available at: </w:t>
      </w:r>
      <w:hyperlink r:id="rId39" w:history="1">
        <w:r w:rsidRPr="00CA73D1">
          <w:rPr>
            <w:rStyle w:val="Hyperlink"/>
          </w:rPr>
          <w:t>https://palmoilscorecard.panda.org/check-the-scores/all</w:t>
        </w:r>
      </w:hyperlink>
      <w:r>
        <w:t xml:space="preserve"> </w:t>
      </w:r>
    </w:p>
  </w:footnote>
  <w:footnote w:id="144">
    <w:p w14:paraId="7040E2E3" w14:textId="77777777" w:rsidR="00EA7989" w:rsidRDefault="00EA7989" w:rsidP="00362EF8">
      <w:pPr>
        <w:pStyle w:val="FootnoteText"/>
        <w:jc w:val="both"/>
      </w:pPr>
      <w:r>
        <w:rPr>
          <w:rStyle w:val="FootnoteReference"/>
        </w:rPr>
        <w:footnoteRef/>
      </w:r>
      <w:r>
        <w:t xml:space="preserve"> For soy, </w:t>
      </w:r>
      <w:r w:rsidRPr="00DE4934">
        <w:t xml:space="preserve">United Nations Department of Economic and Social Affairs (2019) UN Comtrade: International Trade Statistics Database. Retrieved from </w:t>
      </w:r>
      <w:hyperlink r:id="rId40" w:history="1">
        <w:r w:rsidRPr="001A3A16">
          <w:rPr>
            <w:rStyle w:val="Hyperlink"/>
          </w:rPr>
          <w:t>https://comtrade.un.org/data</w:t>
        </w:r>
      </w:hyperlink>
      <w:r>
        <w:t xml:space="preserve"> </w:t>
      </w:r>
    </w:p>
  </w:footnote>
  <w:footnote w:id="145">
    <w:p w14:paraId="044D03FF" w14:textId="77777777" w:rsidR="00EA7989" w:rsidRDefault="00EA7989" w:rsidP="00386C2D">
      <w:pPr>
        <w:pStyle w:val="FootnoteText"/>
        <w:jc w:val="both"/>
      </w:pPr>
      <w:r>
        <w:rPr>
          <w:rStyle w:val="FootnoteReference"/>
        </w:rPr>
        <w:footnoteRef/>
      </w:r>
      <w:r>
        <w:t xml:space="preserve"> </w:t>
      </w:r>
      <w:r w:rsidRPr="00F06BE2">
        <w:rPr>
          <w:szCs w:val="16"/>
        </w:rPr>
        <w:t xml:space="preserve">Centre for the Promotion of Imports from developing countries (CBI), Ministry of Foreign Affairs (NL), </w:t>
      </w:r>
      <w:hyperlink r:id="rId41" w:anchor=":~:text=Europe%20accounted%20for%2034%25%20of,a%20market%20share%20of%2019%25" w:history="1">
        <w:r w:rsidRPr="00F06BE2">
          <w:rPr>
            <w:rStyle w:val="Hyperlink"/>
            <w:szCs w:val="16"/>
          </w:rPr>
          <w:t>https://www.cbi.eu/market-information/coffee/trade-statistics#:~:text=Europe%20accounted%20for%2034%25%20of,a%20market%20share%20of%2019%25</w:t>
        </w:r>
      </w:hyperlink>
    </w:p>
  </w:footnote>
  <w:footnote w:id="146">
    <w:p w14:paraId="199F05E9" w14:textId="77777777" w:rsidR="00EA7989" w:rsidRDefault="00EA7989" w:rsidP="00386C2D">
      <w:pPr>
        <w:pStyle w:val="FootnoteText"/>
        <w:jc w:val="both"/>
      </w:pPr>
      <w:r>
        <w:rPr>
          <w:rStyle w:val="FootnoteReference"/>
        </w:rPr>
        <w:footnoteRef/>
      </w:r>
      <w:r>
        <w:t xml:space="preserve"> </w:t>
      </w:r>
      <w:hyperlink r:id="rId42" w:history="1">
        <w:r w:rsidRPr="00801999">
          <w:rPr>
            <w:rStyle w:val="Hyperlink"/>
            <w:rFonts w:asciiTheme="minorHAnsi" w:hAnsiTheme="minorHAnsi" w:cstheme="minorHAnsi"/>
            <w:szCs w:val="16"/>
          </w:rPr>
          <w:t>Global Market Report: Palm Oil (iisd.org)</w:t>
        </w:r>
      </w:hyperlink>
      <w:r>
        <w:rPr>
          <w:rStyle w:val="Hyperlink"/>
          <w:rFonts w:asciiTheme="minorHAnsi" w:hAnsiTheme="minorHAnsi" w:cstheme="minorHAnsi"/>
          <w:szCs w:val="16"/>
        </w:rPr>
        <w:t xml:space="preserve"> </w:t>
      </w:r>
    </w:p>
  </w:footnote>
  <w:footnote w:id="147">
    <w:p w14:paraId="04B27EEF" w14:textId="77777777" w:rsidR="00EA7989" w:rsidRDefault="00EA7989" w:rsidP="00386C2D">
      <w:pPr>
        <w:pStyle w:val="FootnoteText"/>
        <w:jc w:val="both"/>
      </w:pPr>
      <w:r>
        <w:rPr>
          <w:rStyle w:val="FootnoteReference"/>
        </w:rPr>
        <w:footnoteRef/>
      </w:r>
      <w:r>
        <w:t xml:space="preserve"> </w:t>
      </w:r>
      <w:r w:rsidRPr="0050189C">
        <w:rPr>
          <w:szCs w:val="16"/>
        </w:rPr>
        <w:t xml:space="preserve">Centre for the Promotion of Imports from developing countries (CBI), Ministry of Foreign Affairs (NL),  </w:t>
      </w:r>
      <w:hyperlink r:id="rId43" w:history="1">
        <w:r w:rsidRPr="0050189C">
          <w:rPr>
            <w:rStyle w:val="Hyperlink"/>
            <w:szCs w:val="16"/>
          </w:rPr>
          <w:t>https://www.cbi.eu/market-information/cocoa-cocoa-products/netherlands/market-potential</w:t>
        </w:r>
      </w:hyperlink>
    </w:p>
  </w:footnote>
  <w:footnote w:id="148">
    <w:p w14:paraId="4EBC4EA5" w14:textId="77777777" w:rsidR="00EA7989" w:rsidRDefault="00EA7989" w:rsidP="00386C2D">
      <w:pPr>
        <w:pStyle w:val="FootnoteText"/>
        <w:jc w:val="both"/>
      </w:pPr>
      <w:r>
        <w:rPr>
          <w:rStyle w:val="FootnoteReference"/>
        </w:rPr>
        <w:footnoteRef/>
      </w:r>
      <w:r>
        <w:t xml:space="preserve"> </w:t>
      </w:r>
      <w:r w:rsidRPr="00F06BE2">
        <w:rPr>
          <w:szCs w:val="16"/>
        </w:rPr>
        <w:t xml:space="preserve">Centre for the Promotion of Imports from developing countries (CBI), Ministry of Foreign Affairs (NL), </w:t>
      </w:r>
      <w:hyperlink r:id="rId44" w:anchor=":~:text=Europe%20accounted%20for%2034%25%20of,a%20market%20share%20of%2019%25" w:history="1">
        <w:r w:rsidRPr="00F06BE2">
          <w:rPr>
            <w:rStyle w:val="Hyperlink"/>
            <w:szCs w:val="16"/>
          </w:rPr>
          <w:t>https://www.cbi.eu/market-information/coffee/trade-statistics#:~:text=Europe%20accounted%20for%2034%25%20of,a%20market%20share%20of%2019%25</w:t>
        </w:r>
      </w:hyperlink>
    </w:p>
  </w:footnote>
  <w:footnote w:id="149">
    <w:p w14:paraId="621E0D0A" w14:textId="77777777" w:rsidR="00EA7989" w:rsidRPr="00EE6D83" w:rsidRDefault="00EA7989" w:rsidP="006F203E">
      <w:pPr>
        <w:pStyle w:val="FootnoteText"/>
      </w:pPr>
      <w:r w:rsidRPr="00CB323D">
        <w:rPr>
          <w:rStyle w:val="FootnoteReference"/>
          <w:szCs w:val="16"/>
        </w:rPr>
        <w:footnoteRef/>
      </w:r>
      <w:r w:rsidRPr="00F163FF">
        <w:rPr>
          <w:szCs w:val="16"/>
          <w:lang w:val="fr-BE"/>
        </w:rPr>
        <w:t xml:space="preserve"> Eurostat, 2021. </w:t>
      </w:r>
      <w:hyperlink r:id="rId45" w:history="1">
        <w:r w:rsidRPr="00F163FF">
          <w:rPr>
            <w:rStyle w:val="Hyperlink"/>
            <w:szCs w:val="16"/>
            <w:lang w:val="fr-BE"/>
          </w:rPr>
          <w:t>https://ec.europa.eu/eurostat/web/international-trade-in-goods/data/focus-on-comext</w:t>
        </w:r>
      </w:hyperlink>
      <w:r w:rsidRPr="00F163FF">
        <w:rPr>
          <w:szCs w:val="16"/>
          <w:lang w:val="fr-BE"/>
        </w:rPr>
        <w:t xml:space="preserve">. </w:t>
      </w:r>
      <w:r w:rsidRPr="003C4161">
        <w:rPr>
          <w:szCs w:val="16"/>
        </w:rPr>
        <w:t xml:space="preserve">Downloaded on </w:t>
      </w:r>
      <w:r w:rsidRPr="003C4161">
        <w:rPr>
          <w:rFonts w:ascii="Calibri" w:eastAsia="Calibri" w:hAnsi="Calibri" w:cs="Calibri"/>
          <w:szCs w:val="16"/>
        </w:rPr>
        <w:t>12/02/2021.</w:t>
      </w:r>
    </w:p>
  </w:footnote>
  <w:footnote w:id="150">
    <w:p w14:paraId="024DE8E0" w14:textId="77777777" w:rsidR="00EA7989" w:rsidRDefault="00EA7989" w:rsidP="006F203E">
      <w:pPr>
        <w:pStyle w:val="FootnoteText"/>
      </w:pPr>
      <w:r>
        <w:rPr>
          <w:rStyle w:val="FootnoteReference"/>
        </w:rPr>
        <w:footnoteRef/>
      </w:r>
      <w:r>
        <w:t xml:space="preserve"> </w:t>
      </w:r>
      <w:r w:rsidRPr="00C55AA3">
        <w:t>CBI 2020. What is the demand for cocoa on the European market? 11 November 2020. Available at: https://www.cbi.eu/market-information/cocoa/trade-statistics</w:t>
      </w:r>
    </w:p>
  </w:footnote>
  <w:footnote w:id="151">
    <w:p w14:paraId="01EB9D6A" w14:textId="77777777" w:rsidR="00EA7989" w:rsidRPr="007022D3" w:rsidRDefault="00EA7989" w:rsidP="000D0EF9">
      <w:pPr>
        <w:pStyle w:val="FootnoteText"/>
        <w:jc w:val="both"/>
        <w:rPr>
          <w:rFonts w:cs="Times New Roman"/>
          <w:szCs w:val="16"/>
        </w:rPr>
      </w:pPr>
      <w:r w:rsidRPr="00F8314F">
        <w:rPr>
          <w:rStyle w:val="FootnoteReference"/>
        </w:rPr>
        <w:footnoteRef/>
      </w:r>
      <w:r w:rsidRPr="007022D3">
        <w:rPr>
          <w:rFonts w:cs="Times New Roman"/>
          <w:szCs w:val="16"/>
        </w:rPr>
        <w:t xml:space="preserve"> CBI 2020. What is the demand for cocoa on the European market? 11 November 2020. Available at: https://www.cbi.eu/market-information/cocoa/trade-statistics.</w:t>
      </w:r>
    </w:p>
  </w:footnote>
  <w:footnote w:id="152">
    <w:p w14:paraId="47029C4A" w14:textId="77777777" w:rsidR="00EA7989" w:rsidRPr="007022D3" w:rsidRDefault="00EA7989" w:rsidP="000D0EF9">
      <w:pPr>
        <w:pStyle w:val="FootnoteText"/>
        <w:jc w:val="both"/>
        <w:rPr>
          <w:rFonts w:cs="Times New Roman"/>
          <w:szCs w:val="16"/>
        </w:rPr>
      </w:pPr>
      <w:r w:rsidRPr="00D27961">
        <w:rPr>
          <w:rStyle w:val="FootnoteReference"/>
        </w:rPr>
        <w:footnoteRef/>
      </w:r>
      <w:r w:rsidRPr="007022D3">
        <w:rPr>
          <w:rFonts w:cs="Times New Roman"/>
          <w:szCs w:val="16"/>
        </w:rPr>
        <w:t xml:space="preserve"> CBI 2020. What is the demand for cocoa on the European market? 11 November 2020. Available at: https://www.cbi.eu/market-information/cocoa/trade-statistics.</w:t>
      </w:r>
    </w:p>
  </w:footnote>
  <w:footnote w:id="153">
    <w:p w14:paraId="4A3296DF" w14:textId="77777777" w:rsidR="00EA7989" w:rsidRDefault="00EA7989" w:rsidP="000D0EF9">
      <w:pPr>
        <w:pStyle w:val="FootnoteText"/>
        <w:jc w:val="both"/>
      </w:pPr>
      <w:r>
        <w:rPr>
          <w:rStyle w:val="FootnoteReference"/>
        </w:rPr>
        <w:footnoteRef/>
      </w:r>
      <w:r>
        <w:t xml:space="preserve"> </w:t>
      </w:r>
      <w:r w:rsidRPr="004D3B0C">
        <w:t xml:space="preserve">Europe Economics 2014. The economic impact of palm oil imports in the EU. London, UK. Available from: </w:t>
      </w:r>
      <w:hyperlink r:id="rId46" w:history="1">
        <w:r w:rsidRPr="001A3A16">
          <w:rPr>
            <w:rStyle w:val="Hyperlink"/>
          </w:rPr>
          <w:t>http://seap.ipni.net/ipniweb/region/seap.nsf/e0f085ed5f091b1b852579000057902e/a08b2cb6a7910fa648257da900587c6f/$FILE/Europe%20Economics%20-%20Economic%20Impact%20of%20Palm%20Oil%20Imports.pdf</w:t>
        </w:r>
      </w:hyperlink>
      <w:r>
        <w:t xml:space="preserve"> </w:t>
      </w:r>
    </w:p>
  </w:footnote>
  <w:footnote w:id="154">
    <w:p w14:paraId="11D2D2F7" w14:textId="77777777" w:rsidR="00EA7989" w:rsidRDefault="00EA7989" w:rsidP="000D0EF9">
      <w:pPr>
        <w:pStyle w:val="FootnoteText"/>
        <w:jc w:val="both"/>
      </w:pPr>
      <w:r>
        <w:rPr>
          <w:rStyle w:val="FootnoteReference"/>
        </w:rPr>
        <w:footnoteRef/>
      </w:r>
      <w:r w:rsidRPr="00434F4C">
        <w:t xml:space="preserve"> IDH and IUCN NL (2019) European Soy Monitor. </w:t>
      </w:r>
      <w:r w:rsidRPr="008335D7">
        <w:t>Available at: https://www.idhsustainabletrade.com/uploaded/2019/04/European-Soy-Monitor.pdf</w:t>
      </w:r>
    </w:p>
  </w:footnote>
  <w:footnote w:id="155">
    <w:p w14:paraId="5FF3FB0F" w14:textId="77777777" w:rsidR="00EA7989" w:rsidRPr="00362EF8" w:rsidRDefault="00EA7989" w:rsidP="000D0EF9">
      <w:pPr>
        <w:pStyle w:val="FootnoteText"/>
        <w:jc w:val="both"/>
        <w:rPr>
          <w:lang w:val="en-US"/>
        </w:rPr>
      </w:pPr>
      <w:r>
        <w:rPr>
          <w:rStyle w:val="FootnoteReference"/>
        </w:rPr>
        <w:footnoteRef/>
      </w:r>
      <w:r>
        <w:t xml:space="preserve"> </w:t>
      </w:r>
      <w:r w:rsidRPr="006867EA">
        <w:t>FEFAC Soy Sourcing Guid</w:t>
      </w:r>
      <w:r>
        <w:t>e</w:t>
      </w:r>
      <w:r w:rsidRPr="006867EA">
        <w:t xml:space="preserve">lines 2021. </w:t>
      </w:r>
      <w:r w:rsidRPr="00362EF8">
        <w:rPr>
          <w:lang w:val="en-US"/>
        </w:rPr>
        <w:t>Available at: https://fefac.eu/wp-content/uploads/2021/02/FEFAC-Soy-Sourcing-Guidelines-2021-1.pdf</w:t>
      </w:r>
    </w:p>
  </w:footnote>
  <w:footnote w:id="156">
    <w:p w14:paraId="2DF36A88" w14:textId="77777777" w:rsidR="00EA7989" w:rsidRPr="00434F4C" w:rsidRDefault="00EA7989" w:rsidP="000D0EF9">
      <w:pPr>
        <w:pStyle w:val="FootnoteText"/>
        <w:jc w:val="both"/>
        <w:rPr>
          <w:b/>
          <w:lang w:val="fr-BE"/>
        </w:rPr>
      </w:pPr>
      <w:r>
        <w:rPr>
          <w:rStyle w:val="FootnoteReference"/>
        </w:rPr>
        <w:footnoteRef/>
      </w:r>
      <w:r w:rsidRPr="00434F4C">
        <w:rPr>
          <w:lang w:val="fr-BE"/>
        </w:rPr>
        <w:t xml:space="preserve"> https://standardsmap.org/fefac</w:t>
      </w:r>
    </w:p>
  </w:footnote>
  <w:footnote w:id="157">
    <w:p w14:paraId="1BB2679C" w14:textId="77777777" w:rsidR="00EA7989" w:rsidRPr="00BF6564" w:rsidRDefault="00EA7989" w:rsidP="000D0EF9">
      <w:pPr>
        <w:pStyle w:val="FootnoteText"/>
        <w:jc w:val="both"/>
        <w:rPr>
          <w:szCs w:val="16"/>
        </w:rPr>
      </w:pPr>
      <w:r w:rsidRPr="00BF6564">
        <w:rPr>
          <w:rStyle w:val="FootnoteReference"/>
          <w:szCs w:val="16"/>
        </w:rPr>
        <w:footnoteRef/>
      </w:r>
      <w:r w:rsidRPr="00434F4C">
        <w:rPr>
          <w:szCs w:val="16"/>
          <w:lang w:val="fr-BE"/>
        </w:rPr>
        <w:t xml:space="preserve"> </w:t>
      </w:r>
      <w:bookmarkStart w:id="161" w:name="_Hlk74904093"/>
      <w:r w:rsidRPr="00434F4C">
        <w:rPr>
          <w:szCs w:val="16"/>
          <w:lang w:val="fr-BE"/>
        </w:rPr>
        <w:t xml:space="preserve">CBI 2020. </w:t>
      </w:r>
      <w:r w:rsidRPr="002E1661">
        <w:rPr>
          <w:i/>
          <w:iCs/>
          <w:szCs w:val="16"/>
        </w:rPr>
        <w:t>Which trends offer opportunities or pose threats on the European cocoa market? 17 November 2020</w:t>
      </w:r>
      <w:r w:rsidRPr="002E1661">
        <w:rPr>
          <w:szCs w:val="16"/>
        </w:rPr>
        <w:t xml:space="preserve">. Available at: </w:t>
      </w:r>
      <w:hyperlink r:id="rId47" w:history="1">
        <w:r w:rsidRPr="002E1661">
          <w:rPr>
            <w:rStyle w:val="Hyperlink"/>
            <w:szCs w:val="16"/>
          </w:rPr>
          <w:t>https://www.cbi.eu/market-information/cocoa/trends</w:t>
        </w:r>
      </w:hyperlink>
      <w:r w:rsidRPr="002E1661">
        <w:rPr>
          <w:szCs w:val="16"/>
        </w:rPr>
        <w:t>.</w:t>
      </w:r>
      <w:bookmarkEnd w:id="161"/>
    </w:p>
  </w:footnote>
  <w:footnote w:id="158">
    <w:p w14:paraId="263D9242" w14:textId="77777777" w:rsidR="00EA7989" w:rsidRDefault="00EA7989" w:rsidP="000D0EF9">
      <w:pPr>
        <w:pStyle w:val="FootnoteText"/>
        <w:jc w:val="both"/>
      </w:pPr>
      <w:r>
        <w:rPr>
          <w:rStyle w:val="FootnoteReference"/>
        </w:rPr>
        <w:footnoteRef/>
      </w:r>
      <w:r>
        <w:t xml:space="preserve"> </w:t>
      </w:r>
      <w:r w:rsidRPr="00BF1A58">
        <w:t xml:space="preserve">Cadby, J., Araki, T. and Villacis, A.H. 2021. Breaking the mold: Craft chocolate makers prioritize quality, ethical and direct sourcing, and environmental welfare. </w:t>
      </w:r>
      <w:r w:rsidRPr="00BF1A58">
        <w:rPr>
          <w:i/>
          <w:iCs/>
        </w:rPr>
        <w:t>Journal of Agriculture and Food Research</w:t>
      </w:r>
      <w:r w:rsidRPr="00BF1A58">
        <w:t>, 4.</w:t>
      </w:r>
    </w:p>
  </w:footnote>
  <w:footnote w:id="159">
    <w:p w14:paraId="2320A580" w14:textId="77777777" w:rsidR="00EA7989" w:rsidRDefault="00EA7989" w:rsidP="000D0EF9">
      <w:pPr>
        <w:pStyle w:val="FootnoteText"/>
        <w:jc w:val="both"/>
      </w:pPr>
      <w:r>
        <w:rPr>
          <w:rStyle w:val="FootnoteReference"/>
        </w:rPr>
        <w:footnoteRef/>
      </w:r>
      <w:r>
        <w:t xml:space="preserve"> </w:t>
      </w:r>
      <w:r w:rsidRPr="00097458">
        <w:t xml:space="preserve">CBI 2020. </w:t>
      </w:r>
      <w:r w:rsidRPr="00097458">
        <w:rPr>
          <w:i/>
          <w:iCs/>
        </w:rPr>
        <w:t>What is the demand for cocoa on the European market? 11 November 2020</w:t>
      </w:r>
      <w:r w:rsidRPr="00097458">
        <w:t xml:space="preserve">. Available at: </w:t>
      </w:r>
      <w:hyperlink r:id="rId48" w:history="1">
        <w:r w:rsidRPr="00097458">
          <w:rPr>
            <w:rStyle w:val="Hyperlink"/>
          </w:rPr>
          <w:t>https://www.cbi.eu/market-information/cocoa/trade-statistics</w:t>
        </w:r>
      </w:hyperlink>
      <w:r w:rsidRPr="00097458">
        <w:t>.</w:t>
      </w:r>
    </w:p>
  </w:footnote>
  <w:footnote w:id="160">
    <w:p w14:paraId="3679E9D4" w14:textId="77777777" w:rsidR="00EA7989" w:rsidRDefault="00EA7989" w:rsidP="00FE7209">
      <w:pPr>
        <w:pStyle w:val="FootnoteText"/>
      </w:pPr>
      <w:r>
        <w:rPr>
          <w:rStyle w:val="FootnoteReference"/>
        </w:rPr>
        <w:footnoteRef/>
      </w:r>
      <w:r>
        <w:t xml:space="preserve"> </w:t>
      </w:r>
      <w:r w:rsidRPr="00A5174E">
        <w:rPr>
          <w:szCs w:val="16"/>
        </w:rPr>
        <w:t xml:space="preserve">CBI 2020. </w:t>
      </w:r>
      <w:r w:rsidRPr="00A5174E">
        <w:rPr>
          <w:i/>
          <w:iCs/>
          <w:szCs w:val="16"/>
        </w:rPr>
        <w:t>Which trends offer opportunities or pose threats on the European cocoa market? 17 November 2020</w:t>
      </w:r>
      <w:r w:rsidRPr="00A5174E">
        <w:rPr>
          <w:szCs w:val="16"/>
        </w:rPr>
        <w:t xml:space="preserve">. Available at: </w:t>
      </w:r>
      <w:hyperlink r:id="rId49" w:history="1">
        <w:r w:rsidRPr="00A5174E">
          <w:rPr>
            <w:rStyle w:val="Hyperlink"/>
            <w:szCs w:val="16"/>
          </w:rPr>
          <w:t>https://www.cbi.eu/market-information/cocoa/trends</w:t>
        </w:r>
      </w:hyperlink>
      <w:r w:rsidRPr="00A5174E">
        <w:rPr>
          <w:szCs w:val="16"/>
        </w:rPr>
        <w:t>.</w:t>
      </w:r>
    </w:p>
  </w:footnote>
  <w:footnote w:id="161">
    <w:p w14:paraId="7E0C4B0B" w14:textId="77777777" w:rsidR="00EA7989" w:rsidRDefault="00EA7989" w:rsidP="00FE7209">
      <w:pPr>
        <w:pStyle w:val="FootnoteText"/>
      </w:pPr>
      <w:r>
        <w:rPr>
          <w:rStyle w:val="FootnoteReference"/>
        </w:rPr>
        <w:footnoteRef/>
      </w:r>
      <w:r>
        <w:t xml:space="preserve"> </w:t>
      </w:r>
      <w:r w:rsidRPr="00A5174E">
        <w:rPr>
          <w:szCs w:val="16"/>
        </w:rPr>
        <w:t xml:space="preserve">CBI 2020. </w:t>
      </w:r>
      <w:r w:rsidRPr="00A5174E">
        <w:rPr>
          <w:i/>
          <w:iCs/>
          <w:szCs w:val="16"/>
        </w:rPr>
        <w:t>Which trends offer opportunities or pose threats on the European cocoa market? 17 November 2020</w:t>
      </w:r>
      <w:r w:rsidRPr="00A5174E">
        <w:rPr>
          <w:szCs w:val="16"/>
        </w:rPr>
        <w:t xml:space="preserve">. Available at: </w:t>
      </w:r>
      <w:hyperlink r:id="rId50" w:history="1">
        <w:r w:rsidRPr="00A5174E">
          <w:rPr>
            <w:rStyle w:val="Hyperlink"/>
            <w:szCs w:val="16"/>
          </w:rPr>
          <w:t>https://www.cbi.eu/market-information/cocoa/trends</w:t>
        </w:r>
      </w:hyperlink>
      <w:r w:rsidRPr="00A5174E">
        <w:rPr>
          <w:szCs w:val="16"/>
        </w:rPr>
        <w:t>.</w:t>
      </w:r>
    </w:p>
  </w:footnote>
  <w:footnote w:id="162">
    <w:p w14:paraId="38A7EDD1" w14:textId="77777777" w:rsidR="00EA7989" w:rsidRDefault="00EA7989" w:rsidP="00FE7209">
      <w:pPr>
        <w:pStyle w:val="FootnoteText"/>
      </w:pPr>
      <w:r>
        <w:rPr>
          <w:rStyle w:val="FootnoteReference"/>
        </w:rPr>
        <w:footnoteRef/>
      </w:r>
      <w:r>
        <w:t xml:space="preserve"> </w:t>
      </w:r>
      <w:r w:rsidRPr="00CB2804">
        <w:t>World Cocoa Foundation 2021. Cocoa &amp; Forests Initiative. Available at: https://www.worldcocoafoundation.org/initiative/cocoa-forests-initiative/.</w:t>
      </w:r>
    </w:p>
  </w:footnote>
  <w:footnote w:id="163">
    <w:p w14:paraId="1D5B387B" w14:textId="77777777" w:rsidR="00EA7989" w:rsidRPr="009D4017" w:rsidRDefault="00EA7989" w:rsidP="00FE7209">
      <w:pPr>
        <w:spacing w:after="0"/>
        <w:rPr>
          <w:sz w:val="16"/>
          <w:szCs w:val="16"/>
        </w:rPr>
      </w:pPr>
      <w:r w:rsidRPr="009D4017">
        <w:rPr>
          <w:rStyle w:val="FootnoteReference"/>
          <w:sz w:val="16"/>
          <w:szCs w:val="16"/>
        </w:rPr>
        <w:footnoteRef/>
      </w:r>
      <w:r w:rsidRPr="009D4017">
        <w:rPr>
          <w:sz w:val="16"/>
          <w:szCs w:val="16"/>
        </w:rPr>
        <w:t xml:space="preserve"> </w:t>
      </w:r>
      <w:hyperlink r:id="rId51" w:history="1">
        <w:r w:rsidRPr="009D4017">
          <w:rPr>
            <w:rStyle w:val="Hyperlink"/>
            <w:sz w:val="16"/>
            <w:szCs w:val="16"/>
          </w:rPr>
          <w:t>https://www.unilever.com/planet-and-society/protect-and-regenerate-nature/zero-deforestation/</w:t>
        </w:r>
      </w:hyperlink>
    </w:p>
  </w:footnote>
  <w:footnote w:id="164">
    <w:p w14:paraId="4F927A15" w14:textId="77777777" w:rsidR="00EA7989" w:rsidRPr="009D4017" w:rsidRDefault="00EA7989" w:rsidP="00FE7209">
      <w:pPr>
        <w:spacing w:after="0"/>
        <w:rPr>
          <w:sz w:val="16"/>
          <w:szCs w:val="16"/>
        </w:rPr>
      </w:pPr>
      <w:r w:rsidRPr="009D4017">
        <w:rPr>
          <w:rStyle w:val="FootnoteReference"/>
          <w:sz w:val="16"/>
          <w:szCs w:val="16"/>
        </w:rPr>
        <w:footnoteRef/>
      </w:r>
      <w:r w:rsidRPr="009D4017">
        <w:rPr>
          <w:sz w:val="16"/>
          <w:szCs w:val="16"/>
        </w:rPr>
        <w:t xml:space="preserve"> </w:t>
      </w:r>
      <w:hyperlink r:id="rId52" w:history="1">
        <w:r w:rsidRPr="009D4017">
          <w:rPr>
            <w:rStyle w:val="Hyperlink"/>
            <w:sz w:val="16"/>
            <w:szCs w:val="16"/>
          </w:rPr>
          <w:t>https://www.nestle.com/ask-nestle/environment/answers/nestle-deforestation</w:t>
        </w:r>
      </w:hyperlink>
    </w:p>
  </w:footnote>
  <w:footnote w:id="165">
    <w:p w14:paraId="416268B2" w14:textId="77777777" w:rsidR="00EA7989" w:rsidRPr="009D4017" w:rsidRDefault="00EA7989" w:rsidP="00FE7209">
      <w:pPr>
        <w:spacing w:after="0"/>
        <w:rPr>
          <w:sz w:val="16"/>
          <w:szCs w:val="16"/>
        </w:rPr>
      </w:pPr>
      <w:r w:rsidRPr="009D4017">
        <w:rPr>
          <w:rStyle w:val="FootnoteReference"/>
          <w:sz w:val="16"/>
          <w:szCs w:val="16"/>
        </w:rPr>
        <w:footnoteRef/>
      </w:r>
      <w:r w:rsidRPr="009D4017">
        <w:rPr>
          <w:sz w:val="16"/>
          <w:szCs w:val="16"/>
        </w:rPr>
        <w:t xml:space="preserve"> </w:t>
      </w:r>
      <w:hyperlink r:id="rId53" w:history="1">
        <w:r w:rsidRPr="009D4017">
          <w:rPr>
            <w:rStyle w:val="Hyperlink"/>
            <w:sz w:val="16"/>
            <w:szCs w:val="16"/>
          </w:rPr>
          <w:t>https://www.reuters.com/article/us-mars-palmoil-forests-idUSKBN26T1U3</w:t>
        </w:r>
      </w:hyperlink>
      <w:r w:rsidRPr="009D4017">
        <w:rPr>
          <w:sz w:val="16"/>
          <w:szCs w:val="16"/>
        </w:rPr>
        <w:t xml:space="preserve"> </w:t>
      </w:r>
    </w:p>
  </w:footnote>
  <w:footnote w:id="166">
    <w:p w14:paraId="19B1B869" w14:textId="77777777" w:rsidR="00EA7989" w:rsidRPr="00556ADC" w:rsidRDefault="00EA7989" w:rsidP="00402941">
      <w:pPr>
        <w:pStyle w:val="FootnoteText"/>
        <w:jc w:val="both"/>
      </w:pPr>
      <w:r>
        <w:rPr>
          <w:rStyle w:val="FootnoteReference"/>
        </w:rPr>
        <w:footnoteRef/>
      </w:r>
      <w:r>
        <w:t xml:space="preserve"> </w:t>
      </w:r>
      <w:r w:rsidRPr="00556ADC">
        <w:t>Cocoa Forests initiative, European Cocoa Association, International Cocoa Organisation, FEDIOL and COCERAL, GIZ, Nestle and the Round Table on Responsible Soy</w:t>
      </w:r>
    </w:p>
    <w:p w14:paraId="16941378" w14:textId="4055D5B9" w:rsidR="00EA7989" w:rsidRPr="00556ADC" w:rsidRDefault="00EA7989">
      <w:pPr>
        <w:pStyle w:val="FootnoteText"/>
      </w:pPr>
    </w:p>
  </w:footnote>
  <w:footnote w:id="167">
    <w:p w14:paraId="530D74F0" w14:textId="77777777" w:rsidR="00EA7989" w:rsidRPr="006117FB" w:rsidRDefault="00EA7989" w:rsidP="007D32A0">
      <w:pPr>
        <w:widowControl w:val="0"/>
        <w:autoSpaceDE w:val="0"/>
        <w:autoSpaceDN w:val="0"/>
        <w:adjustRightInd w:val="0"/>
        <w:spacing w:after="0" w:line="240" w:lineRule="auto"/>
        <w:rPr>
          <w:rFonts w:cs="Times New Roman"/>
          <w:noProof/>
          <w:szCs w:val="16"/>
        </w:rPr>
      </w:pPr>
      <w:r w:rsidRPr="00F8314F">
        <w:rPr>
          <w:rStyle w:val="FootnoteReference"/>
        </w:rPr>
        <w:footnoteRef/>
      </w:r>
      <w:r w:rsidRPr="005D6D16">
        <w:rPr>
          <w:rFonts w:cs="Times New Roman"/>
          <w:sz w:val="16"/>
          <w:szCs w:val="16"/>
          <w:lang w:val="en-US"/>
        </w:rPr>
        <w:t xml:space="preserve"> </w:t>
      </w:r>
      <w:r w:rsidRPr="005D6D16">
        <w:rPr>
          <w:rFonts w:cs="Times New Roman"/>
          <w:noProof/>
          <w:sz w:val="16"/>
          <w:szCs w:val="16"/>
          <w:lang w:val="en-US"/>
        </w:rPr>
        <w:t xml:space="preserve">Kroeger, A., Koenig, S., Thomson, A. and Streck, C. 2017. </w:t>
      </w:r>
      <w:r w:rsidRPr="006117FB">
        <w:rPr>
          <w:rFonts w:cs="Times New Roman"/>
          <w:i/>
          <w:iCs/>
          <w:noProof/>
          <w:sz w:val="16"/>
          <w:szCs w:val="16"/>
        </w:rPr>
        <w:t>Forest- and Climate-Smart Cocoa in Côte d’Ivoire and Ghana, aligning stakeholders to support smallholders in deforestation-free cocoa</w:t>
      </w:r>
      <w:r w:rsidRPr="006117FB">
        <w:rPr>
          <w:rFonts w:cs="Times New Roman"/>
          <w:noProof/>
          <w:sz w:val="16"/>
          <w:szCs w:val="16"/>
        </w:rPr>
        <w:t>. Washington.</w:t>
      </w:r>
    </w:p>
  </w:footnote>
  <w:footnote w:id="168">
    <w:p w14:paraId="464C0FA0" w14:textId="77777777" w:rsidR="00EA7989" w:rsidRPr="007022D3" w:rsidRDefault="00EA7989" w:rsidP="007D32A0">
      <w:pPr>
        <w:pStyle w:val="FootnoteText"/>
        <w:rPr>
          <w:rFonts w:cs="Times New Roman"/>
          <w:szCs w:val="16"/>
        </w:rPr>
      </w:pPr>
      <w:r w:rsidRPr="00F8314F">
        <w:rPr>
          <w:rStyle w:val="FootnoteReference"/>
        </w:rPr>
        <w:footnoteRef/>
      </w:r>
      <w:r w:rsidRPr="007022D3">
        <w:rPr>
          <w:rFonts w:cs="Times New Roman"/>
          <w:szCs w:val="16"/>
        </w:rPr>
        <w:t xml:space="preserve"> </w:t>
      </w:r>
      <w:r w:rsidRPr="006117FB">
        <w:rPr>
          <w:rFonts w:cs="Times New Roman"/>
          <w:noProof/>
          <w:szCs w:val="16"/>
        </w:rPr>
        <w:t xml:space="preserve">Schulte, I., Landholm, D.M., Bakhtary, H., Czaplicki Cabezas, S. Siantidis, S., Manirajah, S.M. and Streck, C. 2020. </w:t>
      </w:r>
      <w:r w:rsidRPr="006117FB">
        <w:rPr>
          <w:rFonts w:cs="Times New Roman"/>
          <w:i/>
          <w:iCs/>
          <w:noProof/>
          <w:szCs w:val="16"/>
        </w:rPr>
        <w:t>Supporting smallholder farmers for a sustainable cocoa sector: exploring the motivations and role of farmers in the effective implementation of supply chain sustainability in Ghana and Côte d’Ivoire</w:t>
      </w:r>
      <w:r w:rsidRPr="006117FB">
        <w:rPr>
          <w:rFonts w:cs="Times New Roman"/>
          <w:noProof/>
          <w:szCs w:val="16"/>
        </w:rPr>
        <w:t>. Washington (DC)</w:t>
      </w:r>
    </w:p>
  </w:footnote>
  <w:footnote w:id="169">
    <w:p w14:paraId="6F00514D" w14:textId="77777777" w:rsidR="00EA7989" w:rsidRPr="006117FB" w:rsidRDefault="00EA7989" w:rsidP="007D32A0">
      <w:pPr>
        <w:widowControl w:val="0"/>
        <w:autoSpaceDE w:val="0"/>
        <w:autoSpaceDN w:val="0"/>
        <w:adjustRightInd w:val="0"/>
        <w:spacing w:after="0" w:line="240" w:lineRule="auto"/>
        <w:rPr>
          <w:rFonts w:cs="Times New Roman"/>
          <w:noProof/>
          <w:szCs w:val="16"/>
        </w:rPr>
      </w:pPr>
      <w:r w:rsidRPr="00F8314F">
        <w:rPr>
          <w:rStyle w:val="FootnoteReference"/>
        </w:rPr>
        <w:footnoteRef/>
      </w:r>
      <w:r w:rsidRPr="006117FB">
        <w:rPr>
          <w:rFonts w:cs="Times New Roman"/>
          <w:sz w:val="16"/>
          <w:szCs w:val="16"/>
        </w:rPr>
        <w:t xml:space="preserve"> </w:t>
      </w:r>
      <w:r w:rsidRPr="006117FB">
        <w:rPr>
          <w:rFonts w:cs="Times New Roman"/>
          <w:noProof/>
          <w:sz w:val="16"/>
          <w:szCs w:val="16"/>
        </w:rPr>
        <w:t xml:space="preserve">Ongolo, S., Kouassi, S.K., Chérif, S. and Giessen, L. 2018. The tragedy of forestland sustainability in postcolonial Africa: Land development, cocoa, and politics in Côte d’Ivoire. </w:t>
      </w:r>
      <w:r w:rsidRPr="006117FB">
        <w:rPr>
          <w:rFonts w:cs="Times New Roman"/>
          <w:i/>
          <w:iCs/>
          <w:noProof/>
          <w:sz w:val="16"/>
          <w:szCs w:val="16"/>
        </w:rPr>
        <w:t>Sustainability (Switzerland)</w:t>
      </w:r>
      <w:r w:rsidRPr="006117FB">
        <w:rPr>
          <w:rFonts w:cs="Times New Roman"/>
          <w:noProof/>
          <w:sz w:val="16"/>
          <w:szCs w:val="16"/>
        </w:rPr>
        <w:t>, 10(12): 1–17.</w:t>
      </w:r>
    </w:p>
  </w:footnote>
  <w:footnote w:id="170">
    <w:p w14:paraId="7A3BF18D" w14:textId="77777777" w:rsidR="00EA7989" w:rsidRPr="007D32A0" w:rsidRDefault="00EA7989" w:rsidP="007D32A0">
      <w:pPr>
        <w:widowControl w:val="0"/>
        <w:autoSpaceDE w:val="0"/>
        <w:autoSpaceDN w:val="0"/>
        <w:adjustRightInd w:val="0"/>
        <w:spacing w:after="0" w:line="240" w:lineRule="auto"/>
        <w:jc w:val="both"/>
        <w:rPr>
          <w:rFonts w:cs="Times New Roman"/>
          <w:noProof/>
          <w:sz w:val="18"/>
          <w:szCs w:val="18"/>
        </w:rPr>
      </w:pPr>
      <w:r w:rsidRPr="007D32A0">
        <w:rPr>
          <w:rStyle w:val="FootnoteReference"/>
          <w:sz w:val="18"/>
          <w:szCs w:val="18"/>
        </w:rPr>
        <w:footnoteRef/>
      </w:r>
      <w:r w:rsidRPr="007D32A0">
        <w:rPr>
          <w:rFonts w:cs="Times New Roman"/>
          <w:sz w:val="18"/>
          <w:szCs w:val="18"/>
        </w:rPr>
        <w:t xml:space="preserve"> </w:t>
      </w:r>
      <w:r w:rsidRPr="007D32A0">
        <w:rPr>
          <w:rFonts w:cs="Times New Roman"/>
          <w:noProof/>
          <w:sz w:val="18"/>
          <w:szCs w:val="18"/>
        </w:rPr>
        <w:t xml:space="preserve">Kroeger, A., Koenig, S., Thomson, A. and Streck, C. 2017. </w:t>
      </w:r>
      <w:r w:rsidRPr="007D32A0">
        <w:rPr>
          <w:rFonts w:cs="Times New Roman"/>
          <w:i/>
          <w:iCs/>
          <w:noProof/>
          <w:sz w:val="18"/>
          <w:szCs w:val="18"/>
        </w:rPr>
        <w:t>Forest- and Climate-Smart Cocoa in Côte d’Ivoire and Ghana, aligning stakeholders to support smallholders in deforestation-free cocoa</w:t>
      </w:r>
      <w:r w:rsidRPr="007D32A0">
        <w:rPr>
          <w:rFonts w:cs="Times New Roman"/>
          <w:noProof/>
          <w:sz w:val="18"/>
          <w:szCs w:val="18"/>
        </w:rPr>
        <w:t>. Washington.</w:t>
      </w:r>
    </w:p>
  </w:footnote>
  <w:footnote w:id="171">
    <w:p w14:paraId="1157D27C" w14:textId="36F4C88F" w:rsidR="00EA7989" w:rsidRPr="007D32A0" w:rsidRDefault="00EA7989" w:rsidP="007D32A0">
      <w:pPr>
        <w:widowControl w:val="0"/>
        <w:autoSpaceDE w:val="0"/>
        <w:autoSpaceDN w:val="0"/>
        <w:adjustRightInd w:val="0"/>
        <w:spacing w:after="0" w:line="240" w:lineRule="auto"/>
        <w:jc w:val="both"/>
        <w:rPr>
          <w:rFonts w:cs="Times New Roman"/>
          <w:noProof/>
          <w:sz w:val="18"/>
          <w:szCs w:val="18"/>
        </w:rPr>
      </w:pPr>
      <w:r w:rsidRPr="007D32A0">
        <w:rPr>
          <w:rStyle w:val="FootnoteReference"/>
          <w:sz w:val="18"/>
          <w:szCs w:val="18"/>
        </w:rPr>
        <w:footnoteRef/>
      </w:r>
      <w:r w:rsidRPr="007D32A0">
        <w:rPr>
          <w:rFonts w:cs="Times New Roman"/>
          <w:sz w:val="18"/>
          <w:szCs w:val="18"/>
        </w:rPr>
        <w:t xml:space="preserve"> </w:t>
      </w:r>
      <w:r w:rsidRPr="007D32A0">
        <w:rPr>
          <w:rFonts w:cs="Times New Roman"/>
          <w:noProof/>
          <w:sz w:val="18"/>
          <w:szCs w:val="18"/>
        </w:rPr>
        <w:t xml:space="preserve">Brack, D. 2019. </w:t>
      </w:r>
      <w:r w:rsidRPr="007D32A0">
        <w:rPr>
          <w:rFonts w:cs="Times New Roman"/>
          <w:i/>
          <w:iCs/>
          <w:noProof/>
          <w:sz w:val="18"/>
          <w:szCs w:val="18"/>
        </w:rPr>
        <w:t>Towards sustainable cocoa supply chains: Regulatory options for the EU</w:t>
      </w:r>
      <w:r w:rsidRPr="007D32A0">
        <w:rPr>
          <w:rFonts w:cs="Times New Roman"/>
          <w:noProof/>
          <w:sz w:val="18"/>
          <w:szCs w:val="18"/>
        </w:rPr>
        <w:t>. 52 pp.</w:t>
      </w:r>
    </w:p>
  </w:footnote>
  <w:footnote w:id="172">
    <w:p w14:paraId="71329824" w14:textId="77777777" w:rsidR="00EA7989" w:rsidRPr="007D32A0" w:rsidRDefault="00EA7989" w:rsidP="007D32A0">
      <w:pPr>
        <w:widowControl w:val="0"/>
        <w:autoSpaceDE w:val="0"/>
        <w:autoSpaceDN w:val="0"/>
        <w:adjustRightInd w:val="0"/>
        <w:spacing w:after="0" w:line="240" w:lineRule="auto"/>
        <w:jc w:val="both"/>
        <w:rPr>
          <w:rFonts w:cs="Times New Roman"/>
          <w:sz w:val="18"/>
          <w:szCs w:val="18"/>
        </w:rPr>
      </w:pPr>
      <w:r w:rsidRPr="007D32A0">
        <w:rPr>
          <w:rStyle w:val="FootnoteReference"/>
          <w:sz w:val="18"/>
          <w:szCs w:val="18"/>
        </w:rPr>
        <w:footnoteRef/>
      </w:r>
      <w:r w:rsidRPr="007D32A0">
        <w:rPr>
          <w:rFonts w:cs="Times New Roman"/>
          <w:sz w:val="18"/>
          <w:szCs w:val="18"/>
        </w:rPr>
        <w:t xml:space="preserve"> </w:t>
      </w:r>
      <w:r w:rsidRPr="007D32A0">
        <w:rPr>
          <w:rFonts w:cs="Times New Roman"/>
          <w:noProof/>
          <w:sz w:val="18"/>
          <w:szCs w:val="18"/>
        </w:rPr>
        <w:t xml:space="preserve">Bakhtary, H., Matson, E., Mikulcak, F., Streck, C. and Thomson, A. 2020. </w:t>
      </w:r>
      <w:r w:rsidRPr="007D32A0">
        <w:rPr>
          <w:rFonts w:cs="Times New Roman"/>
          <w:i/>
          <w:iCs/>
          <w:noProof/>
          <w:sz w:val="18"/>
          <w:szCs w:val="18"/>
        </w:rPr>
        <w:t>Company progress in engaging smallholders to implement zero- deforestation commitments in cocoa and palm oil</w:t>
      </w:r>
      <w:r w:rsidRPr="007D32A0">
        <w:rPr>
          <w:rFonts w:cs="Times New Roman"/>
          <w:noProof/>
          <w:sz w:val="18"/>
          <w:szCs w:val="18"/>
        </w:rPr>
        <w:t>.</w:t>
      </w:r>
    </w:p>
  </w:footnote>
  <w:footnote w:id="173">
    <w:p w14:paraId="2DC30113" w14:textId="5FBD8CB3" w:rsidR="00EA7989" w:rsidRPr="003F6792" w:rsidRDefault="00EA7989">
      <w:pPr>
        <w:pStyle w:val="FootnoteText"/>
      </w:pPr>
      <w:r>
        <w:rPr>
          <w:rStyle w:val="FootnoteReference"/>
        </w:rPr>
        <w:footnoteRef/>
      </w:r>
      <w:r>
        <w:t xml:space="preserve"> </w:t>
      </w:r>
      <w:r w:rsidRPr="003F6792">
        <w:t>https://www.idhsustainabletrade.com/uploaded/2021/04/Cocoa-Traceability-Study_Highres.pdf</w:t>
      </w:r>
    </w:p>
  </w:footnote>
  <w:footnote w:id="174">
    <w:p w14:paraId="5AC6B42B" w14:textId="60D43865" w:rsidR="00EA7989" w:rsidRPr="003F6792" w:rsidRDefault="00EA7989">
      <w:pPr>
        <w:pStyle w:val="FootnoteText"/>
      </w:pPr>
      <w:r>
        <w:rPr>
          <w:rStyle w:val="FootnoteReference"/>
        </w:rPr>
        <w:footnoteRef/>
      </w:r>
      <w:r>
        <w:t xml:space="preserve"> </w:t>
      </w:r>
      <w:r w:rsidRPr="003F6792">
        <w:t>https://ec.europa.eu/international-partnerships/events/eu-multi-stakeholder-dialogue-sustainable-cocoa-launch-event_en</w:t>
      </w:r>
    </w:p>
  </w:footnote>
  <w:footnote w:id="175">
    <w:p w14:paraId="3D0386A7" w14:textId="77777777" w:rsidR="00EA7989" w:rsidRPr="007D32A0" w:rsidRDefault="00EA7989" w:rsidP="007D32A0">
      <w:pPr>
        <w:pStyle w:val="FootnoteText"/>
        <w:jc w:val="both"/>
        <w:rPr>
          <w:sz w:val="18"/>
          <w:szCs w:val="18"/>
        </w:rPr>
      </w:pPr>
      <w:r w:rsidRPr="007D32A0">
        <w:rPr>
          <w:rStyle w:val="FootnoteReference"/>
          <w:sz w:val="18"/>
          <w:szCs w:val="18"/>
        </w:rPr>
        <w:footnoteRef/>
      </w:r>
      <w:r w:rsidRPr="00434F4C">
        <w:rPr>
          <w:sz w:val="18"/>
          <w:szCs w:val="18"/>
        </w:rPr>
        <w:t xml:space="preserve"> IDH and IUCN NL (2019) European Soy Monitor. </w:t>
      </w:r>
      <w:r w:rsidRPr="007D32A0">
        <w:rPr>
          <w:sz w:val="18"/>
          <w:szCs w:val="18"/>
        </w:rPr>
        <w:t xml:space="preserve">Available at: https://www.idhsustainabletrade.com/uploaded/2019/04/European-Soy-Monitor.pdf </w:t>
      </w:r>
    </w:p>
  </w:footnote>
  <w:footnote w:id="176">
    <w:p w14:paraId="48666D02" w14:textId="2FFF1E55" w:rsidR="00EA7989" w:rsidRPr="003F6792" w:rsidRDefault="00EA7989">
      <w:pPr>
        <w:pStyle w:val="FootnoteText"/>
      </w:pPr>
      <w:r>
        <w:rPr>
          <w:rStyle w:val="FootnoteReference"/>
        </w:rPr>
        <w:footnoteRef/>
      </w:r>
      <w:r>
        <w:t xml:space="preserve"> </w:t>
      </w:r>
      <w:r w:rsidRPr="003F6792">
        <w:t>Pendrill et al. (2020)</w:t>
      </w:r>
    </w:p>
  </w:footnote>
  <w:footnote w:id="177">
    <w:p w14:paraId="4B518BF6" w14:textId="77777777" w:rsidR="00EA7989" w:rsidRPr="007D32A0" w:rsidRDefault="00EA7989" w:rsidP="007D32A0">
      <w:pPr>
        <w:pStyle w:val="FootnoteText"/>
        <w:jc w:val="both"/>
        <w:rPr>
          <w:sz w:val="18"/>
          <w:szCs w:val="18"/>
        </w:rPr>
      </w:pPr>
      <w:r w:rsidRPr="007D32A0">
        <w:rPr>
          <w:rStyle w:val="FootnoteReference"/>
          <w:sz w:val="18"/>
          <w:szCs w:val="18"/>
        </w:rPr>
        <w:footnoteRef/>
      </w:r>
      <w:r w:rsidRPr="007D32A0">
        <w:rPr>
          <w:sz w:val="18"/>
          <w:szCs w:val="18"/>
        </w:rPr>
        <w:t xml:space="preserve"> USDA (2021) European Union: Oilseeds and Products Annual. Available at: https://www.fas.usda.gov/data/european-union-oilseeds-and-products-annual-1</w:t>
      </w:r>
    </w:p>
  </w:footnote>
  <w:footnote w:id="178">
    <w:p w14:paraId="66B75AA9" w14:textId="77777777" w:rsidR="00EA7989" w:rsidRPr="009205BC" w:rsidRDefault="00EA7989" w:rsidP="007D32A0">
      <w:pPr>
        <w:pStyle w:val="FootnoteText"/>
        <w:jc w:val="both"/>
      </w:pPr>
      <w:r w:rsidRPr="007D32A0">
        <w:rPr>
          <w:rStyle w:val="FootnoteReference"/>
          <w:sz w:val="18"/>
          <w:szCs w:val="18"/>
        </w:rPr>
        <w:footnoteRef/>
      </w:r>
      <w:r w:rsidRPr="007D32A0">
        <w:rPr>
          <w:sz w:val="18"/>
          <w:szCs w:val="18"/>
        </w:rPr>
        <w:t xml:space="preserve"> Jafari, Y., Othman, J., Witzke, P., and Jusoh, S. 2017. </w:t>
      </w:r>
      <w:r w:rsidRPr="007D32A0">
        <w:rPr>
          <w:i/>
          <w:iCs/>
          <w:sz w:val="18"/>
          <w:szCs w:val="18"/>
        </w:rPr>
        <w:t xml:space="preserve">Risks and opportunities from key importers pushing for sustainability: the case of Indonesian Palm Oil. </w:t>
      </w:r>
      <w:r w:rsidRPr="007D32A0">
        <w:rPr>
          <w:sz w:val="18"/>
          <w:szCs w:val="18"/>
        </w:rPr>
        <w:t xml:space="preserve">Available at: </w:t>
      </w:r>
      <w:hyperlink r:id="rId54" w:history="1">
        <w:r w:rsidRPr="007D32A0">
          <w:rPr>
            <w:rStyle w:val="Hyperlink"/>
            <w:sz w:val="18"/>
            <w:szCs w:val="18"/>
          </w:rPr>
          <w:t>https://agrifoodecon.springeropen.com/articles/10.1186/s40100-017-0083-z</w:t>
        </w:r>
      </w:hyperlink>
      <w:r w:rsidRPr="007D32A0">
        <w:rPr>
          <w:sz w:val="18"/>
          <w:szCs w:val="18"/>
        </w:rPr>
        <w:t xml:space="preserve">. See also Rifin, A., Feryanto, Herawati and Harianto. 2020. </w:t>
      </w:r>
      <w:r w:rsidRPr="007D32A0">
        <w:rPr>
          <w:i/>
          <w:iCs/>
          <w:sz w:val="18"/>
          <w:szCs w:val="18"/>
        </w:rPr>
        <w:t>Assessing the impact of limiting Indonesian palm oil exports to the European Union.</w:t>
      </w:r>
      <w:r w:rsidRPr="007D32A0">
        <w:rPr>
          <w:sz w:val="18"/>
          <w:szCs w:val="18"/>
        </w:rPr>
        <w:t xml:space="preserve"> Available at: https://</w:t>
      </w:r>
      <w:r w:rsidRPr="00AF1DDB">
        <w:t>journalofeconomicstructures.springeropen.com/articles/10.1186/s40008-020-00202-8</w:t>
      </w:r>
    </w:p>
  </w:footnote>
  <w:footnote w:id="179">
    <w:p w14:paraId="231DED3F" w14:textId="77777777" w:rsidR="00EA7989" w:rsidRDefault="00EA7989" w:rsidP="007D32A0">
      <w:pPr>
        <w:pStyle w:val="FootnoteText"/>
      </w:pPr>
      <w:r>
        <w:rPr>
          <w:rStyle w:val="FootnoteReference"/>
        </w:rPr>
        <w:footnoteRef/>
      </w:r>
      <w:r>
        <w:t xml:space="preserve"> Data from Comtrade (2019). </w:t>
      </w:r>
    </w:p>
  </w:footnote>
  <w:footnote w:id="180">
    <w:p w14:paraId="4E235A49" w14:textId="77777777" w:rsidR="00EA7989" w:rsidRPr="00F163FF" w:rsidRDefault="00EA7989" w:rsidP="007D32A0">
      <w:pPr>
        <w:pStyle w:val="FootnoteText"/>
        <w:rPr>
          <w:rFonts w:cs="Times New Roman"/>
          <w:szCs w:val="16"/>
          <w:lang w:val="fr-BE"/>
        </w:rPr>
      </w:pPr>
      <w:r w:rsidRPr="00700BED">
        <w:rPr>
          <w:rStyle w:val="FootnoteReference"/>
          <w:rFonts w:cs="Times New Roman"/>
          <w:szCs w:val="16"/>
        </w:rPr>
        <w:footnoteRef/>
      </w:r>
      <w:r w:rsidRPr="00700BED">
        <w:rPr>
          <w:rFonts w:cs="Times New Roman"/>
          <w:szCs w:val="16"/>
        </w:rPr>
        <w:t xml:space="preserve"> </w:t>
      </w:r>
      <w:r>
        <w:rPr>
          <w:rFonts w:cs="Times New Roman"/>
          <w:szCs w:val="16"/>
        </w:rPr>
        <w:t xml:space="preserve">Lyons-White, J., and Knight, A. 2018. </w:t>
      </w:r>
      <w:r>
        <w:rPr>
          <w:rFonts w:cs="Times New Roman"/>
          <w:i/>
          <w:iCs/>
          <w:szCs w:val="16"/>
        </w:rPr>
        <w:t xml:space="preserve">Palm oil supply chain complexity impedes implementation of corporate no-deforestation commitments. </w:t>
      </w:r>
      <w:r w:rsidRPr="00F163FF">
        <w:rPr>
          <w:rFonts w:cs="Times New Roman"/>
          <w:szCs w:val="16"/>
          <w:lang w:val="fr-BE"/>
        </w:rPr>
        <w:t>Available at</w:t>
      </w:r>
      <w:r w:rsidRPr="00F163FF">
        <w:rPr>
          <w:rFonts w:cs="Times New Roman"/>
          <w:i/>
          <w:szCs w:val="16"/>
          <w:lang w:val="fr-BE"/>
        </w:rPr>
        <w:t xml:space="preserve"> </w:t>
      </w:r>
      <w:hyperlink r:id="rId55" w:history="1">
        <w:r w:rsidRPr="00F163FF">
          <w:rPr>
            <w:rStyle w:val="Hyperlink"/>
            <w:rFonts w:cs="Times New Roman"/>
            <w:lang w:val="fr-BE"/>
          </w:rPr>
          <w:t>https://www.sciencedirect.com/science/article/pii/S0959378017310117</w:t>
        </w:r>
      </w:hyperlink>
      <w:r w:rsidRPr="00F163FF">
        <w:rPr>
          <w:rFonts w:cs="Times New Roman"/>
          <w:szCs w:val="16"/>
          <w:u w:val="single"/>
          <w:shd w:val="clear" w:color="auto" w:fill="FFFFFF"/>
          <w:lang w:val="fr-BE"/>
        </w:rPr>
        <w:t> </w:t>
      </w:r>
    </w:p>
  </w:footnote>
  <w:footnote w:id="181">
    <w:p w14:paraId="64189172" w14:textId="375EBB31" w:rsidR="00EA7989" w:rsidRPr="00841C68" w:rsidRDefault="00EA7989" w:rsidP="00841C68">
      <w:pPr>
        <w:pStyle w:val="FootnoteText"/>
        <w:jc w:val="both"/>
        <w:rPr>
          <w:lang w:val="en-US"/>
        </w:rPr>
      </w:pPr>
      <w:r>
        <w:rPr>
          <w:rStyle w:val="FootnoteReference"/>
        </w:rPr>
        <w:footnoteRef/>
      </w:r>
      <w:r w:rsidRPr="00F163FF">
        <w:rPr>
          <w:lang w:val="fr-BE"/>
        </w:rPr>
        <w:t xml:space="preserve"> </w:t>
      </w:r>
      <w:r w:rsidRPr="00F163FF">
        <w:rPr>
          <w:szCs w:val="16"/>
          <w:lang w:val="fr-BE"/>
        </w:rPr>
        <w:t xml:space="preserve">Eurostat, 2021. </w:t>
      </w:r>
      <w:hyperlink r:id="rId56" w:history="1">
        <w:r w:rsidRPr="00233560">
          <w:rPr>
            <w:rStyle w:val="Hyperlink"/>
            <w:szCs w:val="16"/>
            <w:lang w:val="en-US"/>
          </w:rPr>
          <w:t>https://ec.europa.eu/eurostat/web/international-trade-in-goods/data/focus-on-comext</w:t>
        </w:r>
      </w:hyperlink>
      <w:r w:rsidRPr="00233560">
        <w:rPr>
          <w:szCs w:val="16"/>
          <w:lang w:val="en-US"/>
        </w:rPr>
        <w:t xml:space="preserve">. </w:t>
      </w:r>
      <w:r>
        <w:rPr>
          <w:szCs w:val="16"/>
        </w:rPr>
        <w:t xml:space="preserve">Downloaded on </w:t>
      </w:r>
      <w:r>
        <w:rPr>
          <w:rFonts w:ascii="Calibri" w:eastAsia="Calibri" w:hAnsi="Calibri" w:cs="Calibri"/>
          <w:szCs w:val="16"/>
        </w:rPr>
        <w:t>12/02/2021.</w:t>
      </w:r>
      <w:r w:rsidRPr="007A36C3">
        <w:rPr>
          <w:szCs w:val="16"/>
        </w:rPr>
        <w:t xml:space="preserve"> </w:t>
      </w:r>
      <w:r>
        <w:rPr>
          <w:szCs w:val="16"/>
        </w:rPr>
        <w:t xml:space="preserve">The trade data included in Eurostat ComExt are based on trade between two trading partners and do </w:t>
      </w:r>
      <w:r>
        <w:rPr>
          <w:i/>
          <w:iCs/>
          <w:szCs w:val="16"/>
        </w:rPr>
        <w:t xml:space="preserve">not </w:t>
      </w:r>
      <w:r>
        <w:rPr>
          <w:szCs w:val="16"/>
        </w:rPr>
        <w:t>provide details on whether the exporting country is also the country of origin for either the commodity or raw product. The third countries should therefore not be assumed to be the sole country of origin for the reported trade.</w:t>
      </w:r>
    </w:p>
  </w:footnote>
  <w:footnote w:id="182">
    <w:p w14:paraId="30116AC3" w14:textId="77777777" w:rsidR="00EA7989" w:rsidRPr="00AD48F8" w:rsidRDefault="00EA7989" w:rsidP="001A4666">
      <w:pPr>
        <w:pStyle w:val="FootnoteText"/>
        <w:rPr>
          <w:rFonts w:cs="Times New Roman"/>
        </w:rPr>
      </w:pPr>
      <w:r w:rsidRPr="00AD48F8">
        <w:rPr>
          <w:rStyle w:val="FootnoteReference"/>
          <w:rFonts w:cs="Times New Roman"/>
        </w:rPr>
        <w:footnoteRef/>
      </w:r>
      <w:r w:rsidRPr="00AD48F8">
        <w:rPr>
          <w:rFonts w:cs="Times New Roman"/>
        </w:rPr>
        <w:t xml:space="preserve"> Pacheco P, Gnych S, Dermawan A, Komarudin H and Okarda B. 2017. </w:t>
      </w:r>
      <w:r w:rsidRPr="00657D8E">
        <w:rPr>
          <w:rFonts w:cs="Times New Roman"/>
          <w:i/>
          <w:iCs/>
        </w:rPr>
        <w:t>The palm oil global value chain: Implications for economic growth and social and environmental sustainability</w:t>
      </w:r>
      <w:r w:rsidRPr="00AD48F8">
        <w:rPr>
          <w:rFonts w:cs="Times New Roman"/>
        </w:rPr>
        <w:t>. Working Paper 220. Bogor, Indonesia: CIFOR.</w:t>
      </w:r>
    </w:p>
  </w:footnote>
  <w:footnote w:id="183">
    <w:p w14:paraId="273986F8" w14:textId="77777777" w:rsidR="00EA7989" w:rsidRPr="00AB7D46" w:rsidRDefault="00EA7989" w:rsidP="00362EF8">
      <w:pPr>
        <w:pStyle w:val="FootnoteText"/>
        <w:jc w:val="both"/>
        <w:rPr>
          <w:rFonts w:cs="Times New Roman"/>
        </w:rPr>
      </w:pPr>
      <w:r w:rsidRPr="00AD48F8">
        <w:rPr>
          <w:rStyle w:val="FootnoteReference"/>
          <w:rFonts w:cs="Times New Roman"/>
        </w:rPr>
        <w:footnoteRef/>
      </w:r>
      <w:r w:rsidRPr="00AD48F8">
        <w:rPr>
          <w:rFonts w:cs="Times New Roman"/>
        </w:rPr>
        <w:t xml:space="preserve"> Santucci, F.M. and Tiagni Wouakoue, C. 2019. Long-term and recent trends in the cocoa and chocolate international market. </w:t>
      </w:r>
      <w:r w:rsidRPr="0007262B">
        <w:rPr>
          <w:rFonts w:cs="Times New Roman"/>
          <w:i/>
          <w:iCs/>
        </w:rPr>
        <w:t>International Journal of Social Sciences and Management Review</w:t>
      </w:r>
      <w:r w:rsidRPr="00AB7D46">
        <w:rPr>
          <w:rFonts w:cs="Times New Roman"/>
        </w:rPr>
        <w:t>, 2(5): 139–152.</w:t>
      </w:r>
    </w:p>
  </w:footnote>
  <w:footnote w:id="184">
    <w:p w14:paraId="25DCBE46" w14:textId="77777777" w:rsidR="00EA7989" w:rsidRPr="00AB7D46" w:rsidRDefault="00EA7989" w:rsidP="001A4666">
      <w:pPr>
        <w:pStyle w:val="FootnoteText"/>
        <w:rPr>
          <w:rFonts w:cs="Times New Roman"/>
        </w:rPr>
      </w:pPr>
      <w:r w:rsidRPr="00AD48F8">
        <w:rPr>
          <w:rStyle w:val="FootnoteReference"/>
          <w:rFonts w:cs="Times New Roman"/>
        </w:rPr>
        <w:footnoteRef/>
      </w:r>
      <w:r w:rsidRPr="00AD48F8">
        <w:rPr>
          <w:rFonts w:cs="Times New Roman"/>
        </w:rPr>
        <w:t xml:space="preserve"> Santucci, F.M. and Tiagni Wouakoue, C. 2019. Long-term and recent trends in the cocoa and chocolate international market. </w:t>
      </w:r>
      <w:r w:rsidRPr="0007262B">
        <w:rPr>
          <w:rFonts w:cs="Times New Roman"/>
          <w:i/>
          <w:iCs/>
        </w:rPr>
        <w:t>International Journal of Social Sciences and Management Review</w:t>
      </w:r>
      <w:r w:rsidRPr="00AB7D46">
        <w:rPr>
          <w:rFonts w:cs="Times New Roman"/>
        </w:rPr>
        <w:t>, 2(5): 139–152.</w:t>
      </w:r>
    </w:p>
  </w:footnote>
  <w:footnote w:id="185">
    <w:p w14:paraId="2EA1072E" w14:textId="77777777" w:rsidR="00EA7989" w:rsidRPr="00AB7D46" w:rsidRDefault="00EA7989" w:rsidP="001A4666">
      <w:pPr>
        <w:pStyle w:val="FootnoteText"/>
        <w:rPr>
          <w:rFonts w:cs="Times New Roman"/>
        </w:rPr>
      </w:pPr>
      <w:r w:rsidRPr="00AD48F8">
        <w:rPr>
          <w:rStyle w:val="FootnoteReference"/>
          <w:rFonts w:cs="Times New Roman"/>
        </w:rPr>
        <w:footnoteRef/>
      </w:r>
      <w:r w:rsidRPr="00AD48F8">
        <w:rPr>
          <w:rFonts w:cs="Times New Roman"/>
        </w:rPr>
        <w:t xml:space="preserve"> Ermgassen, E.K.H.J. zu, K.H.J., Ayre, B., Godar, J., Bastos Lima, M.G., Bauch, S., Garrett, R., Green, J., Lathuilli re, M.J., Löfgren, P. </w:t>
      </w:r>
      <w:r w:rsidRPr="0007262B">
        <w:rPr>
          <w:rFonts w:cs="Times New Roman"/>
          <w:i/>
          <w:iCs/>
        </w:rPr>
        <w:t>et al.</w:t>
      </w:r>
      <w:r w:rsidRPr="00AB7D46">
        <w:rPr>
          <w:rFonts w:cs="Times New Roman"/>
        </w:rPr>
        <w:t xml:space="preserve"> 2020. Using supply chain data to monitor zero deforestation commitments: an assessment of progress in the Brazilian soy sector. </w:t>
      </w:r>
      <w:r w:rsidRPr="00AB7D46">
        <w:rPr>
          <w:rFonts w:cs="Times New Roman"/>
          <w:i/>
          <w:iCs/>
        </w:rPr>
        <w:t>Environmental Research Letters</w:t>
      </w:r>
      <w:r w:rsidRPr="00AB7D46">
        <w:rPr>
          <w:rFonts w:cs="Times New Roman"/>
        </w:rPr>
        <w:t>, 15(3).</w:t>
      </w:r>
    </w:p>
  </w:footnote>
  <w:footnote w:id="186">
    <w:p w14:paraId="56168970" w14:textId="77777777" w:rsidR="00EA7989" w:rsidRPr="00AD48F8" w:rsidRDefault="00EA7989" w:rsidP="001A4666">
      <w:pPr>
        <w:pStyle w:val="FootnoteText"/>
        <w:rPr>
          <w:rFonts w:cs="Times New Roman"/>
        </w:rPr>
      </w:pPr>
      <w:r w:rsidRPr="00AD48F8">
        <w:rPr>
          <w:rStyle w:val="FootnoteReference"/>
          <w:rFonts w:cs="Times New Roman"/>
        </w:rPr>
        <w:footnoteRef/>
      </w:r>
      <w:r w:rsidRPr="00AD48F8">
        <w:rPr>
          <w:rFonts w:cs="Times New Roman"/>
        </w:rPr>
        <w:t xml:space="preserve"> </w:t>
      </w:r>
      <w:r w:rsidRPr="00657D8E">
        <w:rPr>
          <w:rFonts w:cs="Times New Roman"/>
          <w:noProof/>
          <w:szCs w:val="24"/>
        </w:rPr>
        <w:t xml:space="preserve">Kuepper, B., Steinweg, T. and Piotrowski, M. 2020. </w:t>
      </w:r>
      <w:r w:rsidRPr="00657D8E">
        <w:rPr>
          <w:rFonts w:cs="Times New Roman"/>
          <w:i/>
          <w:iCs/>
          <w:noProof/>
          <w:szCs w:val="24"/>
        </w:rPr>
        <w:t>Brazilian beef supply chain under pressure amid worsening ESG impacts</w:t>
      </w:r>
      <w:r w:rsidRPr="00657D8E">
        <w:rPr>
          <w:rFonts w:cs="Times New Roman"/>
          <w:noProof/>
          <w:szCs w:val="24"/>
        </w:rPr>
        <w:t xml:space="preserve">. </w:t>
      </w:r>
    </w:p>
  </w:footnote>
  <w:footnote w:id="187">
    <w:p w14:paraId="07D14B8C" w14:textId="17E42B3B" w:rsidR="00EA7989" w:rsidRPr="00362EF8" w:rsidRDefault="00EA7989" w:rsidP="00E01DF9">
      <w:pPr>
        <w:pStyle w:val="WDBodySmall"/>
        <w:rPr>
          <w:rStyle w:val="FootnoteTextChar"/>
        </w:rPr>
      </w:pPr>
      <w:r w:rsidRPr="00E01DF9">
        <w:rPr>
          <w:rStyle w:val="FootnoteReference"/>
          <w:rFonts w:ascii="Times New Roman" w:hAnsi="Times New Roman" w:cs="Times New Roman"/>
          <w:sz w:val="20"/>
          <w:szCs w:val="20"/>
        </w:rPr>
        <w:footnoteRef/>
      </w:r>
      <w:r w:rsidRPr="00C900A3">
        <w:rPr>
          <w:rFonts w:ascii="Times New Roman" w:hAnsi="Times New Roman" w:cs="Times New Roman"/>
          <w:sz w:val="20"/>
          <w:szCs w:val="20"/>
        </w:rPr>
        <w:t xml:space="preserve"> </w:t>
      </w:r>
      <w:hyperlink r:id="rId57" w:history="1">
        <w:r w:rsidRPr="00C900A3">
          <w:rPr>
            <w:rStyle w:val="FootnoteTextChar"/>
          </w:rPr>
          <w:t>https://eur-lex.europa.eu/legal-content/EN/TXT/HTML/?uri=CELEX:52019DC0352&amp;from=EN</w:t>
        </w:r>
      </w:hyperlink>
    </w:p>
  </w:footnote>
  <w:footnote w:id="188">
    <w:p w14:paraId="09DC223F" w14:textId="19FB670C" w:rsidR="00EA7989" w:rsidRPr="00E01DF9" w:rsidRDefault="00EA7989" w:rsidP="00C97DCD">
      <w:pPr>
        <w:pStyle w:val="FootnoteText"/>
      </w:pPr>
      <w:r w:rsidRPr="00E01DF9">
        <w:rPr>
          <w:rStyle w:val="FootnoteReference"/>
          <w:rFonts w:cs="Times New Roman"/>
          <w:color w:val="000000"/>
        </w:rPr>
        <w:footnoteRef/>
      </w:r>
      <w:r w:rsidRPr="00E01DF9">
        <w:t xml:space="preserve"> FAO and UNEP, 2020. The State of the World's Forests 2020. Forests, biodiversity </w:t>
      </w:r>
      <w:r>
        <w:t>and people. Rome. in EPRS, 2020.</w:t>
      </w:r>
    </w:p>
  </w:footnote>
  <w:footnote w:id="189">
    <w:p w14:paraId="4420B458" w14:textId="77777777" w:rsidR="00EA7989" w:rsidRPr="005D6125" w:rsidRDefault="00EA7989" w:rsidP="00A86900">
      <w:pPr>
        <w:pStyle w:val="FootnoteText"/>
        <w:rPr>
          <w:rFonts w:cs="Times New Roman"/>
          <w:szCs w:val="16"/>
        </w:rPr>
      </w:pPr>
      <w:r w:rsidRPr="00700BED">
        <w:rPr>
          <w:rStyle w:val="FootnoteReference"/>
          <w:rFonts w:cs="Times New Roman"/>
          <w:szCs w:val="16"/>
        </w:rPr>
        <w:footnoteRef/>
      </w:r>
      <w:r w:rsidRPr="00700BED">
        <w:rPr>
          <w:rFonts w:cs="Times New Roman"/>
          <w:szCs w:val="16"/>
        </w:rPr>
        <w:t xml:space="preserve"> </w:t>
      </w:r>
      <w:r w:rsidRPr="00700BED">
        <w:rPr>
          <w:rFonts w:cs="Times New Roman"/>
          <w:noProof/>
          <w:szCs w:val="16"/>
        </w:rPr>
        <w:t xml:space="preserve">Bakhtary, H., Matson, E., Mikulcak, F., Streck, C. and Thomson, A. 2020. </w:t>
      </w:r>
      <w:r w:rsidRPr="005D6125">
        <w:rPr>
          <w:rFonts w:cs="Times New Roman"/>
          <w:i/>
          <w:iCs/>
          <w:noProof/>
          <w:szCs w:val="16"/>
        </w:rPr>
        <w:t>Company progress in engaging smallholders to implement zero- deforestation commitments in cocoa and palm oil</w:t>
      </w:r>
      <w:r w:rsidRPr="005D6125">
        <w:rPr>
          <w:rFonts w:cs="Times New Roman"/>
          <w:noProof/>
          <w:szCs w:val="16"/>
        </w:rPr>
        <w:t>.</w:t>
      </w:r>
    </w:p>
  </w:footnote>
  <w:footnote w:id="190">
    <w:p w14:paraId="35B37527" w14:textId="77777777" w:rsidR="00EA7989" w:rsidRPr="005D6125" w:rsidRDefault="00EA7989" w:rsidP="00A86900">
      <w:pPr>
        <w:pStyle w:val="FootnoteText"/>
        <w:rPr>
          <w:rFonts w:cs="Times New Roman"/>
          <w:szCs w:val="16"/>
        </w:rPr>
      </w:pPr>
      <w:r w:rsidRPr="00700BED">
        <w:rPr>
          <w:rStyle w:val="FootnoteReference"/>
          <w:rFonts w:cs="Times New Roman"/>
          <w:szCs w:val="16"/>
        </w:rPr>
        <w:footnoteRef/>
      </w:r>
      <w:r w:rsidRPr="00700BED">
        <w:rPr>
          <w:rFonts w:cs="Times New Roman"/>
          <w:szCs w:val="16"/>
        </w:rPr>
        <w:t xml:space="preserve"> </w:t>
      </w:r>
      <w:r w:rsidRPr="00700BED">
        <w:rPr>
          <w:rFonts w:cs="Times New Roman"/>
          <w:noProof/>
          <w:szCs w:val="16"/>
        </w:rPr>
        <w:t xml:space="preserve">Bakhtary, H., Matson, E., Mikulcak, F., Streck, C. and Thomson, A. 2020. </w:t>
      </w:r>
      <w:r w:rsidRPr="005D6125">
        <w:rPr>
          <w:rFonts w:cs="Times New Roman"/>
          <w:i/>
          <w:iCs/>
          <w:noProof/>
          <w:szCs w:val="16"/>
        </w:rPr>
        <w:t>Company progress in engaging smallholders to implement zero- deforestation commitments in cocoa and palm oil</w:t>
      </w:r>
      <w:r w:rsidRPr="005D6125">
        <w:rPr>
          <w:rFonts w:cs="Times New Roman"/>
          <w:noProof/>
          <w:szCs w:val="16"/>
        </w:rPr>
        <w:t>.</w:t>
      </w:r>
    </w:p>
  </w:footnote>
  <w:footnote w:id="191">
    <w:p w14:paraId="40A22333" w14:textId="77777777" w:rsidR="00EA7989" w:rsidRDefault="00EA7989" w:rsidP="00A86900">
      <w:pPr>
        <w:pStyle w:val="FootnoteText"/>
      </w:pPr>
      <w:r w:rsidRPr="00700BED">
        <w:rPr>
          <w:rStyle w:val="FootnoteReference"/>
          <w:rFonts w:cs="Times New Roman"/>
          <w:szCs w:val="16"/>
        </w:rPr>
        <w:footnoteRef/>
      </w:r>
      <w:r w:rsidRPr="00700BED">
        <w:rPr>
          <w:rFonts w:cs="Times New Roman"/>
          <w:szCs w:val="16"/>
        </w:rPr>
        <w:t xml:space="preserve"> </w:t>
      </w:r>
      <w:r>
        <w:rPr>
          <w:rFonts w:cs="Times New Roman"/>
          <w:szCs w:val="16"/>
        </w:rPr>
        <w:t xml:space="preserve">Mars. 2020. </w:t>
      </w:r>
      <w:r>
        <w:rPr>
          <w:rFonts w:cs="Times New Roman"/>
          <w:i/>
          <w:iCs/>
          <w:szCs w:val="16"/>
        </w:rPr>
        <w:t xml:space="preserve">Mars Palm Positive Plan Delivers Deforestation-Free Palm Oil Supply </w:t>
      </w:r>
      <w:r w:rsidRPr="00915E72">
        <w:rPr>
          <w:rFonts w:cs="Times New Roman"/>
          <w:i/>
          <w:iCs/>
          <w:szCs w:val="16"/>
        </w:rPr>
        <w:t>Chain</w:t>
      </w:r>
      <w:r>
        <w:rPr>
          <w:rFonts w:cs="Times New Roman"/>
          <w:szCs w:val="16"/>
        </w:rPr>
        <w:t xml:space="preserve">. Available at: </w:t>
      </w:r>
      <w:r w:rsidRPr="00F565E2">
        <w:rPr>
          <w:rFonts w:cs="Times New Roman"/>
          <w:szCs w:val="16"/>
        </w:rPr>
        <w:t>https</w:t>
      </w:r>
      <w:r w:rsidRPr="00700BED">
        <w:rPr>
          <w:rFonts w:cs="Times New Roman"/>
          <w:szCs w:val="16"/>
        </w:rPr>
        <w:t>://www.mars.com/news-and-stories/press-releases/mars-palm-positive-plan</w:t>
      </w:r>
    </w:p>
  </w:footnote>
  <w:footnote w:id="192">
    <w:p w14:paraId="6785F0F5" w14:textId="77777777" w:rsidR="00EA7989" w:rsidRPr="000D0EF9" w:rsidRDefault="00EA7989" w:rsidP="000D0EF9">
      <w:pPr>
        <w:pStyle w:val="WDBodySmall"/>
        <w:jc w:val="both"/>
        <w:rPr>
          <w:rFonts w:ascii="Times New Roman" w:hAnsi="Times New Roman" w:cs="Times New Roman"/>
        </w:rPr>
      </w:pPr>
      <w:r w:rsidRPr="000D0EF9">
        <w:rPr>
          <w:rStyle w:val="FootnoteReference"/>
          <w:rFonts w:ascii="Times New Roman" w:hAnsi="Times New Roman" w:cs="Times New Roman"/>
          <w:szCs w:val="16"/>
        </w:rPr>
        <w:footnoteRef/>
      </w:r>
      <w:r w:rsidRPr="000D0EF9">
        <w:rPr>
          <w:rFonts w:ascii="Times New Roman" w:hAnsi="Times New Roman" w:cs="Times New Roman"/>
          <w:lang w:val="sv-SE"/>
        </w:rPr>
        <w:t xml:space="preserve"> Ingram, V., J. Behagel, A. Mammadova and X. Verschuur. </w:t>
      </w:r>
      <w:r w:rsidRPr="000D0EF9">
        <w:rPr>
          <w:rFonts w:ascii="Times New Roman" w:hAnsi="Times New Roman" w:cs="Times New Roman"/>
        </w:rPr>
        <w:t>(2020). The outcomes of deforestation-free commodity value chain approaches. Background report. Wageningen University and Research, Wageningen, The Netherlands</w:t>
      </w:r>
    </w:p>
  </w:footnote>
  <w:footnote w:id="193">
    <w:p w14:paraId="0588FFB5" w14:textId="5EFDC0EC" w:rsidR="00EA7989" w:rsidRPr="00B72A84" w:rsidRDefault="00EA7989" w:rsidP="000D0EF9">
      <w:pPr>
        <w:pStyle w:val="FootnoteText"/>
        <w:jc w:val="both"/>
      </w:pPr>
      <w:r w:rsidRPr="000D0EF9">
        <w:rPr>
          <w:rStyle w:val="FootnoteReference"/>
          <w:rFonts w:cs="Times New Roman"/>
        </w:rPr>
        <w:footnoteRef/>
      </w:r>
      <w:r w:rsidRPr="000D0EF9">
        <w:rPr>
          <w:rFonts w:cs="Times New Roman"/>
        </w:rPr>
        <w:t xml:space="preserve"> ‘The Brussels Effect: How the European Union Rules the World’, Anu Bradford, 2020.</w:t>
      </w:r>
    </w:p>
  </w:footnote>
  <w:footnote w:id="194">
    <w:p w14:paraId="1B8E4462" w14:textId="6F5365D0" w:rsidR="00EA7989" w:rsidRPr="007A1B9B" w:rsidRDefault="00EA7989">
      <w:pPr>
        <w:pStyle w:val="FootnoteText"/>
      </w:pPr>
      <w:r>
        <w:rPr>
          <w:rStyle w:val="FootnoteReference"/>
        </w:rPr>
        <w:footnoteRef/>
      </w:r>
      <w:r>
        <w:t xml:space="preserve"> </w:t>
      </w:r>
      <w:r w:rsidRPr="005700F8">
        <w:t>https://www.sciencedirect.com/topics/engineering/indirect-land-use-change</w:t>
      </w:r>
    </w:p>
  </w:footnote>
  <w:footnote w:id="195">
    <w:p w14:paraId="783EF86E" w14:textId="77777777" w:rsidR="00EA7989" w:rsidRPr="00E01DF9" w:rsidRDefault="00EA7989" w:rsidP="005020F6">
      <w:pPr>
        <w:pStyle w:val="FootnoteText"/>
        <w:rPr>
          <w:lang w:val="en-US"/>
        </w:rPr>
      </w:pPr>
      <w:r w:rsidRPr="00E01DF9">
        <w:rPr>
          <w:rStyle w:val="FootnoteReference"/>
          <w:rFonts w:cs="Times New Roman"/>
          <w:color w:val="000000"/>
        </w:rPr>
        <w:footnoteRef/>
      </w:r>
      <w:r>
        <w:t xml:space="preserve"> Under the assumption that the regulation enters into effect three years after a proposal is agreed upon, i.e. in 2025. Several years will be required to reach the maximum effectiveness of the regulation as operators and Competent Authorities adjust their approaches to be able to more effectively perform their duties in the context of the new requirements, thus the full effects of the regulation are expected to start in 2030.</w:t>
      </w:r>
    </w:p>
  </w:footnote>
  <w:footnote w:id="196">
    <w:p w14:paraId="7846BF43" w14:textId="33EB2A47" w:rsidR="00EA7989" w:rsidRDefault="00EA7989">
      <w:pPr>
        <w:pStyle w:val="FootnoteText"/>
      </w:pPr>
      <w:r>
        <w:rPr>
          <w:rStyle w:val="FootnoteReference"/>
        </w:rPr>
        <w:footnoteRef/>
      </w:r>
      <w:r>
        <w:t xml:space="preserve"> CDP (2021). The collective effort to end deforestation. A pathway for companies to raise their ambition. </w:t>
      </w:r>
      <w:r w:rsidRPr="00DC592C">
        <w:t>https://www.cdp.net/en/research/global-reports/global-forests-report-2020</w:t>
      </w:r>
    </w:p>
  </w:footnote>
  <w:footnote w:id="197">
    <w:p w14:paraId="65EEEEB7" w14:textId="606002CD" w:rsidR="00EA7989" w:rsidRDefault="00EA7989" w:rsidP="00841C68">
      <w:pPr>
        <w:pStyle w:val="FootnoteText"/>
        <w:jc w:val="both"/>
      </w:pPr>
      <w:r>
        <w:rPr>
          <w:rStyle w:val="FootnoteReference"/>
        </w:rPr>
        <w:footnoteRef/>
      </w:r>
      <w:r>
        <w:t xml:space="preserve"> Indufor (2016). Review of the EUTR. Avaliable at </w:t>
      </w:r>
      <w:hyperlink r:id="rId58" w:history="1">
        <w:r w:rsidRPr="00887BCC">
          <w:rPr>
            <w:rStyle w:val="Hyperlink"/>
          </w:rPr>
          <w:t>https://ec.europa.eu/environment/forests/eutr_report.htm</w:t>
        </w:r>
      </w:hyperlink>
      <w:r>
        <w:t xml:space="preserve"> </w:t>
      </w:r>
    </w:p>
  </w:footnote>
  <w:footnote w:id="198">
    <w:p w14:paraId="0EC52723" w14:textId="6B96AC22" w:rsidR="00EA7989" w:rsidRDefault="00EA7989" w:rsidP="00841C68">
      <w:pPr>
        <w:pStyle w:val="FootnoteText"/>
        <w:jc w:val="both"/>
      </w:pPr>
      <w:r>
        <w:rPr>
          <w:rStyle w:val="FootnoteReference"/>
        </w:rPr>
        <w:footnoteRef/>
      </w:r>
      <w:r>
        <w:t xml:space="preserve"> The OECD study </w:t>
      </w:r>
      <w:r w:rsidRPr="00B51F93">
        <w:t>‘Quantifying the Costs, Benefits and Risks of Due Diligence for Responsible Business: Conduct, Framework and Assessment Tool for Companies’</w:t>
      </w:r>
      <w:r>
        <w:t>(2016) estimates the one-off costs between EUR 3 150 and 205 000 for staff time, consultant fees and training and between EUR 36 000 and 90 000 for IT systems. The draft Impact Assessment for the legislative initiative on Sustainable Corporate Governance</w:t>
      </w:r>
      <w:r w:rsidRPr="00B51F93">
        <w:t xml:space="preserve"> </w:t>
      </w:r>
      <w:r>
        <w:t>estimates up to EUR 31 500 of direct one-off costs per company to set up the due diligence system.</w:t>
      </w:r>
    </w:p>
  </w:footnote>
  <w:footnote w:id="199">
    <w:p w14:paraId="1C0F2A5A" w14:textId="43D19421" w:rsidR="00EA7989" w:rsidRDefault="00EA7989" w:rsidP="00841C68">
      <w:pPr>
        <w:pStyle w:val="FootnoteText"/>
        <w:jc w:val="both"/>
      </w:pPr>
      <w:r>
        <w:rPr>
          <w:rStyle w:val="FootnoteReference"/>
        </w:rPr>
        <w:footnoteRef/>
      </w:r>
      <w:r>
        <w:t xml:space="preserve"> For the sake of comparison, the draft Impact Assessment for the legislative initiative on Sustainable Corporate Governance</w:t>
      </w:r>
      <w:r w:rsidRPr="00B51F93">
        <w:t xml:space="preserve"> </w:t>
      </w:r>
      <w:r>
        <w:t xml:space="preserve">estimates in EUR 7.6 billion the recurrent direct costs of due diligence for 223 000 high impact SMEs and large companies. Comparing this value with the estimate of the imports for such subset companies (calculated with Eurostat 2017 data by proportionally reducing on the basis of the number of companies the total imports of all EU companies in the relevant NACE codes) provides a value of 1.7% of total recurrent costs of due diligence expressed as a percentage of the value of imports, which is within the range of the estimates for the EUTR.     </w:t>
      </w:r>
    </w:p>
  </w:footnote>
  <w:footnote w:id="200">
    <w:p w14:paraId="4AB3D1B5" w14:textId="053A9784" w:rsidR="00EA7989" w:rsidRDefault="00EA7989" w:rsidP="006C0582">
      <w:pPr>
        <w:pStyle w:val="FootnoteText"/>
      </w:pPr>
      <w:r>
        <w:rPr>
          <w:rStyle w:val="FootnoteReference"/>
        </w:rPr>
        <w:footnoteRef/>
      </w:r>
      <w:r>
        <w:t xml:space="preserve"> See section 8.2.3 of the study supporting this impact assessment: Study on EU forest policy. Impact assessment on demand-side measures to address deforestation. </w:t>
      </w:r>
    </w:p>
  </w:footnote>
  <w:footnote w:id="201">
    <w:p w14:paraId="58B08399" w14:textId="77777777" w:rsidR="00EA7989" w:rsidRDefault="00EA7989" w:rsidP="00841C68">
      <w:pPr>
        <w:pStyle w:val="FootnoteText"/>
        <w:jc w:val="both"/>
      </w:pPr>
      <w:r>
        <w:rPr>
          <w:rStyle w:val="FootnoteReference"/>
          <w:rFonts w:cs="Segoe UI"/>
          <w:szCs w:val="18"/>
        </w:rPr>
        <w:footnoteRef/>
      </w:r>
      <w:r>
        <w:t xml:space="preserve"> European Commission. (2016). Evaluation of Regulation EU/995/2010 of the European Parliament and of the Council of 20 October 2010 laying down the obligations of operators who place timber and timber products on the market (the EU Timber Regulation)</w:t>
      </w:r>
    </w:p>
  </w:footnote>
  <w:footnote w:id="202">
    <w:p w14:paraId="19DA2EC7" w14:textId="77777777" w:rsidR="00EA7989" w:rsidRPr="00E01DF9" w:rsidRDefault="00EA7989" w:rsidP="00F913B6">
      <w:pPr>
        <w:pStyle w:val="FootnoteText"/>
        <w:rPr>
          <w:lang w:val="en-US"/>
        </w:rPr>
      </w:pPr>
      <w:r w:rsidRPr="00E01DF9">
        <w:rPr>
          <w:rStyle w:val="FootnoteReference"/>
          <w:rFonts w:cs="Times New Roman"/>
          <w:color w:val="000000"/>
        </w:rPr>
        <w:footnoteRef/>
      </w:r>
      <w:r>
        <w:t xml:space="preserve"> Under the assumption that the regulation enters into effect three years after a proposal is agreed upon, i.e. in 2025. Several years will be required to reach the maximum effectiveness of the regulation as operators and Competent Authorities adjust their approaches to be able to more effectively perform their duties in the context of the new requirements, thus the full effects of the regulation are expected to start in 2030.</w:t>
      </w:r>
    </w:p>
  </w:footnote>
  <w:footnote w:id="203">
    <w:p w14:paraId="1D4D42B6" w14:textId="4CA5D949" w:rsidR="00EA7989" w:rsidRDefault="00EA7989">
      <w:pPr>
        <w:pStyle w:val="FootnoteText"/>
      </w:pPr>
      <w:r>
        <w:rPr>
          <w:rStyle w:val="FootnoteReference"/>
        </w:rPr>
        <w:footnoteRef/>
      </w:r>
      <w:r>
        <w:t xml:space="preserve"> Forest Trends (2021). </w:t>
      </w:r>
      <w:r w:rsidRPr="00846C5C">
        <w:t>Global Illegal Logging and Associated Trade Risk Assessment Tool (ILAT Risk)</w:t>
      </w:r>
      <w:r>
        <w:t xml:space="preserve">. </w:t>
      </w:r>
      <w:hyperlink r:id="rId59" w:history="1">
        <w:r w:rsidRPr="00887BCC">
          <w:rPr>
            <w:rStyle w:val="Hyperlink"/>
          </w:rPr>
          <w:t>https://www.forest-trends.org/fptf-ilat-home/</w:t>
        </w:r>
      </w:hyperlink>
      <w:r>
        <w:t xml:space="preserve"> </w:t>
      </w:r>
    </w:p>
  </w:footnote>
  <w:footnote w:id="204">
    <w:p w14:paraId="682C8D41" w14:textId="77777777" w:rsidR="00EA7989" w:rsidRDefault="00EA7989" w:rsidP="009D4FEA">
      <w:pPr>
        <w:pStyle w:val="FootnoteText"/>
      </w:pPr>
      <w:r w:rsidRPr="00550FF4">
        <w:rPr>
          <w:rStyle w:val="FootnoteReference"/>
        </w:rPr>
        <w:footnoteRef/>
      </w:r>
      <w:r>
        <w:t xml:space="preserve"> </w:t>
      </w:r>
      <w:r w:rsidRPr="00197E98">
        <w:t xml:space="preserve">Bakhtary, H., Matson, E., Mikulcak, F., Streck, C. and Thomson, A. 2020. Company progress in engaging smallholders to implement zero- deforestation commitments in cocoa and palm oil.  </w:t>
      </w:r>
    </w:p>
  </w:footnote>
  <w:footnote w:id="205">
    <w:p w14:paraId="28C50FE3" w14:textId="77777777" w:rsidR="00EA7989" w:rsidRPr="00E01DF9" w:rsidRDefault="00EA7989" w:rsidP="00105C12">
      <w:pPr>
        <w:pStyle w:val="FootnoteText"/>
        <w:rPr>
          <w:lang w:val="en-US"/>
        </w:rPr>
      </w:pPr>
      <w:r w:rsidRPr="00E01DF9">
        <w:rPr>
          <w:rStyle w:val="FootnoteReference"/>
          <w:rFonts w:cs="Times New Roman"/>
          <w:color w:val="000000"/>
        </w:rPr>
        <w:footnoteRef/>
      </w:r>
      <w:r>
        <w:t xml:space="preserve"> Under the assumption that the regulation enters into effect three years after a proposal is agreed upon, i.e. in 2025. Several years will be required to reach the maximum effectiveness of the regulation as operators and Competent Authorities adjust their approaches to be able to more effectively perform their duties in the context of the new requirements, thus the full effects of the regulation are expected to start in 2030.</w:t>
      </w:r>
    </w:p>
  </w:footnote>
  <w:footnote w:id="206">
    <w:p w14:paraId="3FEA96F7" w14:textId="77777777" w:rsidR="00EA7989" w:rsidRPr="00E12D9C" w:rsidRDefault="00EA7989" w:rsidP="00385CD7">
      <w:pPr>
        <w:pStyle w:val="FootnoteText"/>
      </w:pPr>
      <w:r>
        <w:rPr>
          <w:rStyle w:val="FootnoteReference"/>
        </w:rPr>
        <w:footnoteRef/>
      </w:r>
      <w:r w:rsidRPr="00E12D9C">
        <w:t xml:space="preserve"> https://www.foodingredientsfirst.com/news/malaysia-all-palm-oil-producers-must-be-certified-by-2020.html</w:t>
      </w:r>
    </w:p>
  </w:footnote>
  <w:footnote w:id="207">
    <w:p w14:paraId="25AE4A43" w14:textId="77777777" w:rsidR="00EA7989" w:rsidRDefault="00EA7989" w:rsidP="00385CD7">
      <w:pPr>
        <w:pStyle w:val="FootnoteText"/>
      </w:pPr>
      <w:r>
        <w:rPr>
          <w:rStyle w:val="FootnoteReference"/>
        </w:rPr>
        <w:footnoteRef/>
      </w:r>
      <w:r>
        <w:t xml:space="preserve"> Ernah, 2015, </w:t>
      </w:r>
      <w:r w:rsidRPr="00DB47AC">
        <w:t>Cost-Benefit Analysis of the Introduction of the Indonesian Sustainable Palm Oil Standards: A Case Study in Jambi Province, Indonesia</w:t>
      </w:r>
    </w:p>
  </w:footnote>
  <w:footnote w:id="208">
    <w:p w14:paraId="1DD99A8D" w14:textId="77777777" w:rsidR="00EA7989" w:rsidRPr="00E01DF9" w:rsidRDefault="00EA7989" w:rsidP="00E130FE">
      <w:pPr>
        <w:pStyle w:val="FootnoteText"/>
        <w:rPr>
          <w:lang w:val="en-US"/>
        </w:rPr>
      </w:pPr>
      <w:r w:rsidRPr="00E01DF9">
        <w:rPr>
          <w:rStyle w:val="FootnoteReference"/>
          <w:rFonts w:cs="Times New Roman"/>
          <w:color w:val="000000"/>
        </w:rPr>
        <w:footnoteRef/>
      </w:r>
      <w:r>
        <w:t xml:space="preserve"> Under the assumption that the regulation enters into effect three years after a proposal is agreed upon, i.e. in 2025. Several years will be required to reach the maximum effectiveness of the regulation as operators and Competent Authorities adjust their approaches to be able to more effectively perform their duties in the context of the new requirements, thus the full effects of the regulation are expected to start in 2030.</w:t>
      </w:r>
    </w:p>
  </w:footnote>
  <w:footnote w:id="209">
    <w:p w14:paraId="6D371D00" w14:textId="77777777" w:rsidR="00EA7989" w:rsidRDefault="00EA7989" w:rsidP="008D618C">
      <w:pPr>
        <w:pStyle w:val="FootnoteText"/>
      </w:pPr>
      <w:r>
        <w:rPr>
          <w:rStyle w:val="FootnoteReference"/>
        </w:rPr>
        <w:footnoteRef/>
      </w:r>
      <w:r>
        <w:t xml:space="preserve"> IUU Watch, 2015 EU Regulation to combat illegal fishing  Third country carding process yellow and red-carding process  is encouraging fisheries reforms and must be maintained</w:t>
      </w:r>
    </w:p>
  </w:footnote>
  <w:footnote w:id="210">
    <w:p w14:paraId="34DA8834" w14:textId="77777777" w:rsidR="00EA7989" w:rsidRPr="00A4158A" w:rsidRDefault="00EA7989" w:rsidP="004B4EAA">
      <w:pPr>
        <w:pStyle w:val="FootnoteText"/>
      </w:pPr>
      <w:r>
        <w:rPr>
          <w:rStyle w:val="FootnoteReference"/>
        </w:rPr>
        <w:footnoteRef/>
      </w:r>
      <w:r>
        <w:t xml:space="preserve"> Effectiveness: </w:t>
      </w:r>
      <w:r w:rsidRPr="00987CAF">
        <w:t>T</w:t>
      </w:r>
      <w:r>
        <w:t xml:space="preserve">he </w:t>
      </w:r>
      <w:r w:rsidRPr="00987CAF">
        <w:t>extent to which different options would achieve the</w:t>
      </w:r>
      <w:r>
        <w:t xml:space="preserve"> objectives</w:t>
      </w:r>
      <w:r w:rsidRPr="00987CAF">
        <w:t xml:space="preserve">; </w:t>
      </w:r>
      <w:r>
        <w:t>Efficiency: the benefits versus the costs</w:t>
      </w:r>
      <w:r w:rsidRPr="00987CAF">
        <w:t>;</w:t>
      </w:r>
      <w:r>
        <w:t xml:space="preserve"> </w:t>
      </w:r>
    </w:p>
  </w:footnote>
  <w:footnote w:id="211">
    <w:p w14:paraId="5CD06024" w14:textId="77777777" w:rsidR="00EA7989" w:rsidRPr="00E01DF9" w:rsidRDefault="00EA7989" w:rsidP="00C26BCA">
      <w:pPr>
        <w:pStyle w:val="FootnoteText"/>
        <w:rPr>
          <w:lang w:val="en-US"/>
        </w:rPr>
      </w:pPr>
      <w:r w:rsidRPr="00E01DF9">
        <w:rPr>
          <w:rStyle w:val="FootnoteReference"/>
          <w:rFonts w:cs="Times New Roman"/>
          <w:color w:val="000000"/>
        </w:rPr>
        <w:footnoteRef/>
      </w:r>
      <w:r>
        <w:t xml:space="preserve"> Under the assumption that the regulation enters into effect three years after a proposal is agreed upon, i.e. in 2025. Several years will be required to reach the maximum effectiveness of the regulation as operators and Competent Authorities adjust their approaches to be able to more effectively perform their duties in the context of the new requirements, thus the full effects of the regulation are expected to start in 2030.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719BC" w14:textId="77777777" w:rsidR="00DB15B8" w:rsidRPr="00DB15B8" w:rsidRDefault="00DB15B8" w:rsidP="00DB15B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69595" w14:textId="77777777" w:rsidR="00BC1FA7" w:rsidRDefault="00BC1FA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1BADD" w14:textId="77777777" w:rsidR="00BC1FA7" w:rsidRDefault="00BC1FA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CFD08" w14:textId="77777777" w:rsidR="00BC1FA7" w:rsidRDefault="00BC1FA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08DFB" w14:textId="77777777" w:rsidR="00BC1FA7" w:rsidRDefault="00BC1FA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5E44B" w14:textId="77777777" w:rsidR="00BC1FA7" w:rsidRDefault="00BC1FA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58EC3" w14:textId="77777777" w:rsidR="00BC1FA7" w:rsidRDefault="00BC1FA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B99EA" w14:textId="77777777" w:rsidR="00BC1FA7" w:rsidRDefault="00BC1FA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2991C" w14:textId="77777777" w:rsidR="00EA7989" w:rsidRDefault="00EA798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D3CF9" w14:textId="77777777" w:rsidR="00BC1FA7" w:rsidRDefault="00BC1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4184A" w14:textId="77777777" w:rsidR="00DB15B8" w:rsidRPr="00DB15B8" w:rsidRDefault="00DB15B8" w:rsidP="00DB15B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969FA" w14:textId="77777777" w:rsidR="00DB15B8" w:rsidRPr="00DB15B8" w:rsidRDefault="00DB15B8" w:rsidP="00DB15B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BD81B" w14:textId="77777777" w:rsidR="00EA7989" w:rsidRDefault="00EA79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08A3C" w14:textId="77777777" w:rsidR="00EA7989" w:rsidRDefault="00EA798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C6DE0" w14:textId="77777777" w:rsidR="00EA7989" w:rsidRDefault="00EA798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DE1D0" w14:textId="77777777" w:rsidR="00BC1FA7" w:rsidRDefault="00BC1FA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2B81C" w14:textId="77777777" w:rsidR="00BC1FA7" w:rsidRDefault="00BC1FA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C97E" w14:textId="77777777" w:rsidR="00BC1FA7" w:rsidRDefault="00BC1FA7">
    <w:pPr>
      <w:pStyle w:val="Header"/>
    </w:pPr>
  </w:p>
</w:hdr>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WordHash hashCode="DnfKAEcAKPtOFp" id="KNaLyxab"/>
    <int:WordHash hashCode="vFiIoctkWN2s5M" id="Urh+yRTM"/>
  </int:Manifest>
  <int:Observations>
    <int:Content id="KNaLyxab">
      <int:Rejection type="AugLoop_Text_Critique"/>
    </int:Content>
    <int:Content id="Urh+yRTM">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4B9"/>
    <w:multiLevelType w:val="multilevel"/>
    <w:tmpl w:val="8722A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A141DE"/>
    <w:multiLevelType w:val="hybridMultilevel"/>
    <w:tmpl w:val="25DCD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4E2C1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15B33FE"/>
    <w:multiLevelType w:val="hybridMultilevel"/>
    <w:tmpl w:val="BFE689F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F41690"/>
    <w:multiLevelType w:val="hybridMultilevel"/>
    <w:tmpl w:val="7A347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923AC0"/>
    <w:multiLevelType w:val="hybridMultilevel"/>
    <w:tmpl w:val="4490D07E"/>
    <w:lvl w:ilvl="0" w:tplc="D21AE1D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32C61EB"/>
    <w:multiLevelType w:val="hybridMultilevel"/>
    <w:tmpl w:val="CBFAE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D403FA"/>
    <w:multiLevelType w:val="hybridMultilevel"/>
    <w:tmpl w:val="79A6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031CC7"/>
    <w:multiLevelType w:val="hybridMultilevel"/>
    <w:tmpl w:val="141A7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793470"/>
    <w:multiLevelType w:val="hybridMultilevel"/>
    <w:tmpl w:val="B2DE9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53F6CE0"/>
    <w:multiLevelType w:val="hybridMultilevel"/>
    <w:tmpl w:val="CE263C7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7B68D6"/>
    <w:multiLevelType w:val="hybridMultilevel"/>
    <w:tmpl w:val="375C22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06FE7A95"/>
    <w:multiLevelType w:val="hybridMultilevel"/>
    <w:tmpl w:val="C1B272E0"/>
    <w:lvl w:ilvl="0" w:tplc="B12C987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B53B8F"/>
    <w:multiLevelType w:val="multilevel"/>
    <w:tmpl w:val="2BEA29D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A993E33"/>
    <w:multiLevelType w:val="multilevel"/>
    <w:tmpl w:val="F42CEAD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B446DE5"/>
    <w:multiLevelType w:val="hybridMultilevel"/>
    <w:tmpl w:val="65AC047A"/>
    <w:lvl w:ilvl="0" w:tplc="EC5C2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B614CD6"/>
    <w:multiLevelType w:val="hybridMultilevel"/>
    <w:tmpl w:val="3BACB21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0B7079D9"/>
    <w:multiLevelType w:val="hybridMultilevel"/>
    <w:tmpl w:val="A17A42E2"/>
    <w:lvl w:ilvl="0" w:tplc="0809000F">
      <w:start w:val="1"/>
      <w:numFmt w:val="decimal"/>
      <w:lvlText w:val="%1."/>
      <w:lvlJc w:val="left"/>
      <w:pPr>
        <w:ind w:left="360" w:hanging="36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AECEA842">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90A7E56">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37220E8">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B144B16">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068943E">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916467A">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DDC7CF0">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4D45190">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BB43908"/>
    <w:multiLevelType w:val="multilevel"/>
    <w:tmpl w:val="252423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BE0411C"/>
    <w:multiLevelType w:val="hybridMultilevel"/>
    <w:tmpl w:val="23781F2C"/>
    <w:lvl w:ilvl="0" w:tplc="1966CC3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C653AA5"/>
    <w:multiLevelType w:val="hybridMultilevel"/>
    <w:tmpl w:val="1A885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3B379D"/>
    <w:multiLevelType w:val="hybridMultilevel"/>
    <w:tmpl w:val="BFA00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7F7DAC"/>
    <w:multiLevelType w:val="multilevel"/>
    <w:tmpl w:val="2C24C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C505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1021BFA"/>
    <w:multiLevelType w:val="multilevel"/>
    <w:tmpl w:val="542A59F2"/>
    <w:lvl w:ilvl="0">
      <w:start w:val="1"/>
      <w:numFmt w:val="decimal"/>
      <w:lvlText w:val="Annex %1"/>
      <w:lvlJc w:val="left"/>
      <w:pPr>
        <w:ind w:left="360" w:hanging="360"/>
      </w:pPr>
      <w:rPr>
        <w:rFonts w:ascii="Times New Roman" w:hAnsi="Times New Roman" w:hint="default"/>
        <w:b/>
        <w:i w:val="0"/>
        <w:caps/>
        <w:vertAlign w:val="baseline"/>
      </w:rPr>
    </w:lvl>
    <w:lvl w:ilvl="1">
      <w:start w:val="1"/>
      <w:numFmt w:val="decimal"/>
      <w:lvlText w:val="%2"/>
      <w:lvlJc w:val="left"/>
      <w:pPr>
        <w:ind w:left="720" w:hanging="720"/>
      </w:pPr>
      <w:rPr>
        <w:rFonts w:ascii="Times New Roman" w:hAnsi="Times New Roman" w:hint="default"/>
        <w:b/>
        <w:i w:val="0"/>
      </w:rPr>
    </w:lvl>
    <w:lvl w:ilvl="2">
      <w:start w:val="1"/>
      <w:numFmt w:val="decimal"/>
      <w:lvlText w:val="%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4386E8E"/>
    <w:multiLevelType w:val="hybridMultilevel"/>
    <w:tmpl w:val="0DEA2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47D35B5"/>
    <w:multiLevelType w:val="multilevel"/>
    <w:tmpl w:val="C5BE80D2"/>
    <w:lvl w:ilvl="0">
      <w:start w:val="1"/>
      <w:numFmt w:val="decimal"/>
      <w:lvlText w:val="%1."/>
      <w:lvlJc w:val="left"/>
      <w:pPr>
        <w:ind w:left="0" w:firstLine="0"/>
      </w:pPr>
      <w:rPr>
        <w:rFonts w:ascii="Times New Roman" w:hAnsi="Times New Roman" w:cs="Times New Roman" w:hint="default"/>
        <w:b w:val="0"/>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hint="default"/>
        <w:b/>
      </w:rPr>
    </w:lvl>
    <w:lvl w:ilvl="2">
      <w:start w:val="1"/>
      <w:numFmt w:val="decimal"/>
      <w:lvlText w:val="%1.%2.%3"/>
      <w:lvlJc w:val="left"/>
      <w:pPr>
        <w:ind w:left="1645" w:hanging="107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51D1D5F"/>
    <w:multiLevelType w:val="multilevel"/>
    <w:tmpl w:val="C0AAF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35558D"/>
    <w:multiLevelType w:val="hybridMultilevel"/>
    <w:tmpl w:val="897CC292"/>
    <w:lvl w:ilvl="0" w:tplc="91B8C8D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9701C2C"/>
    <w:multiLevelType w:val="hybridMultilevel"/>
    <w:tmpl w:val="B6F21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9895628"/>
    <w:multiLevelType w:val="hybridMultilevel"/>
    <w:tmpl w:val="1B4CA060"/>
    <w:lvl w:ilvl="0" w:tplc="080C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19A75F0A"/>
    <w:multiLevelType w:val="hybridMultilevel"/>
    <w:tmpl w:val="B7189EA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19C54646"/>
    <w:multiLevelType w:val="hybridMultilevel"/>
    <w:tmpl w:val="56F8D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C34703"/>
    <w:multiLevelType w:val="hybridMultilevel"/>
    <w:tmpl w:val="6784A328"/>
    <w:lvl w:ilvl="0" w:tplc="7B5E627A">
      <w:start w:val="1"/>
      <w:numFmt w:val="bullet"/>
      <w:pStyle w:val="WDBullets"/>
      <w:lvlText w:val=""/>
      <w:lvlJc w:val="left"/>
      <w:pPr>
        <w:ind w:left="1211" w:hanging="360"/>
      </w:pPr>
      <w:rPr>
        <w:rFonts w:ascii="Symbol" w:hAnsi="Symbol" w:hint="default"/>
        <w:color w:val="1F497D" w:themeColor="text2"/>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D063155"/>
    <w:multiLevelType w:val="multilevel"/>
    <w:tmpl w:val="F42CE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E515145"/>
    <w:multiLevelType w:val="multilevel"/>
    <w:tmpl w:val="252423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F203EAB"/>
    <w:multiLevelType w:val="hybridMultilevel"/>
    <w:tmpl w:val="BFE689F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F4C55DE"/>
    <w:multiLevelType w:val="hybridMultilevel"/>
    <w:tmpl w:val="25E8BF6C"/>
    <w:lvl w:ilvl="0" w:tplc="683657F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36B7E6A"/>
    <w:multiLevelType w:val="hybridMultilevel"/>
    <w:tmpl w:val="F2B8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461497C"/>
    <w:multiLevelType w:val="hybridMultilevel"/>
    <w:tmpl w:val="C58AD354"/>
    <w:lvl w:ilvl="0" w:tplc="6D42FA00">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0" w15:restartNumberingAfterBreak="0">
    <w:nsid w:val="24FB66DC"/>
    <w:multiLevelType w:val="hybridMultilevel"/>
    <w:tmpl w:val="82BE2DDE"/>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1" w15:restartNumberingAfterBreak="0">
    <w:nsid w:val="25AF6647"/>
    <w:multiLevelType w:val="hybridMultilevel"/>
    <w:tmpl w:val="D8D6140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2" w15:restartNumberingAfterBreak="0">
    <w:nsid w:val="25C07D33"/>
    <w:multiLevelType w:val="hybridMultilevel"/>
    <w:tmpl w:val="E898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5C8217B"/>
    <w:multiLevelType w:val="hybridMultilevel"/>
    <w:tmpl w:val="28E4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6F137D5"/>
    <w:multiLevelType w:val="hybridMultilevel"/>
    <w:tmpl w:val="0FCA241A"/>
    <w:lvl w:ilvl="0" w:tplc="3AC86F1C">
      <w:start w:val="1"/>
      <w:numFmt w:val="decimal"/>
      <w:lvlText w:val="%1."/>
      <w:lvlJc w:val="left"/>
      <w:pPr>
        <w:ind w:left="720" w:hanging="360"/>
      </w:pPr>
      <w:rPr>
        <w:rFonts w:ascii="Times New Roman" w:hAnsi="Times New Roman" w:cs="Times New Roman"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278F595E"/>
    <w:multiLevelType w:val="hybridMultilevel"/>
    <w:tmpl w:val="5AB89FC0"/>
    <w:lvl w:ilvl="0" w:tplc="09BE23A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8591769"/>
    <w:multiLevelType w:val="hybridMultilevel"/>
    <w:tmpl w:val="B6986154"/>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292B1A27"/>
    <w:multiLevelType w:val="hybridMultilevel"/>
    <w:tmpl w:val="16922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A4E26F5"/>
    <w:multiLevelType w:val="hybridMultilevel"/>
    <w:tmpl w:val="DE4EE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CE87E8D"/>
    <w:multiLevelType w:val="hybridMultilevel"/>
    <w:tmpl w:val="8E4A2B22"/>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15:restartNumberingAfterBreak="0">
    <w:nsid w:val="2DA37B09"/>
    <w:multiLevelType w:val="multilevel"/>
    <w:tmpl w:val="9CC82A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DD8773B"/>
    <w:multiLevelType w:val="hybridMultilevel"/>
    <w:tmpl w:val="C172B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E0B12FE"/>
    <w:multiLevelType w:val="hybridMultilevel"/>
    <w:tmpl w:val="9866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F7D78F2"/>
    <w:multiLevelType w:val="multilevel"/>
    <w:tmpl w:val="5088D1A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FC4389B"/>
    <w:multiLevelType w:val="multilevel"/>
    <w:tmpl w:val="80E2DDDE"/>
    <w:styleLink w:val="AMECHeadings4Level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sz w:val="28"/>
      </w:rPr>
    </w:lvl>
    <w:lvl w:ilvl="2">
      <w:start w:val="1"/>
      <w:numFmt w:val="decimal"/>
      <w:lvlText w:val="%1.%2.%3"/>
      <w:lvlJc w:val="left"/>
      <w:pPr>
        <w:ind w:left="1276" w:hanging="851"/>
      </w:pPr>
      <w:rPr>
        <w:rFonts w:hint="default"/>
        <w:sz w:val="12"/>
      </w:rPr>
    </w:lvl>
    <w:lvl w:ilvl="3">
      <w:start w:val="1"/>
      <w:numFmt w:val="decimal"/>
      <w:lvlText w:val="%1.%2.%3.%4"/>
      <w:lvlJc w:val="left"/>
      <w:pPr>
        <w:ind w:left="851" w:hanging="851"/>
      </w:pPr>
      <w:rPr>
        <w:rFonts w:hint="default"/>
        <w:sz w:val="12"/>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5" w15:restartNumberingAfterBreak="0">
    <w:nsid w:val="307F4326"/>
    <w:multiLevelType w:val="hybridMultilevel"/>
    <w:tmpl w:val="B14E78E2"/>
    <w:lvl w:ilvl="0" w:tplc="356A955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30E33015"/>
    <w:multiLevelType w:val="hybridMultilevel"/>
    <w:tmpl w:val="AF9A4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24549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46B3A8F"/>
    <w:multiLevelType w:val="hybridMultilevel"/>
    <w:tmpl w:val="13004C82"/>
    <w:lvl w:ilvl="0" w:tplc="A5B6BD42">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66F7D28"/>
    <w:multiLevelType w:val="hybridMultilevel"/>
    <w:tmpl w:val="5BDC8A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7847A88"/>
    <w:multiLevelType w:val="hybridMultilevel"/>
    <w:tmpl w:val="E7322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3857144F"/>
    <w:multiLevelType w:val="hybridMultilevel"/>
    <w:tmpl w:val="7CD2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8DF7827"/>
    <w:multiLevelType w:val="hybridMultilevel"/>
    <w:tmpl w:val="73BC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C6412C4"/>
    <w:multiLevelType w:val="hybridMultilevel"/>
    <w:tmpl w:val="06F8D27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2CD416DE">
      <w:start w:val="3"/>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C70662D"/>
    <w:multiLevelType w:val="multilevel"/>
    <w:tmpl w:val="1AAE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66" w15:restartNumberingAfterBreak="0">
    <w:nsid w:val="3CFC5732"/>
    <w:multiLevelType w:val="hybridMultilevel"/>
    <w:tmpl w:val="CE263C7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D4240ED"/>
    <w:multiLevelType w:val="hybridMultilevel"/>
    <w:tmpl w:val="A698C2AE"/>
    <w:lvl w:ilvl="0" w:tplc="08090001">
      <w:start w:val="1"/>
      <w:numFmt w:val="bullet"/>
      <w:lvlText w:val=""/>
      <w:lvlJc w:val="left"/>
      <w:pPr>
        <w:ind w:left="720" w:hanging="360"/>
      </w:pPr>
      <w:rPr>
        <w:rFonts w:ascii="Symbol" w:hAnsi="Symbo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FD80D88"/>
    <w:multiLevelType w:val="hybridMultilevel"/>
    <w:tmpl w:val="B002C8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1E64EB7"/>
    <w:multiLevelType w:val="hybridMultilevel"/>
    <w:tmpl w:val="F1DAF92C"/>
    <w:lvl w:ilvl="0" w:tplc="E5CA32CC">
      <w:start w:val="1"/>
      <w:numFmt w:val="bullet"/>
      <w:lvlText w:val="-"/>
      <w:lvlJc w:val="left"/>
      <w:pPr>
        <w:ind w:left="783" w:hanging="360"/>
      </w:pPr>
      <w:rPr>
        <w:rFonts w:ascii="Courier New" w:hAnsi="Courier New"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0" w15:restartNumberingAfterBreak="0">
    <w:nsid w:val="420A435A"/>
    <w:multiLevelType w:val="multilevel"/>
    <w:tmpl w:val="29947D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24649B0"/>
    <w:multiLevelType w:val="hybridMultilevel"/>
    <w:tmpl w:val="5F081AA2"/>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2" w15:restartNumberingAfterBreak="0">
    <w:nsid w:val="42771429"/>
    <w:multiLevelType w:val="hybridMultilevel"/>
    <w:tmpl w:val="1AB62B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3" w15:restartNumberingAfterBreak="0">
    <w:nsid w:val="433456F1"/>
    <w:multiLevelType w:val="hybridMultilevel"/>
    <w:tmpl w:val="5588C680"/>
    <w:lvl w:ilvl="0" w:tplc="B19E85F8">
      <w:start w:val="1"/>
      <w:numFmt w:val="upperLetter"/>
      <w:pStyle w:val="WDAppendixTitle"/>
      <w:lvlText w:val="Appendix %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450A49EC"/>
    <w:multiLevelType w:val="hybridMultilevel"/>
    <w:tmpl w:val="FF4495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50B05C7"/>
    <w:multiLevelType w:val="hybridMultilevel"/>
    <w:tmpl w:val="A2A8B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5191CC9"/>
    <w:multiLevelType w:val="hybridMultilevel"/>
    <w:tmpl w:val="BFE689F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73E4B5B"/>
    <w:multiLevelType w:val="hybridMultilevel"/>
    <w:tmpl w:val="C1B0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76D633B"/>
    <w:multiLevelType w:val="hybridMultilevel"/>
    <w:tmpl w:val="833E5B60"/>
    <w:lvl w:ilvl="0" w:tplc="E6EC942C">
      <w:start w:val="1"/>
      <w:numFmt w:val="lowerLetter"/>
      <w:lvlText w:val="%1."/>
      <w:lvlJc w:val="left"/>
      <w:pPr>
        <w:ind w:left="1211" w:hanging="360"/>
      </w:pPr>
      <w:rPr>
        <w:rFonts w:hint="default"/>
        <w:color w:val="1F497D" w:themeColor="text2"/>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95D4871"/>
    <w:multiLevelType w:val="hybridMultilevel"/>
    <w:tmpl w:val="9DE49D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0" w15:restartNumberingAfterBreak="0">
    <w:nsid w:val="49795F3B"/>
    <w:multiLevelType w:val="hybridMultilevel"/>
    <w:tmpl w:val="E74A824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A393E8A"/>
    <w:multiLevelType w:val="multilevel"/>
    <w:tmpl w:val="F42CE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B1777ED"/>
    <w:multiLevelType w:val="hybridMultilevel"/>
    <w:tmpl w:val="2154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BAC485C"/>
    <w:multiLevelType w:val="multilevel"/>
    <w:tmpl w:val="687E2FE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sz w:val="28"/>
      </w:rPr>
    </w:lvl>
    <w:lvl w:ilvl="2">
      <w:start w:val="1"/>
      <w:numFmt w:val="decimal"/>
      <w:lvlText w:val="%1.%2.%3"/>
      <w:lvlJc w:val="left"/>
      <w:pPr>
        <w:ind w:left="851" w:hanging="851"/>
      </w:pPr>
      <w:rPr>
        <w:rFonts w:hint="default"/>
        <w:sz w:val="12"/>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84" w15:restartNumberingAfterBreak="0">
    <w:nsid w:val="4D51650C"/>
    <w:multiLevelType w:val="hybridMultilevel"/>
    <w:tmpl w:val="871E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E263B0D"/>
    <w:multiLevelType w:val="hybridMultilevel"/>
    <w:tmpl w:val="42CC0742"/>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6" w15:restartNumberingAfterBreak="0">
    <w:nsid w:val="4E640FF2"/>
    <w:multiLevelType w:val="hybridMultilevel"/>
    <w:tmpl w:val="27229EB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ED16468"/>
    <w:multiLevelType w:val="hybridMultilevel"/>
    <w:tmpl w:val="71A89314"/>
    <w:lvl w:ilvl="0" w:tplc="0178BD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F2F0B53"/>
    <w:multiLevelType w:val="multilevel"/>
    <w:tmpl w:val="3014F9B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F3A2295"/>
    <w:multiLevelType w:val="multilevel"/>
    <w:tmpl w:val="2BEA29D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FEA7876"/>
    <w:multiLevelType w:val="hybridMultilevel"/>
    <w:tmpl w:val="5350BA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1" w15:restartNumberingAfterBreak="0">
    <w:nsid w:val="4FFB068B"/>
    <w:multiLevelType w:val="hybridMultilevel"/>
    <w:tmpl w:val="452ABEB2"/>
    <w:lvl w:ilvl="0" w:tplc="A5B6BD42">
      <w:numFmt w:val="bullet"/>
      <w:lvlText w:val="-"/>
      <w:lvlJc w:val="left"/>
      <w:pPr>
        <w:ind w:left="786"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00F1709"/>
    <w:multiLevelType w:val="hybridMultilevel"/>
    <w:tmpl w:val="B1688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2C22A4F"/>
    <w:multiLevelType w:val="hybridMultilevel"/>
    <w:tmpl w:val="EDB6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39B2F44"/>
    <w:multiLevelType w:val="hybridMultilevel"/>
    <w:tmpl w:val="0E703ADC"/>
    <w:lvl w:ilvl="0" w:tplc="080C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3DA266D"/>
    <w:multiLevelType w:val="hybridMultilevel"/>
    <w:tmpl w:val="9B04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4201E2D"/>
    <w:multiLevelType w:val="hybridMultilevel"/>
    <w:tmpl w:val="25E8BF6C"/>
    <w:lvl w:ilvl="0" w:tplc="683657F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429770F"/>
    <w:multiLevelType w:val="multilevel"/>
    <w:tmpl w:val="F42CEAD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8AF71C4"/>
    <w:multiLevelType w:val="hybridMultilevel"/>
    <w:tmpl w:val="5DA26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9612C07"/>
    <w:multiLevelType w:val="hybridMultilevel"/>
    <w:tmpl w:val="87EAC1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0" w15:restartNumberingAfterBreak="0">
    <w:nsid w:val="5D26346D"/>
    <w:multiLevelType w:val="multilevel"/>
    <w:tmpl w:val="F934F8FE"/>
    <w:styleLink w:val="Style2"/>
    <w:lvl w:ilvl="0">
      <w:start w:val="1"/>
      <w:numFmt w:val="decimal"/>
      <w:lvlText w:val="%1.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02" w15:restartNumberingAfterBreak="0">
    <w:nsid w:val="60B976C7"/>
    <w:multiLevelType w:val="hybridMultilevel"/>
    <w:tmpl w:val="043608AA"/>
    <w:lvl w:ilvl="0" w:tplc="080C000F">
      <w:start w:val="1"/>
      <w:numFmt w:val="decimal"/>
      <w:lvlText w:val="%1."/>
      <w:lvlJc w:val="left"/>
      <w:pPr>
        <w:ind w:left="1202" w:hanging="360"/>
      </w:pPr>
    </w:lvl>
    <w:lvl w:ilvl="1" w:tplc="080C0019" w:tentative="1">
      <w:start w:val="1"/>
      <w:numFmt w:val="lowerLetter"/>
      <w:lvlText w:val="%2."/>
      <w:lvlJc w:val="left"/>
      <w:pPr>
        <w:ind w:left="1922" w:hanging="360"/>
      </w:pPr>
    </w:lvl>
    <w:lvl w:ilvl="2" w:tplc="080C001B">
      <w:start w:val="1"/>
      <w:numFmt w:val="lowerRoman"/>
      <w:lvlText w:val="%3."/>
      <w:lvlJc w:val="right"/>
      <w:pPr>
        <w:ind w:left="2642" w:hanging="180"/>
      </w:pPr>
    </w:lvl>
    <w:lvl w:ilvl="3" w:tplc="080C000F" w:tentative="1">
      <w:start w:val="1"/>
      <w:numFmt w:val="decimal"/>
      <w:lvlText w:val="%4."/>
      <w:lvlJc w:val="left"/>
      <w:pPr>
        <w:ind w:left="3362" w:hanging="360"/>
      </w:pPr>
    </w:lvl>
    <w:lvl w:ilvl="4" w:tplc="080C0019" w:tentative="1">
      <w:start w:val="1"/>
      <w:numFmt w:val="lowerLetter"/>
      <w:lvlText w:val="%5."/>
      <w:lvlJc w:val="left"/>
      <w:pPr>
        <w:ind w:left="4082" w:hanging="360"/>
      </w:pPr>
    </w:lvl>
    <w:lvl w:ilvl="5" w:tplc="080C001B" w:tentative="1">
      <w:start w:val="1"/>
      <w:numFmt w:val="lowerRoman"/>
      <w:lvlText w:val="%6."/>
      <w:lvlJc w:val="right"/>
      <w:pPr>
        <w:ind w:left="4802" w:hanging="180"/>
      </w:pPr>
    </w:lvl>
    <w:lvl w:ilvl="6" w:tplc="080C000F" w:tentative="1">
      <w:start w:val="1"/>
      <w:numFmt w:val="decimal"/>
      <w:lvlText w:val="%7."/>
      <w:lvlJc w:val="left"/>
      <w:pPr>
        <w:ind w:left="5522" w:hanging="360"/>
      </w:pPr>
    </w:lvl>
    <w:lvl w:ilvl="7" w:tplc="080C0019" w:tentative="1">
      <w:start w:val="1"/>
      <w:numFmt w:val="lowerLetter"/>
      <w:lvlText w:val="%8."/>
      <w:lvlJc w:val="left"/>
      <w:pPr>
        <w:ind w:left="6242" w:hanging="360"/>
      </w:pPr>
    </w:lvl>
    <w:lvl w:ilvl="8" w:tplc="080C001B" w:tentative="1">
      <w:start w:val="1"/>
      <w:numFmt w:val="lowerRoman"/>
      <w:lvlText w:val="%9."/>
      <w:lvlJc w:val="right"/>
      <w:pPr>
        <w:ind w:left="6962" w:hanging="180"/>
      </w:pPr>
    </w:lvl>
  </w:abstractNum>
  <w:abstractNum w:abstractNumId="103" w15:restartNumberingAfterBreak="0">
    <w:nsid w:val="613A4608"/>
    <w:multiLevelType w:val="hybridMultilevel"/>
    <w:tmpl w:val="E42E4D5A"/>
    <w:lvl w:ilvl="0" w:tplc="106E98D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170557D"/>
    <w:multiLevelType w:val="hybridMultilevel"/>
    <w:tmpl w:val="BFE689F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3824B2F"/>
    <w:multiLevelType w:val="multilevel"/>
    <w:tmpl w:val="03066DBA"/>
    <w:lvl w:ilvl="0">
      <w:start w:val="1"/>
      <w:numFmt w:val="decimal"/>
      <w:pStyle w:val="Heading1Annex"/>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15:restartNumberingAfterBreak="0">
    <w:nsid w:val="645F4B3D"/>
    <w:multiLevelType w:val="hybridMultilevel"/>
    <w:tmpl w:val="BFE689F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5111656"/>
    <w:multiLevelType w:val="hybridMultilevel"/>
    <w:tmpl w:val="2A041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6005C8E"/>
    <w:multiLevelType w:val="hybridMultilevel"/>
    <w:tmpl w:val="DFB23220"/>
    <w:lvl w:ilvl="0" w:tplc="080C000F">
      <w:start w:val="1"/>
      <w:numFmt w:val="decimal"/>
      <w:lvlText w:val="%1."/>
      <w:lvlJc w:val="left"/>
      <w:pPr>
        <w:ind w:left="1080" w:hanging="360"/>
      </w:p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start w:val="1"/>
      <w:numFmt w:val="decimal"/>
      <w:lvlText w:val="%7."/>
      <w:lvlJc w:val="left"/>
      <w:pPr>
        <w:ind w:left="5400" w:hanging="360"/>
      </w:pPr>
    </w:lvl>
    <w:lvl w:ilvl="7" w:tplc="080C0019">
      <w:start w:val="1"/>
      <w:numFmt w:val="lowerLetter"/>
      <w:lvlText w:val="%8."/>
      <w:lvlJc w:val="left"/>
      <w:pPr>
        <w:ind w:left="6120" w:hanging="360"/>
      </w:pPr>
    </w:lvl>
    <w:lvl w:ilvl="8" w:tplc="080C001B">
      <w:start w:val="1"/>
      <w:numFmt w:val="lowerRoman"/>
      <w:lvlText w:val="%9."/>
      <w:lvlJc w:val="right"/>
      <w:pPr>
        <w:ind w:left="6840" w:hanging="180"/>
      </w:pPr>
    </w:lvl>
  </w:abstractNum>
  <w:abstractNum w:abstractNumId="109" w15:restartNumberingAfterBreak="0">
    <w:nsid w:val="68210F08"/>
    <w:multiLevelType w:val="hybridMultilevel"/>
    <w:tmpl w:val="01FA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8A3758F"/>
    <w:multiLevelType w:val="multilevel"/>
    <w:tmpl w:val="8722A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D4821E3"/>
    <w:multiLevelType w:val="hybridMultilevel"/>
    <w:tmpl w:val="6DB65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DE95DDB"/>
    <w:multiLevelType w:val="hybridMultilevel"/>
    <w:tmpl w:val="CADE4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F7F1A08"/>
    <w:multiLevelType w:val="multilevel"/>
    <w:tmpl w:val="C0AAF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FFF67C2"/>
    <w:multiLevelType w:val="hybridMultilevel"/>
    <w:tmpl w:val="98BE5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0EC54A4"/>
    <w:multiLevelType w:val="hybridMultilevel"/>
    <w:tmpl w:val="C52CBDCE"/>
    <w:lvl w:ilvl="0" w:tplc="C48A98E6">
      <w:start w:val="1"/>
      <w:numFmt w:val="bullet"/>
      <w:pStyle w:val="WDBullets2"/>
      <w:lvlText w:val=""/>
      <w:lvlJc w:val="left"/>
      <w:pPr>
        <w:ind w:left="1494" w:hanging="360"/>
      </w:pPr>
      <w:rPr>
        <w:rFonts w:ascii="Wingdings 3" w:hAnsi="Wingdings 3" w:hint="default"/>
        <w:color w:val="1F497D" w:themeColor="text2"/>
        <w:sz w:val="16"/>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16" w15:restartNumberingAfterBreak="0">
    <w:nsid w:val="753D044A"/>
    <w:multiLevelType w:val="hybridMultilevel"/>
    <w:tmpl w:val="1A42B9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5C72D42"/>
    <w:multiLevelType w:val="hybridMultilevel"/>
    <w:tmpl w:val="CD189A9E"/>
    <w:lvl w:ilvl="0" w:tplc="080C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6F14E3A"/>
    <w:multiLevelType w:val="hybridMultilevel"/>
    <w:tmpl w:val="CD6E8A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88A2098"/>
    <w:multiLevelType w:val="hybridMultilevel"/>
    <w:tmpl w:val="2240565C"/>
    <w:lvl w:ilvl="0" w:tplc="4A4822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7939484E"/>
    <w:multiLevelType w:val="multilevel"/>
    <w:tmpl w:val="1242DFE0"/>
    <w:styleLink w:val="AMECHeadings"/>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9D4055A"/>
    <w:multiLevelType w:val="hybridMultilevel"/>
    <w:tmpl w:val="EE189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A630327"/>
    <w:multiLevelType w:val="hybridMultilevel"/>
    <w:tmpl w:val="25AC8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ABE1013"/>
    <w:multiLevelType w:val="hybridMultilevel"/>
    <w:tmpl w:val="9FBEB91A"/>
    <w:lvl w:ilvl="0" w:tplc="3F504AEE">
      <w:start w:val="1"/>
      <w:numFmt w:val="lowerRoman"/>
      <w:pStyle w:val="WDRoman"/>
      <w:lvlText w:val="%1."/>
      <w:lvlJc w:val="right"/>
      <w:pPr>
        <w:ind w:left="1571" w:hanging="360"/>
      </w:pPr>
    </w:lvl>
    <w:lvl w:ilvl="1" w:tplc="08090019" w:tentative="1">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4" w15:restartNumberingAfterBreak="0">
    <w:nsid w:val="7B181164"/>
    <w:multiLevelType w:val="hybridMultilevel"/>
    <w:tmpl w:val="001A3122"/>
    <w:lvl w:ilvl="0" w:tplc="3FC623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B4F64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7C3D01F8"/>
    <w:multiLevelType w:val="hybridMultilevel"/>
    <w:tmpl w:val="E3D625D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7DC2513B"/>
    <w:multiLevelType w:val="hybridMultilevel"/>
    <w:tmpl w:val="52447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F3033A5"/>
    <w:multiLevelType w:val="hybridMultilevel"/>
    <w:tmpl w:val="EFB8E6D6"/>
    <w:lvl w:ilvl="0" w:tplc="AE3CCC0E">
      <w:start w:val="8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FE6620D"/>
    <w:multiLevelType w:val="hybridMultilevel"/>
    <w:tmpl w:val="2CA073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3"/>
  </w:num>
  <w:num w:numId="2">
    <w:abstractNumId w:val="110"/>
  </w:num>
  <w:num w:numId="3">
    <w:abstractNumId w:val="120"/>
  </w:num>
  <w:num w:numId="4">
    <w:abstractNumId w:val="22"/>
  </w:num>
  <w:num w:numId="5">
    <w:abstractNumId w:val="70"/>
  </w:num>
  <w:num w:numId="6">
    <w:abstractNumId w:val="50"/>
  </w:num>
  <w:num w:numId="7">
    <w:abstractNumId w:val="81"/>
  </w:num>
  <w:num w:numId="8">
    <w:abstractNumId w:val="35"/>
  </w:num>
  <w:num w:numId="9">
    <w:abstractNumId w:val="65"/>
  </w:num>
  <w:num w:numId="10">
    <w:abstractNumId w:val="101"/>
  </w:num>
  <w:num w:numId="11">
    <w:abstractNumId w:val="99"/>
  </w:num>
  <w:num w:numId="12">
    <w:abstractNumId w:val="84"/>
  </w:num>
  <w:num w:numId="13">
    <w:abstractNumId w:val="52"/>
  </w:num>
  <w:num w:numId="14">
    <w:abstractNumId w:val="47"/>
  </w:num>
  <w:num w:numId="15">
    <w:abstractNumId w:val="4"/>
  </w:num>
  <w:num w:numId="16">
    <w:abstractNumId w:val="1"/>
  </w:num>
  <w:num w:numId="17">
    <w:abstractNumId w:val="121"/>
  </w:num>
  <w:num w:numId="18">
    <w:abstractNumId w:val="61"/>
  </w:num>
  <w:num w:numId="19">
    <w:abstractNumId w:val="33"/>
  </w:num>
  <w:num w:numId="20">
    <w:abstractNumId w:val="62"/>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5"/>
  </w:num>
  <w:num w:numId="24">
    <w:abstractNumId w:val="123"/>
  </w:num>
  <w:num w:numId="25">
    <w:abstractNumId w:val="54"/>
  </w:num>
  <w:num w:numId="26">
    <w:abstractNumId w:val="31"/>
  </w:num>
  <w:num w:numId="27">
    <w:abstractNumId w:val="26"/>
  </w:num>
  <w:num w:numId="28">
    <w:abstractNumId w:val="105"/>
  </w:num>
  <w:num w:numId="29">
    <w:abstractNumId w:val="24"/>
  </w:num>
  <w:num w:numId="30">
    <w:abstractNumId w:val="26"/>
  </w:num>
  <w:num w:numId="31">
    <w:abstractNumId w:val="59"/>
  </w:num>
  <w:num w:numId="32">
    <w:abstractNumId w:val="3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5"/>
  </w:num>
  <w:num w:numId="34">
    <w:abstractNumId w:val="85"/>
  </w:num>
  <w:num w:numId="35">
    <w:abstractNumId w:val="14"/>
  </w:num>
  <w:num w:numId="36">
    <w:abstractNumId w:val="94"/>
  </w:num>
  <w:num w:numId="37">
    <w:abstractNumId w:val="128"/>
  </w:num>
  <w:num w:numId="38">
    <w:abstractNumId w:val="60"/>
  </w:num>
  <w:num w:numId="39">
    <w:abstractNumId w:val="17"/>
  </w:num>
  <w:num w:numId="40">
    <w:abstractNumId w:val="44"/>
  </w:num>
  <w:num w:numId="41">
    <w:abstractNumId w:val="8"/>
  </w:num>
  <w:num w:numId="42">
    <w:abstractNumId w:val="109"/>
  </w:num>
  <w:num w:numId="43">
    <w:abstractNumId w:val="43"/>
  </w:num>
  <w:num w:numId="44">
    <w:abstractNumId w:val="21"/>
  </w:num>
  <w:num w:numId="45">
    <w:abstractNumId w:val="48"/>
  </w:num>
  <w:num w:numId="46">
    <w:abstractNumId w:val="77"/>
  </w:num>
  <w:num w:numId="47">
    <w:abstractNumId w:val="122"/>
  </w:num>
  <w:num w:numId="48">
    <w:abstractNumId w:val="25"/>
  </w:num>
  <w:num w:numId="49">
    <w:abstractNumId w:val="55"/>
  </w:num>
  <w:num w:numId="50">
    <w:abstractNumId w:val="28"/>
  </w:num>
  <w:num w:numId="51">
    <w:abstractNumId w:val="119"/>
  </w:num>
  <w:num w:numId="52">
    <w:abstractNumId w:val="45"/>
  </w:num>
  <w:num w:numId="53">
    <w:abstractNumId w:val="19"/>
  </w:num>
  <w:num w:numId="54">
    <w:abstractNumId w:val="15"/>
  </w:num>
  <w:num w:numId="55">
    <w:abstractNumId w:val="87"/>
  </w:num>
  <w:num w:numId="56">
    <w:abstractNumId w:val="7"/>
  </w:num>
  <w:num w:numId="57">
    <w:abstractNumId w:val="29"/>
  </w:num>
  <w:num w:numId="58">
    <w:abstractNumId w:val="56"/>
  </w:num>
  <w:num w:numId="59">
    <w:abstractNumId w:val="111"/>
  </w:num>
  <w:num w:numId="60">
    <w:abstractNumId w:val="32"/>
  </w:num>
  <w:num w:numId="61">
    <w:abstractNumId w:val="51"/>
  </w:num>
  <w:num w:numId="62">
    <w:abstractNumId w:val="42"/>
  </w:num>
  <w:num w:numId="63">
    <w:abstractNumId w:val="83"/>
  </w:num>
  <w:num w:numId="64">
    <w:abstractNumId w:val="73"/>
  </w:num>
  <w:num w:numId="65">
    <w:abstractNumId w:val="82"/>
  </w:num>
  <w:num w:numId="66">
    <w:abstractNumId w:val="107"/>
  </w:num>
  <w:num w:numId="67">
    <w:abstractNumId w:val="98"/>
  </w:num>
  <w:num w:numId="68">
    <w:abstractNumId w:val="92"/>
  </w:num>
  <w:num w:numId="69">
    <w:abstractNumId w:val="90"/>
  </w:num>
  <w:num w:numId="70">
    <w:abstractNumId w:val="72"/>
  </w:num>
  <w:num w:numId="71">
    <w:abstractNumId w:val="79"/>
  </w:num>
  <w:num w:numId="72">
    <w:abstractNumId w:val="114"/>
  </w:num>
  <w:num w:numId="73">
    <w:abstractNumId w:val="112"/>
  </w:num>
  <w:num w:numId="74">
    <w:abstractNumId w:val="58"/>
  </w:num>
  <w:num w:numId="75">
    <w:abstractNumId w:val="118"/>
  </w:num>
  <w:num w:numId="76">
    <w:abstractNumId w:val="127"/>
  </w:num>
  <w:num w:numId="77">
    <w:abstractNumId w:val="75"/>
  </w:num>
  <w:num w:numId="78">
    <w:abstractNumId w:val="74"/>
  </w:num>
  <w:num w:numId="79">
    <w:abstractNumId w:val="103"/>
  </w:num>
  <w:num w:numId="80">
    <w:abstractNumId w:val="68"/>
  </w:num>
  <w:num w:numId="81">
    <w:abstractNumId w:val="38"/>
  </w:num>
  <w:num w:numId="82">
    <w:abstractNumId w:val="100"/>
  </w:num>
  <w:num w:numId="83">
    <w:abstractNumId w:val="63"/>
  </w:num>
  <w:num w:numId="84">
    <w:abstractNumId w:val="129"/>
  </w:num>
  <w:num w:numId="85">
    <w:abstractNumId w:val="40"/>
  </w:num>
  <w:num w:numId="86">
    <w:abstractNumId w:val="53"/>
  </w:num>
  <w:num w:numId="87">
    <w:abstractNumId w:val="13"/>
  </w:num>
  <w:num w:numId="88">
    <w:abstractNumId w:val="89"/>
  </w:num>
  <w:num w:numId="89">
    <w:abstractNumId w:val="124"/>
  </w:num>
  <w:num w:numId="90">
    <w:abstractNumId w:val="64"/>
  </w:num>
  <w:num w:numId="91">
    <w:abstractNumId w:val="93"/>
  </w:num>
  <w:num w:numId="92">
    <w:abstractNumId w:val="6"/>
  </w:num>
  <w:num w:numId="93">
    <w:abstractNumId w:val="11"/>
  </w:num>
  <w:num w:numId="94">
    <w:abstractNumId w:val="31"/>
  </w:num>
  <w:num w:numId="95">
    <w:abstractNumId w:val="91"/>
  </w:num>
  <w:num w:numId="96">
    <w:abstractNumId w:val="30"/>
    <w:lvlOverride w:ilvl="0">
      <w:startOverride w:val="1"/>
    </w:lvlOverride>
    <w:lvlOverride w:ilvl="1"/>
    <w:lvlOverride w:ilvl="2"/>
    <w:lvlOverride w:ilvl="3"/>
    <w:lvlOverride w:ilvl="4"/>
    <w:lvlOverride w:ilvl="5"/>
    <w:lvlOverride w:ilvl="6"/>
    <w:lvlOverride w:ilvl="7"/>
    <w:lvlOverride w:ilvl="8"/>
  </w:num>
  <w:num w:numId="97">
    <w:abstractNumId w:val="30"/>
  </w:num>
  <w:num w:numId="98">
    <w:abstractNumId w:val="39"/>
  </w:num>
  <w:num w:numId="99">
    <w:abstractNumId w:val="102"/>
  </w:num>
  <w:num w:numId="100">
    <w:abstractNumId w:val="18"/>
  </w:num>
  <w:num w:numId="101">
    <w:abstractNumId w:val="34"/>
  </w:num>
  <w:num w:numId="102">
    <w:abstractNumId w:val="97"/>
  </w:num>
  <w:num w:numId="103">
    <w:abstractNumId w:val="0"/>
  </w:num>
  <w:num w:numId="104">
    <w:abstractNumId w:val="27"/>
  </w:num>
  <w:num w:numId="10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9"/>
  </w:num>
  <w:num w:numId="109">
    <w:abstractNumId w:val="26"/>
  </w:num>
  <w:num w:numId="110">
    <w:abstractNumId w:val="26"/>
  </w:num>
  <w:num w:numId="111">
    <w:abstractNumId w:val="26"/>
  </w:num>
  <w:num w:numId="112">
    <w:abstractNumId w:val="26"/>
  </w:num>
  <w:num w:numId="113">
    <w:abstractNumId w:val="26"/>
  </w:num>
  <w:num w:numId="114">
    <w:abstractNumId w:val="26"/>
  </w:num>
  <w:num w:numId="115">
    <w:abstractNumId w:val="26"/>
  </w:num>
  <w:num w:numId="116">
    <w:abstractNumId w:val="26"/>
  </w:num>
  <w:num w:numId="117">
    <w:abstractNumId w:val="26"/>
  </w:num>
  <w:num w:numId="118">
    <w:abstractNumId w:val="26"/>
  </w:num>
  <w:num w:numId="119">
    <w:abstractNumId w:val="49"/>
  </w:num>
  <w:num w:numId="120">
    <w:abstractNumId w:val="116"/>
  </w:num>
  <w:num w:numId="121">
    <w:abstractNumId w:val="9"/>
  </w:num>
  <w:num w:numId="122">
    <w:abstractNumId w:val="23"/>
  </w:num>
  <w:num w:numId="123">
    <w:abstractNumId w:val="125"/>
  </w:num>
  <w:num w:numId="124">
    <w:abstractNumId w:val="2"/>
  </w:num>
  <w:num w:numId="125">
    <w:abstractNumId w:val="2"/>
  </w:num>
  <w:num w:numId="126">
    <w:abstractNumId w:val="2"/>
  </w:num>
  <w:num w:numId="127">
    <w:abstractNumId w:val="2"/>
  </w:num>
  <w:num w:numId="128">
    <w:abstractNumId w:val="2"/>
  </w:num>
  <w:num w:numId="129">
    <w:abstractNumId w:val="2"/>
  </w:num>
  <w:num w:numId="130">
    <w:abstractNumId w:val="2"/>
  </w:num>
  <w:num w:numId="131">
    <w:abstractNumId w:val="117"/>
  </w:num>
  <w:num w:numId="132">
    <w:abstractNumId w:val="71"/>
  </w:num>
  <w:num w:numId="133">
    <w:abstractNumId w:val="78"/>
  </w:num>
  <w:num w:numId="134">
    <w:abstractNumId w:val="46"/>
  </w:num>
  <w:num w:numId="135">
    <w:abstractNumId w:val="16"/>
  </w:num>
  <w:num w:numId="136">
    <w:abstractNumId w:val="2"/>
  </w:num>
  <w:num w:numId="137">
    <w:abstractNumId w:val="2"/>
  </w:num>
  <w:num w:numId="138">
    <w:abstractNumId w:val="2"/>
  </w:num>
  <w:num w:numId="139">
    <w:abstractNumId w:val="2"/>
  </w:num>
  <w:num w:numId="140">
    <w:abstractNumId w:val="2"/>
  </w:num>
  <w:num w:numId="141">
    <w:abstractNumId w:val="2"/>
  </w:num>
  <w:num w:numId="142">
    <w:abstractNumId w:val="2"/>
  </w:num>
  <w:num w:numId="143">
    <w:abstractNumId w:val="2"/>
  </w:num>
  <w:num w:numId="144">
    <w:abstractNumId w:val="2"/>
  </w:num>
  <w:num w:numId="145">
    <w:abstractNumId w:val="2"/>
  </w:num>
  <w:num w:numId="146">
    <w:abstractNumId w:val="2"/>
  </w:num>
  <w:num w:numId="147">
    <w:abstractNumId w:val="2"/>
  </w:num>
  <w:num w:numId="148">
    <w:abstractNumId w:val="2"/>
  </w:num>
  <w:num w:numId="149">
    <w:abstractNumId w:val="2"/>
  </w:num>
  <w:num w:numId="150">
    <w:abstractNumId w:val="2"/>
  </w:num>
  <w:num w:numId="151">
    <w:abstractNumId w:val="2"/>
  </w:num>
  <w:num w:numId="152">
    <w:abstractNumId w:val="2"/>
  </w:num>
  <w:num w:numId="153">
    <w:abstractNumId w:val="5"/>
  </w:num>
  <w:num w:numId="154">
    <w:abstractNumId w:val="37"/>
  </w:num>
  <w:num w:numId="155">
    <w:abstractNumId w:val="96"/>
  </w:num>
  <w:num w:numId="156">
    <w:abstractNumId w:val="66"/>
  </w:num>
  <w:num w:numId="157">
    <w:abstractNumId w:val="106"/>
  </w:num>
  <w:num w:numId="158">
    <w:abstractNumId w:val="76"/>
  </w:num>
  <w:num w:numId="159">
    <w:abstractNumId w:val="12"/>
  </w:num>
  <w:num w:numId="160">
    <w:abstractNumId w:val="67"/>
  </w:num>
  <w:num w:numId="161">
    <w:abstractNumId w:val="104"/>
  </w:num>
  <w:num w:numId="162">
    <w:abstractNumId w:val="80"/>
  </w:num>
  <w:num w:numId="163">
    <w:abstractNumId w:val="36"/>
  </w:num>
  <w:num w:numId="164">
    <w:abstractNumId w:val="3"/>
  </w:num>
  <w:num w:numId="165">
    <w:abstractNumId w:val="126"/>
  </w:num>
  <w:num w:numId="166">
    <w:abstractNumId w:val="10"/>
  </w:num>
  <w:num w:numId="167">
    <w:abstractNumId w:val="86"/>
  </w:num>
  <w:num w:numId="168">
    <w:abstractNumId w:val="57"/>
  </w:num>
  <w:num w:numId="169">
    <w:abstractNumId w:val="2"/>
  </w:num>
  <w:num w:numId="170">
    <w:abstractNumId w:val="20"/>
  </w:num>
  <w:num w:numId="171">
    <w:abstractNumId w:val="2"/>
  </w:num>
  <w:num w:numId="172">
    <w:abstractNumId w:val="2"/>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da-DK" w:vendorID="64" w:dllVersion="131078" w:nlCheck="1" w:checkStyle="0"/>
  <w:activeWritingStyle w:appName="MSWord" w:lang="fr-BE" w:vendorID="64" w:dllVersion="131078" w:nlCheck="1" w:checkStyle="0"/>
  <w:activeWritingStyle w:appName="MSWord" w:lang="nl-BE" w:vendorID="64" w:dllVersion="131078" w:nlCheck="1" w:checkStyle="0"/>
  <w:activeWritingStyle w:appName="MSWord" w:lang="it-IT" w:vendorID="64" w:dllVersion="131078" w:nlCheck="1" w:checkStyle="0"/>
  <w:activeWritingStyle w:appName="MSWord" w:lang="en-AU" w:vendorID="64" w:dllVersion="131078" w:nlCheck="1" w:checkStyle="1"/>
  <w:activeWritingStyle w:appName="MSWord" w:lang="fr-FR" w:vendorID="64" w:dllVersion="131078" w:nlCheck="1" w:checkStyle="0"/>
  <w:activeWritingStyle w:appName="MSWord" w:lang="es-ES" w:vendorID="64" w:dllVersion="131078" w:nlCheck="1" w:checkStyle="0"/>
  <w:activeWritingStyle w:appName="MSWord" w:lang="en-IE" w:vendorID="64" w:dllVersion="131078" w:nlCheck="1" w:checkStyle="1"/>
  <w:defaultTabStop w:val="720"/>
  <w:hyphenationZone w:val="425"/>
  <w:characterSpacingControl w:val="doNotCompress"/>
  <w:hdrShapeDefaults>
    <o:shapedefaults v:ext="edit" spidmax="4874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04146574-9529-40CF-9660-EF0944B6473D"/>
    <w:docVar w:name="LW_COVERPAGE_TYPE" w:val="1"/>
    <w:docVar w:name="LW_CROSSREFERENCE" w:val="{COM(2021) 706 final} - {SEC(2021) 395 final} - {SEC(2021) 396 final} - {SWD(2021) 325 final} - {SWD(2021) 327 final} - {SWD(2021) 328 final} - {SWD(2021) 329 final}"/>
    <w:docVar w:name="LW_DocType" w:val="NORMAL"/>
    <w:docVar w:name="LW_EMISSION" w:val="17.11.2021"/>
    <w:docVar w:name="LW_EMISSION_ISODATE" w:val="2021-11-17"/>
    <w:docVar w:name="LW_EMISSION_LOCATION" w:val="BRX"/>
    <w:docVar w:name="LW_EMISSION_PREFIX" w:val="Brussels, "/>
    <w:docVar w:name="LW_EMISSION_SUFFIX" w:val=" "/>
    <w:docVar w:name="LW_ID_DOCTYPE_NONLW" w:val="CP-026"/>
    <w:docVar w:name="LW_LANGUE" w:val="EN"/>
    <w:docVar w:name="LW_LEVEL_OF_SENSITIVITY" w:val="Standard treatment"/>
    <w:docVar w:name="LW_NOM.INST" w:val="EUROPEAN COMMISSION"/>
    <w:docVar w:name="LW_NOM.INST_JOINTDOC" w:val="&lt;EMPTY&gt;"/>
    <w:docVar w:name="LW_OBJETACTEPRINCIPAL.CP" w:val="&lt;FMT:Bold&gt;on the making available on the Union market as well as export from the Union of certain commodities and products associated with deforestation and forest degradation and repealing Regulation (EU) No 995/2010&lt;/FMT&gt;"/>
    <w:docVar w:name="LW_PART_NBR" w:val="1"/>
    <w:docVar w:name="LW_PART_NBR_TOTAL" w:val="2"/>
    <w:docVar w:name="LW_REF.INST.NEW" w:val="SWD"/>
    <w:docVar w:name="LW_REF.INST.NEW_ADOPTED" w:val="final"/>
    <w:docVar w:name="LW_REF.INST.NEW_TEXT" w:val="(2021) 3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minimising the risk of deforestation and forest degradation associated with products placed on the EU market"/>
    <w:docVar w:name="LW_TYPE.DOC.CP" w:val="COMMISSION STAFF WORKING DOCUMENT_x000b__x000b_IMPACT ASSESSMENT_x000b_"/>
    <w:docVar w:name="LW_TYPEACTEPRINCIPAL.CP" w:val="Proposal for a REGULATION OF THE EUROPEAN PARLIAMENT AND OF THE COUNCIL"/>
    <w:docVar w:name="LwApiVersions" w:val="LW4CoDe 1.23.1.0; LW 8.0, Build 20210728"/>
  </w:docVars>
  <w:rsids>
    <w:rsidRoot w:val="0021058A"/>
    <w:rsid w:val="00001089"/>
    <w:rsid w:val="0000134D"/>
    <w:rsid w:val="00001636"/>
    <w:rsid w:val="00001698"/>
    <w:rsid w:val="000016B0"/>
    <w:rsid w:val="00001BDB"/>
    <w:rsid w:val="00001C63"/>
    <w:rsid w:val="0000208B"/>
    <w:rsid w:val="00002391"/>
    <w:rsid w:val="00002437"/>
    <w:rsid w:val="00002FCC"/>
    <w:rsid w:val="000037B5"/>
    <w:rsid w:val="0000419B"/>
    <w:rsid w:val="00004C49"/>
    <w:rsid w:val="00005227"/>
    <w:rsid w:val="00006EE7"/>
    <w:rsid w:val="000075D1"/>
    <w:rsid w:val="00007C51"/>
    <w:rsid w:val="000103C2"/>
    <w:rsid w:val="00010624"/>
    <w:rsid w:val="00010F28"/>
    <w:rsid w:val="00011C4B"/>
    <w:rsid w:val="00011EC1"/>
    <w:rsid w:val="0001206B"/>
    <w:rsid w:val="00012722"/>
    <w:rsid w:val="00012BF4"/>
    <w:rsid w:val="00012C96"/>
    <w:rsid w:val="0001351E"/>
    <w:rsid w:val="00013661"/>
    <w:rsid w:val="00013923"/>
    <w:rsid w:val="00013D3D"/>
    <w:rsid w:val="00014061"/>
    <w:rsid w:val="000144E1"/>
    <w:rsid w:val="00014658"/>
    <w:rsid w:val="00014769"/>
    <w:rsid w:val="00014A63"/>
    <w:rsid w:val="00015074"/>
    <w:rsid w:val="000154B0"/>
    <w:rsid w:val="0001642C"/>
    <w:rsid w:val="00016715"/>
    <w:rsid w:val="00016974"/>
    <w:rsid w:val="00016CE5"/>
    <w:rsid w:val="00016DB1"/>
    <w:rsid w:val="00021198"/>
    <w:rsid w:val="0002228C"/>
    <w:rsid w:val="0002240C"/>
    <w:rsid w:val="00022881"/>
    <w:rsid w:val="000229C3"/>
    <w:rsid w:val="00022A4B"/>
    <w:rsid w:val="00023634"/>
    <w:rsid w:val="0002365E"/>
    <w:rsid w:val="00024899"/>
    <w:rsid w:val="00024ADA"/>
    <w:rsid w:val="000250C1"/>
    <w:rsid w:val="00026345"/>
    <w:rsid w:val="00027373"/>
    <w:rsid w:val="00027ADE"/>
    <w:rsid w:val="00030467"/>
    <w:rsid w:val="00030682"/>
    <w:rsid w:val="0003108F"/>
    <w:rsid w:val="000319EC"/>
    <w:rsid w:val="00031A25"/>
    <w:rsid w:val="00032110"/>
    <w:rsid w:val="00032352"/>
    <w:rsid w:val="00032717"/>
    <w:rsid w:val="00032BA5"/>
    <w:rsid w:val="00032E4E"/>
    <w:rsid w:val="0003310A"/>
    <w:rsid w:val="000332D2"/>
    <w:rsid w:val="0003355B"/>
    <w:rsid w:val="00033EFF"/>
    <w:rsid w:val="00033FD4"/>
    <w:rsid w:val="00034218"/>
    <w:rsid w:val="00035A0C"/>
    <w:rsid w:val="0003655B"/>
    <w:rsid w:val="00036C01"/>
    <w:rsid w:val="0004012B"/>
    <w:rsid w:val="00040161"/>
    <w:rsid w:val="000407FE"/>
    <w:rsid w:val="00040B50"/>
    <w:rsid w:val="000416E5"/>
    <w:rsid w:val="000424BF"/>
    <w:rsid w:val="0004250E"/>
    <w:rsid w:val="000429E7"/>
    <w:rsid w:val="0004391D"/>
    <w:rsid w:val="00043E6F"/>
    <w:rsid w:val="000441F6"/>
    <w:rsid w:val="0004477C"/>
    <w:rsid w:val="000448D3"/>
    <w:rsid w:val="00046506"/>
    <w:rsid w:val="00046935"/>
    <w:rsid w:val="000475BA"/>
    <w:rsid w:val="00047E0A"/>
    <w:rsid w:val="00050362"/>
    <w:rsid w:val="0005087B"/>
    <w:rsid w:val="00050A9D"/>
    <w:rsid w:val="00050F7C"/>
    <w:rsid w:val="00051496"/>
    <w:rsid w:val="0005175A"/>
    <w:rsid w:val="00051B46"/>
    <w:rsid w:val="00051DBF"/>
    <w:rsid w:val="00051E66"/>
    <w:rsid w:val="000523D1"/>
    <w:rsid w:val="000529E2"/>
    <w:rsid w:val="0005390A"/>
    <w:rsid w:val="00053A1F"/>
    <w:rsid w:val="00053C78"/>
    <w:rsid w:val="00053FF4"/>
    <w:rsid w:val="00054727"/>
    <w:rsid w:val="00054956"/>
    <w:rsid w:val="00054FB7"/>
    <w:rsid w:val="000550DD"/>
    <w:rsid w:val="00055203"/>
    <w:rsid w:val="00055349"/>
    <w:rsid w:val="00055B12"/>
    <w:rsid w:val="000569A5"/>
    <w:rsid w:val="0005719A"/>
    <w:rsid w:val="00057B11"/>
    <w:rsid w:val="00057E3F"/>
    <w:rsid w:val="00057FBA"/>
    <w:rsid w:val="00060B02"/>
    <w:rsid w:val="000615C4"/>
    <w:rsid w:val="00061A39"/>
    <w:rsid w:val="00061C48"/>
    <w:rsid w:val="00062458"/>
    <w:rsid w:val="00062724"/>
    <w:rsid w:val="00062B34"/>
    <w:rsid w:val="00063AF5"/>
    <w:rsid w:val="00063CBC"/>
    <w:rsid w:val="00064140"/>
    <w:rsid w:val="00064DA7"/>
    <w:rsid w:val="00065811"/>
    <w:rsid w:val="00065A92"/>
    <w:rsid w:val="00065AF5"/>
    <w:rsid w:val="00065FB5"/>
    <w:rsid w:val="00066003"/>
    <w:rsid w:val="00066050"/>
    <w:rsid w:val="000667FA"/>
    <w:rsid w:val="00066A0B"/>
    <w:rsid w:val="00066E1D"/>
    <w:rsid w:val="00066ED7"/>
    <w:rsid w:val="0006776B"/>
    <w:rsid w:val="00067B18"/>
    <w:rsid w:val="00071A4C"/>
    <w:rsid w:val="00071AF5"/>
    <w:rsid w:val="00073CA1"/>
    <w:rsid w:val="00073FD4"/>
    <w:rsid w:val="000743CF"/>
    <w:rsid w:val="000745A2"/>
    <w:rsid w:val="00074927"/>
    <w:rsid w:val="000751BB"/>
    <w:rsid w:val="000757FA"/>
    <w:rsid w:val="0007639B"/>
    <w:rsid w:val="00076479"/>
    <w:rsid w:val="000767F8"/>
    <w:rsid w:val="00076840"/>
    <w:rsid w:val="000768A4"/>
    <w:rsid w:val="0007691D"/>
    <w:rsid w:val="00076A77"/>
    <w:rsid w:val="00076D90"/>
    <w:rsid w:val="00077428"/>
    <w:rsid w:val="000777FB"/>
    <w:rsid w:val="000816C1"/>
    <w:rsid w:val="00081AF2"/>
    <w:rsid w:val="00081BBC"/>
    <w:rsid w:val="0008208A"/>
    <w:rsid w:val="000837D3"/>
    <w:rsid w:val="00083815"/>
    <w:rsid w:val="00083922"/>
    <w:rsid w:val="00083D87"/>
    <w:rsid w:val="00085188"/>
    <w:rsid w:val="000852F8"/>
    <w:rsid w:val="00085D4F"/>
    <w:rsid w:val="00085F4D"/>
    <w:rsid w:val="00085F82"/>
    <w:rsid w:val="0008658D"/>
    <w:rsid w:val="000867C5"/>
    <w:rsid w:val="00086F47"/>
    <w:rsid w:val="000876DF"/>
    <w:rsid w:val="00087CE1"/>
    <w:rsid w:val="00087E2C"/>
    <w:rsid w:val="00087EDC"/>
    <w:rsid w:val="00090AA9"/>
    <w:rsid w:val="00090FBB"/>
    <w:rsid w:val="00091356"/>
    <w:rsid w:val="00091E71"/>
    <w:rsid w:val="00091F2F"/>
    <w:rsid w:val="0009263A"/>
    <w:rsid w:val="00093368"/>
    <w:rsid w:val="00093AEE"/>
    <w:rsid w:val="00093C2E"/>
    <w:rsid w:val="00094436"/>
    <w:rsid w:val="00094624"/>
    <w:rsid w:val="000954AD"/>
    <w:rsid w:val="0009584B"/>
    <w:rsid w:val="00095ED7"/>
    <w:rsid w:val="000963E4"/>
    <w:rsid w:val="00096BF1"/>
    <w:rsid w:val="00096CB5"/>
    <w:rsid w:val="000971DC"/>
    <w:rsid w:val="00097281"/>
    <w:rsid w:val="000978C4"/>
    <w:rsid w:val="00097FFA"/>
    <w:rsid w:val="000A0A75"/>
    <w:rsid w:val="000A0D2C"/>
    <w:rsid w:val="000A0D6B"/>
    <w:rsid w:val="000A0DFD"/>
    <w:rsid w:val="000A1169"/>
    <w:rsid w:val="000A148A"/>
    <w:rsid w:val="000A1967"/>
    <w:rsid w:val="000A1CA4"/>
    <w:rsid w:val="000A379E"/>
    <w:rsid w:val="000A3ED7"/>
    <w:rsid w:val="000A47C0"/>
    <w:rsid w:val="000A4F05"/>
    <w:rsid w:val="000A50FE"/>
    <w:rsid w:val="000A540F"/>
    <w:rsid w:val="000A5F2D"/>
    <w:rsid w:val="000A65DD"/>
    <w:rsid w:val="000A66D1"/>
    <w:rsid w:val="000A76D7"/>
    <w:rsid w:val="000A7728"/>
    <w:rsid w:val="000A77BF"/>
    <w:rsid w:val="000A7AD6"/>
    <w:rsid w:val="000A7DF5"/>
    <w:rsid w:val="000B05A8"/>
    <w:rsid w:val="000B06A7"/>
    <w:rsid w:val="000B08A2"/>
    <w:rsid w:val="000B0D8E"/>
    <w:rsid w:val="000B1569"/>
    <w:rsid w:val="000B201B"/>
    <w:rsid w:val="000B202F"/>
    <w:rsid w:val="000B222D"/>
    <w:rsid w:val="000B27E6"/>
    <w:rsid w:val="000B28B9"/>
    <w:rsid w:val="000B39A8"/>
    <w:rsid w:val="000B3B8F"/>
    <w:rsid w:val="000B3BF1"/>
    <w:rsid w:val="000B3DEC"/>
    <w:rsid w:val="000B3F39"/>
    <w:rsid w:val="000B404B"/>
    <w:rsid w:val="000B4562"/>
    <w:rsid w:val="000B4CEA"/>
    <w:rsid w:val="000B5181"/>
    <w:rsid w:val="000B53C0"/>
    <w:rsid w:val="000B54B3"/>
    <w:rsid w:val="000B5BE1"/>
    <w:rsid w:val="000B5E25"/>
    <w:rsid w:val="000B60BD"/>
    <w:rsid w:val="000B69A7"/>
    <w:rsid w:val="000B6B66"/>
    <w:rsid w:val="000B6B6A"/>
    <w:rsid w:val="000B6EA3"/>
    <w:rsid w:val="000C0519"/>
    <w:rsid w:val="000C0557"/>
    <w:rsid w:val="000C10DD"/>
    <w:rsid w:val="000C1408"/>
    <w:rsid w:val="000C216D"/>
    <w:rsid w:val="000C29B7"/>
    <w:rsid w:val="000C2CEE"/>
    <w:rsid w:val="000C36E0"/>
    <w:rsid w:val="000C3B51"/>
    <w:rsid w:val="000C3E54"/>
    <w:rsid w:val="000C3E55"/>
    <w:rsid w:val="000C4559"/>
    <w:rsid w:val="000C4904"/>
    <w:rsid w:val="000C50E7"/>
    <w:rsid w:val="000C5942"/>
    <w:rsid w:val="000C6279"/>
    <w:rsid w:val="000C62C2"/>
    <w:rsid w:val="000C63EB"/>
    <w:rsid w:val="000C68C3"/>
    <w:rsid w:val="000C6A53"/>
    <w:rsid w:val="000C763A"/>
    <w:rsid w:val="000C7A73"/>
    <w:rsid w:val="000C7D61"/>
    <w:rsid w:val="000C7F0B"/>
    <w:rsid w:val="000D001C"/>
    <w:rsid w:val="000D07E0"/>
    <w:rsid w:val="000D0CBA"/>
    <w:rsid w:val="000D0EF9"/>
    <w:rsid w:val="000D1D65"/>
    <w:rsid w:val="000D1DAB"/>
    <w:rsid w:val="000D1E26"/>
    <w:rsid w:val="000D2262"/>
    <w:rsid w:val="000D23DC"/>
    <w:rsid w:val="000D24F6"/>
    <w:rsid w:val="000D2C2D"/>
    <w:rsid w:val="000D43AE"/>
    <w:rsid w:val="000D44D1"/>
    <w:rsid w:val="000D46AD"/>
    <w:rsid w:val="000D4CD5"/>
    <w:rsid w:val="000D5513"/>
    <w:rsid w:val="000D5CE6"/>
    <w:rsid w:val="000D5DBF"/>
    <w:rsid w:val="000D5F76"/>
    <w:rsid w:val="000D5F9F"/>
    <w:rsid w:val="000D6114"/>
    <w:rsid w:val="000D66AE"/>
    <w:rsid w:val="000D7692"/>
    <w:rsid w:val="000D7C71"/>
    <w:rsid w:val="000D7DF6"/>
    <w:rsid w:val="000E022B"/>
    <w:rsid w:val="000E0321"/>
    <w:rsid w:val="000E06E1"/>
    <w:rsid w:val="000E0DB4"/>
    <w:rsid w:val="000E1195"/>
    <w:rsid w:val="000E12D4"/>
    <w:rsid w:val="000E130A"/>
    <w:rsid w:val="000E13F2"/>
    <w:rsid w:val="000E1514"/>
    <w:rsid w:val="000E1616"/>
    <w:rsid w:val="000E173A"/>
    <w:rsid w:val="000E1839"/>
    <w:rsid w:val="000E1E41"/>
    <w:rsid w:val="000E1FD5"/>
    <w:rsid w:val="000E2C6B"/>
    <w:rsid w:val="000E3407"/>
    <w:rsid w:val="000E3C66"/>
    <w:rsid w:val="000E3C9D"/>
    <w:rsid w:val="000E403C"/>
    <w:rsid w:val="000E4FC3"/>
    <w:rsid w:val="000E55BF"/>
    <w:rsid w:val="000E5B5C"/>
    <w:rsid w:val="000E6102"/>
    <w:rsid w:val="000E621F"/>
    <w:rsid w:val="000E64D5"/>
    <w:rsid w:val="000E6BCB"/>
    <w:rsid w:val="000E7B69"/>
    <w:rsid w:val="000E7C05"/>
    <w:rsid w:val="000E83A7"/>
    <w:rsid w:val="000F03B8"/>
    <w:rsid w:val="000F0421"/>
    <w:rsid w:val="000F0711"/>
    <w:rsid w:val="000F0E12"/>
    <w:rsid w:val="000F103C"/>
    <w:rsid w:val="000F1290"/>
    <w:rsid w:val="000F1D24"/>
    <w:rsid w:val="000F2FB1"/>
    <w:rsid w:val="000F3A8D"/>
    <w:rsid w:val="000F3AD1"/>
    <w:rsid w:val="000F403B"/>
    <w:rsid w:val="000F47B0"/>
    <w:rsid w:val="000F4C6C"/>
    <w:rsid w:val="000F52A1"/>
    <w:rsid w:val="000F5911"/>
    <w:rsid w:val="000F66DF"/>
    <w:rsid w:val="000F679C"/>
    <w:rsid w:val="000F67A0"/>
    <w:rsid w:val="000F6951"/>
    <w:rsid w:val="000F6BC8"/>
    <w:rsid w:val="000F6F3E"/>
    <w:rsid w:val="000F78B7"/>
    <w:rsid w:val="000F792D"/>
    <w:rsid w:val="000F7C54"/>
    <w:rsid w:val="000F7C8E"/>
    <w:rsid w:val="000F7F07"/>
    <w:rsid w:val="001008CC"/>
    <w:rsid w:val="00100A4B"/>
    <w:rsid w:val="00100A9B"/>
    <w:rsid w:val="00100B78"/>
    <w:rsid w:val="00100C14"/>
    <w:rsid w:val="00100EAF"/>
    <w:rsid w:val="00100EB7"/>
    <w:rsid w:val="00102E49"/>
    <w:rsid w:val="00103021"/>
    <w:rsid w:val="00103E66"/>
    <w:rsid w:val="0010423E"/>
    <w:rsid w:val="00104357"/>
    <w:rsid w:val="001046C1"/>
    <w:rsid w:val="001056A3"/>
    <w:rsid w:val="00105B95"/>
    <w:rsid w:val="00105C12"/>
    <w:rsid w:val="0010636B"/>
    <w:rsid w:val="00106386"/>
    <w:rsid w:val="00107103"/>
    <w:rsid w:val="00107D66"/>
    <w:rsid w:val="00110343"/>
    <w:rsid w:val="00110982"/>
    <w:rsid w:val="00110E16"/>
    <w:rsid w:val="00110FCB"/>
    <w:rsid w:val="00111205"/>
    <w:rsid w:val="00111470"/>
    <w:rsid w:val="00111823"/>
    <w:rsid w:val="00111F72"/>
    <w:rsid w:val="00112069"/>
    <w:rsid w:val="001122E7"/>
    <w:rsid w:val="001129E5"/>
    <w:rsid w:val="0011309E"/>
    <w:rsid w:val="00113184"/>
    <w:rsid w:val="00113289"/>
    <w:rsid w:val="00113908"/>
    <w:rsid w:val="00113B28"/>
    <w:rsid w:val="00113D8B"/>
    <w:rsid w:val="00114255"/>
    <w:rsid w:val="0011484A"/>
    <w:rsid w:val="00114D3F"/>
    <w:rsid w:val="00114DF3"/>
    <w:rsid w:val="00116760"/>
    <w:rsid w:val="001168D2"/>
    <w:rsid w:val="00116A99"/>
    <w:rsid w:val="0011702C"/>
    <w:rsid w:val="001175E9"/>
    <w:rsid w:val="00117A55"/>
    <w:rsid w:val="00117E0C"/>
    <w:rsid w:val="00117EA7"/>
    <w:rsid w:val="0012026E"/>
    <w:rsid w:val="00120FF6"/>
    <w:rsid w:val="001211A8"/>
    <w:rsid w:val="001212EB"/>
    <w:rsid w:val="001213E0"/>
    <w:rsid w:val="00121C4F"/>
    <w:rsid w:val="001224A2"/>
    <w:rsid w:val="0012260E"/>
    <w:rsid w:val="001226F5"/>
    <w:rsid w:val="0012279B"/>
    <w:rsid w:val="001238CF"/>
    <w:rsid w:val="001243BB"/>
    <w:rsid w:val="00124DD5"/>
    <w:rsid w:val="00124E86"/>
    <w:rsid w:val="001258C7"/>
    <w:rsid w:val="001259FD"/>
    <w:rsid w:val="001265D2"/>
    <w:rsid w:val="00126B0A"/>
    <w:rsid w:val="00127016"/>
    <w:rsid w:val="0012709B"/>
    <w:rsid w:val="00127548"/>
    <w:rsid w:val="00127565"/>
    <w:rsid w:val="001279E5"/>
    <w:rsid w:val="0013016F"/>
    <w:rsid w:val="00130FAA"/>
    <w:rsid w:val="001318AD"/>
    <w:rsid w:val="00131E6A"/>
    <w:rsid w:val="0013201E"/>
    <w:rsid w:val="001321CB"/>
    <w:rsid w:val="00132494"/>
    <w:rsid w:val="001324BD"/>
    <w:rsid w:val="001328A9"/>
    <w:rsid w:val="00132A63"/>
    <w:rsid w:val="00132FB7"/>
    <w:rsid w:val="0013308F"/>
    <w:rsid w:val="001347FA"/>
    <w:rsid w:val="001348DB"/>
    <w:rsid w:val="00134DB7"/>
    <w:rsid w:val="00135397"/>
    <w:rsid w:val="00135398"/>
    <w:rsid w:val="001355F1"/>
    <w:rsid w:val="0013614F"/>
    <w:rsid w:val="0013664C"/>
    <w:rsid w:val="001367C5"/>
    <w:rsid w:val="001372C8"/>
    <w:rsid w:val="00137B7D"/>
    <w:rsid w:val="0014044C"/>
    <w:rsid w:val="0014080E"/>
    <w:rsid w:val="001409EB"/>
    <w:rsid w:val="00141096"/>
    <w:rsid w:val="001416A3"/>
    <w:rsid w:val="001419A2"/>
    <w:rsid w:val="001420E6"/>
    <w:rsid w:val="001421D8"/>
    <w:rsid w:val="001429C5"/>
    <w:rsid w:val="00142AA8"/>
    <w:rsid w:val="00142F16"/>
    <w:rsid w:val="001434B4"/>
    <w:rsid w:val="001437E4"/>
    <w:rsid w:val="00143FF1"/>
    <w:rsid w:val="0014437D"/>
    <w:rsid w:val="00144433"/>
    <w:rsid w:val="00144B90"/>
    <w:rsid w:val="00145353"/>
    <w:rsid w:val="001457A5"/>
    <w:rsid w:val="00145C63"/>
    <w:rsid w:val="00146519"/>
    <w:rsid w:val="00146551"/>
    <w:rsid w:val="00146974"/>
    <w:rsid w:val="00147B2C"/>
    <w:rsid w:val="00150791"/>
    <w:rsid w:val="00151693"/>
    <w:rsid w:val="00152212"/>
    <w:rsid w:val="001524C8"/>
    <w:rsid w:val="00152569"/>
    <w:rsid w:val="001528E1"/>
    <w:rsid w:val="00152C52"/>
    <w:rsid w:val="0015417E"/>
    <w:rsid w:val="00154A09"/>
    <w:rsid w:val="00154CD7"/>
    <w:rsid w:val="00154DCB"/>
    <w:rsid w:val="00154FE1"/>
    <w:rsid w:val="001550D0"/>
    <w:rsid w:val="001550D5"/>
    <w:rsid w:val="00155718"/>
    <w:rsid w:val="0015582C"/>
    <w:rsid w:val="00155FC9"/>
    <w:rsid w:val="00156A8D"/>
    <w:rsid w:val="00156C08"/>
    <w:rsid w:val="00157101"/>
    <w:rsid w:val="001571CD"/>
    <w:rsid w:val="00157695"/>
    <w:rsid w:val="00157DD4"/>
    <w:rsid w:val="00157FB0"/>
    <w:rsid w:val="00160379"/>
    <w:rsid w:val="001603CA"/>
    <w:rsid w:val="0016042E"/>
    <w:rsid w:val="001608F8"/>
    <w:rsid w:val="00160C17"/>
    <w:rsid w:val="001615B9"/>
    <w:rsid w:val="00162E69"/>
    <w:rsid w:val="00162EB8"/>
    <w:rsid w:val="00162FE8"/>
    <w:rsid w:val="001631F6"/>
    <w:rsid w:val="00163E41"/>
    <w:rsid w:val="00164B8E"/>
    <w:rsid w:val="00164ECA"/>
    <w:rsid w:val="00165540"/>
    <w:rsid w:val="001656EA"/>
    <w:rsid w:val="00166F84"/>
    <w:rsid w:val="001674DA"/>
    <w:rsid w:val="0016785F"/>
    <w:rsid w:val="0016794A"/>
    <w:rsid w:val="00170660"/>
    <w:rsid w:val="001706E7"/>
    <w:rsid w:val="00170FB8"/>
    <w:rsid w:val="00171278"/>
    <w:rsid w:val="00171369"/>
    <w:rsid w:val="001714A3"/>
    <w:rsid w:val="001717E3"/>
    <w:rsid w:val="0017222A"/>
    <w:rsid w:val="00172357"/>
    <w:rsid w:val="00172B27"/>
    <w:rsid w:val="00173240"/>
    <w:rsid w:val="00173C49"/>
    <w:rsid w:val="00173CF8"/>
    <w:rsid w:val="00173E1E"/>
    <w:rsid w:val="001742E2"/>
    <w:rsid w:val="001750B3"/>
    <w:rsid w:val="0017530C"/>
    <w:rsid w:val="00175BF1"/>
    <w:rsid w:val="0017686E"/>
    <w:rsid w:val="001769F6"/>
    <w:rsid w:val="001775DC"/>
    <w:rsid w:val="00177C72"/>
    <w:rsid w:val="00181544"/>
    <w:rsid w:val="0018187E"/>
    <w:rsid w:val="00181BE2"/>
    <w:rsid w:val="00182500"/>
    <w:rsid w:val="00182664"/>
    <w:rsid w:val="00182817"/>
    <w:rsid w:val="00183D7C"/>
    <w:rsid w:val="00183FE5"/>
    <w:rsid w:val="00184541"/>
    <w:rsid w:val="00184638"/>
    <w:rsid w:val="00186CE2"/>
    <w:rsid w:val="0018733F"/>
    <w:rsid w:val="00187400"/>
    <w:rsid w:val="001876EA"/>
    <w:rsid w:val="00187CC4"/>
    <w:rsid w:val="00187E36"/>
    <w:rsid w:val="00190523"/>
    <w:rsid w:val="0019062D"/>
    <w:rsid w:val="00190899"/>
    <w:rsid w:val="00192045"/>
    <w:rsid w:val="0019292A"/>
    <w:rsid w:val="00193036"/>
    <w:rsid w:val="00193AF7"/>
    <w:rsid w:val="001940AB"/>
    <w:rsid w:val="00194282"/>
    <w:rsid w:val="001947DE"/>
    <w:rsid w:val="00194FBB"/>
    <w:rsid w:val="0019513C"/>
    <w:rsid w:val="00195453"/>
    <w:rsid w:val="001957D4"/>
    <w:rsid w:val="00195AFC"/>
    <w:rsid w:val="00195FFC"/>
    <w:rsid w:val="00196159"/>
    <w:rsid w:val="00196BB5"/>
    <w:rsid w:val="00197302"/>
    <w:rsid w:val="00197688"/>
    <w:rsid w:val="00197947"/>
    <w:rsid w:val="001A08DD"/>
    <w:rsid w:val="001A1E59"/>
    <w:rsid w:val="001A26D9"/>
    <w:rsid w:val="001A3359"/>
    <w:rsid w:val="001A3661"/>
    <w:rsid w:val="001A388A"/>
    <w:rsid w:val="001A4047"/>
    <w:rsid w:val="001A4082"/>
    <w:rsid w:val="001A40B4"/>
    <w:rsid w:val="001A4666"/>
    <w:rsid w:val="001A4753"/>
    <w:rsid w:val="001A4B07"/>
    <w:rsid w:val="001A4B1C"/>
    <w:rsid w:val="001A4ECD"/>
    <w:rsid w:val="001A519E"/>
    <w:rsid w:val="001A52EA"/>
    <w:rsid w:val="001A53D6"/>
    <w:rsid w:val="001A6034"/>
    <w:rsid w:val="001A60E2"/>
    <w:rsid w:val="001A688C"/>
    <w:rsid w:val="001A6920"/>
    <w:rsid w:val="001A6F77"/>
    <w:rsid w:val="001A7844"/>
    <w:rsid w:val="001B0033"/>
    <w:rsid w:val="001B06D4"/>
    <w:rsid w:val="001B0FA7"/>
    <w:rsid w:val="001B12CE"/>
    <w:rsid w:val="001B198B"/>
    <w:rsid w:val="001B1C73"/>
    <w:rsid w:val="001B1DC4"/>
    <w:rsid w:val="001B215E"/>
    <w:rsid w:val="001B21BB"/>
    <w:rsid w:val="001B2856"/>
    <w:rsid w:val="001B2AD4"/>
    <w:rsid w:val="001B30BF"/>
    <w:rsid w:val="001B3194"/>
    <w:rsid w:val="001B3588"/>
    <w:rsid w:val="001B3739"/>
    <w:rsid w:val="001B3F7F"/>
    <w:rsid w:val="001B533F"/>
    <w:rsid w:val="001B58C6"/>
    <w:rsid w:val="001B59A8"/>
    <w:rsid w:val="001B5A00"/>
    <w:rsid w:val="001B5ADC"/>
    <w:rsid w:val="001B5DF4"/>
    <w:rsid w:val="001B5E5A"/>
    <w:rsid w:val="001B6154"/>
    <w:rsid w:val="001B6978"/>
    <w:rsid w:val="001B7CFE"/>
    <w:rsid w:val="001C1166"/>
    <w:rsid w:val="001C17ED"/>
    <w:rsid w:val="001C1867"/>
    <w:rsid w:val="001C23CD"/>
    <w:rsid w:val="001C250F"/>
    <w:rsid w:val="001C2756"/>
    <w:rsid w:val="001C328A"/>
    <w:rsid w:val="001C3E17"/>
    <w:rsid w:val="001C481A"/>
    <w:rsid w:val="001C4835"/>
    <w:rsid w:val="001C4CDA"/>
    <w:rsid w:val="001C4D32"/>
    <w:rsid w:val="001C54C4"/>
    <w:rsid w:val="001C57D1"/>
    <w:rsid w:val="001C5B0F"/>
    <w:rsid w:val="001C5DCE"/>
    <w:rsid w:val="001C6646"/>
    <w:rsid w:val="001C6E3B"/>
    <w:rsid w:val="001C7716"/>
    <w:rsid w:val="001C77A6"/>
    <w:rsid w:val="001D00C7"/>
    <w:rsid w:val="001D07AB"/>
    <w:rsid w:val="001D0E76"/>
    <w:rsid w:val="001D1DEF"/>
    <w:rsid w:val="001D2701"/>
    <w:rsid w:val="001D2E61"/>
    <w:rsid w:val="001D2F07"/>
    <w:rsid w:val="001D3A74"/>
    <w:rsid w:val="001D3CAF"/>
    <w:rsid w:val="001D3DBA"/>
    <w:rsid w:val="001D3F2C"/>
    <w:rsid w:val="001D4087"/>
    <w:rsid w:val="001D57CB"/>
    <w:rsid w:val="001D58A9"/>
    <w:rsid w:val="001D652D"/>
    <w:rsid w:val="001D6F5D"/>
    <w:rsid w:val="001D76F1"/>
    <w:rsid w:val="001D7810"/>
    <w:rsid w:val="001E068D"/>
    <w:rsid w:val="001E108F"/>
    <w:rsid w:val="001E10E3"/>
    <w:rsid w:val="001E14A6"/>
    <w:rsid w:val="001E1952"/>
    <w:rsid w:val="001E19ED"/>
    <w:rsid w:val="001E1FE3"/>
    <w:rsid w:val="001E2B81"/>
    <w:rsid w:val="001E3A95"/>
    <w:rsid w:val="001E408C"/>
    <w:rsid w:val="001E5482"/>
    <w:rsid w:val="001E62DE"/>
    <w:rsid w:val="001E6F28"/>
    <w:rsid w:val="001E6FD6"/>
    <w:rsid w:val="001E799A"/>
    <w:rsid w:val="001E79BB"/>
    <w:rsid w:val="001E7F3C"/>
    <w:rsid w:val="001E7FBC"/>
    <w:rsid w:val="001F0438"/>
    <w:rsid w:val="001F04EF"/>
    <w:rsid w:val="001F13FD"/>
    <w:rsid w:val="001F2081"/>
    <w:rsid w:val="001F219F"/>
    <w:rsid w:val="001F236A"/>
    <w:rsid w:val="001F254E"/>
    <w:rsid w:val="001F2617"/>
    <w:rsid w:val="001F2732"/>
    <w:rsid w:val="001F2B46"/>
    <w:rsid w:val="001F2E54"/>
    <w:rsid w:val="001F4344"/>
    <w:rsid w:val="001F4952"/>
    <w:rsid w:val="001F49B9"/>
    <w:rsid w:val="001F5907"/>
    <w:rsid w:val="001F5B7E"/>
    <w:rsid w:val="001F5E09"/>
    <w:rsid w:val="001F5F87"/>
    <w:rsid w:val="001F60EC"/>
    <w:rsid w:val="001F67B5"/>
    <w:rsid w:val="001F6BF9"/>
    <w:rsid w:val="001F6D56"/>
    <w:rsid w:val="001F6F92"/>
    <w:rsid w:val="001F79B2"/>
    <w:rsid w:val="00201E97"/>
    <w:rsid w:val="00201FBB"/>
    <w:rsid w:val="002022E9"/>
    <w:rsid w:val="002023CC"/>
    <w:rsid w:val="00202DA8"/>
    <w:rsid w:val="002031DF"/>
    <w:rsid w:val="002034C8"/>
    <w:rsid w:val="002037EB"/>
    <w:rsid w:val="00203E00"/>
    <w:rsid w:val="002045B8"/>
    <w:rsid w:val="002048F6"/>
    <w:rsid w:val="00204B0C"/>
    <w:rsid w:val="0020511C"/>
    <w:rsid w:val="00205DA6"/>
    <w:rsid w:val="00206163"/>
    <w:rsid w:val="00206729"/>
    <w:rsid w:val="00206E96"/>
    <w:rsid w:val="002077CC"/>
    <w:rsid w:val="0021058A"/>
    <w:rsid w:val="0021098A"/>
    <w:rsid w:val="00210997"/>
    <w:rsid w:val="002109B2"/>
    <w:rsid w:val="00210B10"/>
    <w:rsid w:val="002113B4"/>
    <w:rsid w:val="00211619"/>
    <w:rsid w:val="00213DAA"/>
    <w:rsid w:val="00214B2F"/>
    <w:rsid w:val="00214F24"/>
    <w:rsid w:val="0021532B"/>
    <w:rsid w:val="002167FB"/>
    <w:rsid w:val="0021755A"/>
    <w:rsid w:val="00217A63"/>
    <w:rsid w:val="00217D62"/>
    <w:rsid w:val="00217F6E"/>
    <w:rsid w:val="00220582"/>
    <w:rsid w:val="00220EA2"/>
    <w:rsid w:val="00220F83"/>
    <w:rsid w:val="00220FF1"/>
    <w:rsid w:val="00221702"/>
    <w:rsid w:val="0022195E"/>
    <w:rsid w:val="00221B1C"/>
    <w:rsid w:val="002221C4"/>
    <w:rsid w:val="00222235"/>
    <w:rsid w:val="00223B46"/>
    <w:rsid w:val="00223C88"/>
    <w:rsid w:val="00223EA6"/>
    <w:rsid w:val="00224254"/>
    <w:rsid w:val="00224BAB"/>
    <w:rsid w:val="00225117"/>
    <w:rsid w:val="00225477"/>
    <w:rsid w:val="00225AA6"/>
    <w:rsid w:val="00226665"/>
    <w:rsid w:val="00227382"/>
    <w:rsid w:val="00227989"/>
    <w:rsid w:val="00227B95"/>
    <w:rsid w:val="00227BB9"/>
    <w:rsid w:val="00230234"/>
    <w:rsid w:val="002308B2"/>
    <w:rsid w:val="00230D8E"/>
    <w:rsid w:val="00232245"/>
    <w:rsid w:val="00232970"/>
    <w:rsid w:val="0023313E"/>
    <w:rsid w:val="00233563"/>
    <w:rsid w:val="0023378C"/>
    <w:rsid w:val="00234E57"/>
    <w:rsid w:val="00235232"/>
    <w:rsid w:val="00235E45"/>
    <w:rsid w:val="00236246"/>
    <w:rsid w:val="00236DEC"/>
    <w:rsid w:val="00236F62"/>
    <w:rsid w:val="00236F8F"/>
    <w:rsid w:val="00237032"/>
    <w:rsid w:val="002372C0"/>
    <w:rsid w:val="00237A1D"/>
    <w:rsid w:val="00240EE9"/>
    <w:rsid w:val="00241140"/>
    <w:rsid w:val="002411EA"/>
    <w:rsid w:val="00241A36"/>
    <w:rsid w:val="00242C05"/>
    <w:rsid w:val="00243119"/>
    <w:rsid w:val="0024314E"/>
    <w:rsid w:val="0024346A"/>
    <w:rsid w:val="00243DE2"/>
    <w:rsid w:val="00244A93"/>
    <w:rsid w:val="00244E6A"/>
    <w:rsid w:val="0024585A"/>
    <w:rsid w:val="002460CD"/>
    <w:rsid w:val="002473A1"/>
    <w:rsid w:val="00247BE5"/>
    <w:rsid w:val="00247C52"/>
    <w:rsid w:val="00247E64"/>
    <w:rsid w:val="0025012F"/>
    <w:rsid w:val="00250148"/>
    <w:rsid w:val="00250C07"/>
    <w:rsid w:val="00250DE2"/>
    <w:rsid w:val="00250EE3"/>
    <w:rsid w:val="00251606"/>
    <w:rsid w:val="00251639"/>
    <w:rsid w:val="00251AD4"/>
    <w:rsid w:val="00251AEF"/>
    <w:rsid w:val="0025217F"/>
    <w:rsid w:val="00252AF0"/>
    <w:rsid w:val="00252E3C"/>
    <w:rsid w:val="002536CF"/>
    <w:rsid w:val="00253816"/>
    <w:rsid w:val="00253C60"/>
    <w:rsid w:val="00254325"/>
    <w:rsid w:val="00254574"/>
    <w:rsid w:val="002546B9"/>
    <w:rsid w:val="002554FB"/>
    <w:rsid w:val="002557C6"/>
    <w:rsid w:val="00255903"/>
    <w:rsid w:val="00255AB5"/>
    <w:rsid w:val="00255C6E"/>
    <w:rsid w:val="0025631B"/>
    <w:rsid w:val="00257D76"/>
    <w:rsid w:val="00257F1D"/>
    <w:rsid w:val="00260872"/>
    <w:rsid w:val="002632F5"/>
    <w:rsid w:val="00263B6D"/>
    <w:rsid w:val="00264934"/>
    <w:rsid w:val="00264FEA"/>
    <w:rsid w:val="00265E4B"/>
    <w:rsid w:val="002660C6"/>
    <w:rsid w:val="002662E5"/>
    <w:rsid w:val="00266444"/>
    <w:rsid w:val="00266C6F"/>
    <w:rsid w:val="00270762"/>
    <w:rsid w:val="00270AB0"/>
    <w:rsid w:val="002714C2"/>
    <w:rsid w:val="00272728"/>
    <w:rsid w:val="00272C2F"/>
    <w:rsid w:val="00273BCE"/>
    <w:rsid w:val="002741CB"/>
    <w:rsid w:val="0027420E"/>
    <w:rsid w:val="00274B46"/>
    <w:rsid w:val="00274B9A"/>
    <w:rsid w:val="00275381"/>
    <w:rsid w:val="002757C6"/>
    <w:rsid w:val="00275B52"/>
    <w:rsid w:val="00276D6E"/>
    <w:rsid w:val="00277348"/>
    <w:rsid w:val="00277F7A"/>
    <w:rsid w:val="0028021E"/>
    <w:rsid w:val="002802CC"/>
    <w:rsid w:val="002815C7"/>
    <w:rsid w:val="00281687"/>
    <w:rsid w:val="002816F4"/>
    <w:rsid w:val="002822A0"/>
    <w:rsid w:val="00282DE1"/>
    <w:rsid w:val="00282E59"/>
    <w:rsid w:val="00282EEF"/>
    <w:rsid w:val="0028345F"/>
    <w:rsid w:val="0028370C"/>
    <w:rsid w:val="0028371D"/>
    <w:rsid w:val="00284A26"/>
    <w:rsid w:val="00284C0E"/>
    <w:rsid w:val="002861B6"/>
    <w:rsid w:val="00286548"/>
    <w:rsid w:val="0028689A"/>
    <w:rsid w:val="00286F32"/>
    <w:rsid w:val="0028727A"/>
    <w:rsid w:val="002876B4"/>
    <w:rsid w:val="002878C5"/>
    <w:rsid w:val="00287F26"/>
    <w:rsid w:val="002904BF"/>
    <w:rsid w:val="00290F6F"/>
    <w:rsid w:val="00291480"/>
    <w:rsid w:val="0029197B"/>
    <w:rsid w:val="00291A16"/>
    <w:rsid w:val="00291C1B"/>
    <w:rsid w:val="00292277"/>
    <w:rsid w:val="002922B6"/>
    <w:rsid w:val="00292697"/>
    <w:rsid w:val="00292CD9"/>
    <w:rsid w:val="0029360D"/>
    <w:rsid w:val="0029388B"/>
    <w:rsid w:val="00293BFE"/>
    <w:rsid w:val="0029421C"/>
    <w:rsid w:val="0029428C"/>
    <w:rsid w:val="00294907"/>
    <w:rsid w:val="0029595A"/>
    <w:rsid w:val="00295BE4"/>
    <w:rsid w:val="00295C68"/>
    <w:rsid w:val="00295D6F"/>
    <w:rsid w:val="00296079"/>
    <w:rsid w:val="00296866"/>
    <w:rsid w:val="0029690D"/>
    <w:rsid w:val="00296B3A"/>
    <w:rsid w:val="00296CB1"/>
    <w:rsid w:val="002972E6"/>
    <w:rsid w:val="00297431"/>
    <w:rsid w:val="0029793E"/>
    <w:rsid w:val="00297AC4"/>
    <w:rsid w:val="002A0A1C"/>
    <w:rsid w:val="002A1220"/>
    <w:rsid w:val="002A1DD7"/>
    <w:rsid w:val="002A28CE"/>
    <w:rsid w:val="002A3115"/>
    <w:rsid w:val="002A5023"/>
    <w:rsid w:val="002A51DF"/>
    <w:rsid w:val="002A5EE2"/>
    <w:rsid w:val="002A5EE7"/>
    <w:rsid w:val="002A643F"/>
    <w:rsid w:val="002A6B0A"/>
    <w:rsid w:val="002A71C8"/>
    <w:rsid w:val="002A753A"/>
    <w:rsid w:val="002A7EFF"/>
    <w:rsid w:val="002B038B"/>
    <w:rsid w:val="002B0950"/>
    <w:rsid w:val="002B14FA"/>
    <w:rsid w:val="002B191B"/>
    <w:rsid w:val="002B2410"/>
    <w:rsid w:val="002B2453"/>
    <w:rsid w:val="002B2816"/>
    <w:rsid w:val="002B2C17"/>
    <w:rsid w:val="002B2FCD"/>
    <w:rsid w:val="002B3181"/>
    <w:rsid w:val="002B329C"/>
    <w:rsid w:val="002B35E7"/>
    <w:rsid w:val="002B391B"/>
    <w:rsid w:val="002B3C17"/>
    <w:rsid w:val="002B3C48"/>
    <w:rsid w:val="002B5094"/>
    <w:rsid w:val="002B50A5"/>
    <w:rsid w:val="002B525D"/>
    <w:rsid w:val="002B5881"/>
    <w:rsid w:val="002B5AD5"/>
    <w:rsid w:val="002B5E9A"/>
    <w:rsid w:val="002B68F9"/>
    <w:rsid w:val="002B6ABD"/>
    <w:rsid w:val="002B7790"/>
    <w:rsid w:val="002B7CB6"/>
    <w:rsid w:val="002C0FFB"/>
    <w:rsid w:val="002C1143"/>
    <w:rsid w:val="002C14F7"/>
    <w:rsid w:val="002C1989"/>
    <w:rsid w:val="002C1BFA"/>
    <w:rsid w:val="002C2168"/>
    <w:rsid w:val="002C21EB"/>
    <w:rsid w:val="002C25EA"/>
    <w:rsid w:val="002C2A78"/>
    <w:rsid w:val="002C3305"/>
    <w:rsid w:val="002C4226"/>
    <w:rsid w:val="002C4606"/>
    <w:rsid w:val="002C469B"/>
    <w:rsid w:val="002C4923"/>
    <w:rsid w:val="002C51C8"/>
    <w:rsid w:val="002C52E2"/>
    <w:rsid w:val="002C5A79"/>
    <w:rsid w:val="002C5CE8"/>
    <w:rsid w:val="002C6370"/>
    <w:rsid w:val="002C6E4E"/>
    <w:rsid w:val="002C7F20"/>
    <w:rsid w:val="002D0337"/>
    <w:rsid w:val="002D0798"/>
    <w:rsid w:val="002D0A48"/>
    <w:rsid w:val="002D107E"/>
    <w:rsid w:val="002D1909"/>
    <w:rsid w:val="002D1929"/>
    <w:rsid w:val="002D1CD1"/>
    <w:rsid w:val="002D2218"/>
    <w:rsid w:val="002D27E6"/>
    <w:rsid w:val="002D2ACB"/>
    <w:rsid w:val="002D2F0F"/>
    <w:rsid w:val="002D319F"/>
    <w:rsid w:val="002D33A8"/>
    <w:rsid w:val="002D3C60"/>
    <w:rsid w:val="002D403C"/>
    <w:rsid w:val="002D48AD"/>
    <w:rsid w:val="002D4ADD"/>
    <w:rsid w:val="002D4D45"/>
    <w:rsid w:val="002D54DA"/>
    <w:rsid w:val="002D5BB7"/>
    <w:rsid w:val="002D5BCB"/>
    <w:rsid w:val="002D6F98"/>
    <w:rsid w:val="002E0693"/>
    <w:rsid w:val="002E0B83"/>
    <w:rsid w:val="002E0FB6"/>
    <w:rsid w:val="002E1DD0"/>
    <w:rsid w:val="002E20B0"/>
    <w:rsid w:val="002E2404"/>
    <w:rsid w:val="002E29BD"/>
    <w:rsid w:val="002E2B08"/>
    <w:rsid w:val="002E2D8D"/>
    <w:rsid w:val="002E2E44"/>
    <w:rsid w:val="002E33A8"/>
    <w:rsid w:val="002E3D4E"/>
    <w:rsid w:val="002E3E4B"/>
    <w:rsid w:val="002E3EE7"/>
    <w:rsid w:val="002E42C5"/>
    <w:rsid w:val="002E43CB"/>
    <w:rsid w:val="002E444F"/>
    <w:rsid w:val="002E4CAB"/>
    <w:rsid w:val="002E550E"/>
    <w:rsid w:val="002E572E"/>
    <w:rsid w:val="002E5951"/>
    <w:rsid w:val="002E5BB5"/>
    <w:rsid w:val="002E5D29"/>
    <w:rsid w:val="002E5D5E"/>
    <w:rsid w:val="002E5E32"/>
    <w:rsid w:val="002E6875"/>
    <w:rsid w:val="002E7C7B"/>
    <w:rsid w:val="002F00AA"/>
    <w:rsid w:val="002F0DB1"/>
    <w:rsid w:val="002F186F"/>
    <w:rsid w:val="002F18EC"/>
    <w:rsid w:val="002F1C23"/>
    <w:rsid w:val="002F2855"/>
    <w:rsid w:val="002F29FE"/>
    <w:rsid w:val="002F3079"/>
    <w:rsid w:val="002F3199"/>
    <w:rsid w:val="002F3647"/>
    <w:rsid w:val="002F3692"/>
    <w:rsid w:val="002F3C82"/>
    <w:rsid w:val="002F4529"/>
    <w:rsid w:val="002F5246"/>
    <w:rsid w:val="002F5717"/>
    <w:rsid w:val="002F620B"/>
    <w:rsid w:val="002F6D23"/>
    <w:rsid w:val="002F6EF8"/>
    <w:rsid w:val="002F71F4"/>
    <w:rsid w:val="002F77DB"/>
    <w:rsid w:val="002F7E32"/>
    <w:rsid w:val="00300D8C"/>
    <w:rsid w:val="00300FF2"/>
    <w:rsid w:val="00301284"/>
    <w:rsid w:val="003018E1"/>
    <w:rsid w:val="00301EA3"/>
    <w:rsid w:val="00302265"/>
    <w:rsid w:val="00302363"/>
    <w:rsid w:val="003029D3"/>
    <w:rsid w:val="00303303"/>
    <w:rsid w:val="003036EC"/>
    <w:rsid w:val="0030380E"/>
    <w:rsid w:val="00304BF7"/>
    <w:rsid w:val="00304EDA"/>
    <w:rsid w:val="003055C7"/>
    <w:rsid w:val="0030591B"/>
    <w:rsid w:val="00305A82"/>
    <w:rsid w:val="00305E95"/>
    <w:rsid w:val="00306455"/>
    <w:rsid w:val="0030659B"/>
    <w:rsid w:val="003069EA"/>
    <w:rsid w:val="00306FE2"/>
    <w:rsid w:val="0030729A"/>
    <w:rsid w:val="0030758D"/>
    <w:rsid w:val="00307643"/>
    <w:rsid w:val="003076F1"/>
    <w:rsid w:val="003077CF"/>
    <w:rsid w:val="00307A00"/>
    <w:rsid w:val="00307F54"/>
    <w:rsid w:val="0031162E"/>
    <w:rsid w:val="0031256D"/>
    <w:rsid w:val="00312C37"/>
    <w:rsid w:val="003133C9"/>
    <w:rsid w:val="0031342E"/>
    <w:rsid w:val="003134F5"/>
    <w:rsid w:val="00313BFB"/>
    <w:rsid w:val="00315770"/>
    <w:rsid w:val="00315993"/>
    <w:rsid w:val="003161A0"/>
    <w:rsid w:val="003165AE"/>
    <w:rsid w:val="00316685"/>
    <w:rsid w:val="00317046"/>
    <w:rsid w:val="00317848"/>
    <w:rsid w:val="00320162"/>
    <w:rsid w:val="00320B59"/>
    <w:rsid w:val="00320D6B"/>
    <w:rsid w:val="00321466"/>
    <w:rsid w:val="00321C02"/>
    <w:rsid w:val="00322226"/>
    <w:rsid w:val="00322409"/>
    <w:rsid w:val="00322656"/>
    <w:rsid w:val="00322704"/>
    <w:rsid w:val="00322B46"/>
    <w:rsid w:val="0032382E"/>
    <w:rsid w:val="00323DCF"/>
    <w:rsid w:val="00323DFA"/>
    <w:rsid w:val="003244DF"/>
    <w:rsid w:val="003245CD"/>
    <w:rsid w:val="00324E59"/>
    <w:rsid w:val="00324ECA"/>
    <w:rsid w:val="003250A9"/>
    <w:rsid w:val="00326227"/>
    <w:rsid w:val="0032625C"/>
    <w:rsid w:val="00326AD4"/>
    <w:rsid w:val="00326BB7"/>
    <w:rsid w:val="003279D1"/>
    <w:rsid w:val="00327F1D"/>
    <w:rsid w:val="00330526"/>
    <w:rsid w:val="00330A75"/>
    <w:rsid w:val="00330B32"/>
    <w:rsid w:val="0033101E"/>
    <w:rsid w:val="00331093"/>
    <w:rsid w:val="0033126C"/>
    <w:rsid w:val="00331632"/>
    <w:rsid w:val="00331C41"/>
    <w:rsid w:val="00331D29"/>
    <w:rsid w:val="00332062"/>
    <w:rsid w:val="00332BF0"/>
    <w:rsid w:val="00333003"/>
    <w:rsid w:val="003334E8"/>
    <w:rsid w:val="00333D1A"/>
    <w:rsid w:val="00334073"/>
    <w:rsid w:val="003349D0"/>
    <w:rsid w:val="00334AD1"/>
    <w:rsid w:val="003351D9"/>
    <w:rsid w:val="003352A8"/>
    <w:rsid w:val="00335526"/>
    <w:rsid w:val="00335774"/>
    <w:rsid w:val="00335E34"/>
    <w:rsid w:val="00336192"/>
    <w:rsid w:val="00336B98"/>
    <w:rsid w:val="00336E73"/>
    <w:rsid w:val="003370CA"/>
    <w:rsid w:val="00337314"/>
    <w:rsid w:val="003378FE"/>
    <w:rsid w:val="00337977"/>
    <w:rsid w:val="0034012C"/>
    <w:rsid w:val="0034114D"/>
    <w:rsid w:val="003417A1"/>
    <w:rsid w:val="00341884"/>
    <w:rsid w:val="00341BF5"/>
    <w:rsid w:val="003428FD"/>
    <w:rsid w:val="00342AD4"/>
    <w:rsid w:val="003430AD"/>
    <w:rsid w:val="00343A1E"/>
    <w:rsid w:val="00343FFA"/>
    <w:rsid w:val="00344342"/>
    <w:rsid w:val="003458EC"/>
    <w:rsid w:val="0034593A"/>
    <w:rsid w:val="003459BC"/>
    <w:rsid w:val="00345AC3"/>
    <w:rsid w:val="0034621C"/>
    <w:rsid w:val="00350282"/>
    <w:rsid w:val="00350CCC"/>
    <w:rsid w:val="0035146A"/>
    <w:rsid w:val="003514BB"/>
    <w:rsid w:val="00351D9E"/>
    <w:rsid w:val="00352088"/>
    <w:rsid w:val="00352B6D"/>
    <w:rsid w:val="00352CAE"/>
    <w:rsid w:val="0035311E"/>
    <w:rsid w:val="00353612"/>
    <w:rsid w:val="003538AF"/>
    <w:rsid w:val="00353D0F"/>
    <w:rsid w:val="0035437D"/>
    <w:rsid w:val="003544B7"/>
    <w:rsid w:val="00354559"/>
    <w:rsid w:val="00354BC0"/>
    <w:rsid w:val="00355962"/>
    <w:rsid w:val="00355BC6"/>
    <w:rsid w:val="003563F1"/>
    <w:rsid w:val="00357BCF"/>
    <w:rsid w:val="00357DCA"/>
    <w:rsid w:val="0036031A"/>
    <w:rsid w:val="003603B0"/>
    <w:rsid w:val="00360A7B"/>
    <w:rsid w:val="00360BAA"/>
    <w:rsid w:val="00360CC7"/>
    <w:rsid w:val="00360DC2"/>
    <w:rsid w:val="00360FCD"/>
    <w:rsid w:val="0036297D"/>
    <w:rsid w:val="00362D77"/>
    <w:rsid w:val="00362EF8"/>
    <w:rsid w:val="00362F7A"/>
    <w:rsid w:val="00363384"/>
    <w:rsid w:val="003634CF"/>
    <w:rsid w:val="00363966"/>
    <w:rsid w:val="00363BB0"/>
    <w:rsid w:val="00364B17"/>
    <w:rsid w:val="00365701"/>
    <w:rsid w:val="00366125"/>
    <w:rsid w:val="00366ACF"/>
    <w:rsid w:val="00367BF8"/>
    <w:rsid w:val="00367CEE"/>
    <w:rsid w:val="003704FD"/>
    <w:rsid w:val="00370E20"/>
    <w:rsid w:val="003711DF"/>
    <w:rsid w:val="00371459"/>
    <w:rsid w:val="003726D7"/>
    <w:rsid w:val="00372F91"/>
    <w:rsid w:val="0037391C"/>
    <w:rsid w:val="0037398E"/>
    <w:rsid w:val="003745F4"/>
    <w:rsid w:val="00374603"/>
    <w:rsid w:val="00374896"/>
    <w:rsid w:val="00375397"/>
    <w:rsid w:val="00375969"/>
    <w:rsid w:val="00375E24"/>
    <w:rsid w:val="00376679"/>
    <w:rsid w:val="003768D5"/>
    <w:rsid w:val="0037734C"/>
    <w:rsid w:val="00377B0C"/>
    <w:rsid w:val="003800E5"/>
    <w:rsid w:val="00380C5D"/>
    <w:rsid w:val="0038260C"/>
    <w:rsid w:val="003838C1"/>
    <w:rsid w:val="00383EEB"/>
    <w:rsid w:val="00383F8A"/>
    <w:rsid w:val="003844A5"/>
    <w:rsid w:val="0038489B"/>
    <w:rsid w:val="003850E9"/>
    <w:rsid w:val="003851F6"/>
    <w:rsid w:val="00385CD7"/>
    <w:rsid w:val="00385E97"/>
    <w:rsid w:val="00386558"/>
    <w:rsid w:val="00386C2D"/>
    <w:rsid w:val="00387151"/>
    <w:rsid w:val="003871B8"/>
    <w:rsid w:val="00387458"/>
    <w:rsid w:val="0038779E"/>
    <w:rsid w:val="00387D76"/>
    <w:rsid w:val="00387EDD"/>
    <w:rsid w:val="00387F5F"/>
    <w:rsid w:val="00387FC5"/>
    <w:rsid w:val="0039005E"/>
    <w:rsid w:val="0039013B"/>
    <w:rsid w:val="00390640"/>
    <w:rsid w:val="00390AAD"/>
    <w:rsid w:val="00390D01"/>
    <w:rsid w:val="00390EBE"/>
    <w:rsid w:val="0039122C"/>
    <w:rsid w:val="00391377"/>
    <w:rsid w:val="003915D9"/>
    <w:rsid w:val="00391A87"/>
    <w:rsid w:val="00391CD4"/>
    <w:rsid w:val="00392AE5"/>
    <w:rsid w:val="003933BA"/>
    <w:rsid w:val="00393B4F"/>
    <w:rsid w:val="00393EF1"/>
    <w:rsid w:val="003942F3"/>
    <w:rsid w:val="003944AE"/>
    <w:rsid w:val="00394693"/>
    <w:rsid w:val="00395133"/>
    <w:rsid w:val="0039576B"/>
    <w:rsid w:val="00395908"/>
    <w:rsid w:val="00396F1E"/>
    <w:rsid w:val="003974D3"/>
    <w:rsid w:val="00397B06"/>
    <w:rsid w:val="00397C13"/>
    <w:rsid w:val="00397C82"/>
    <w:rsid w:val="003A05C1"/>
    <w:rsid w:val="003A0DEE"/>
    <w:rsid w:val="003A13E9"/>
    <w:rsid w:val="003A1B3A"/>
    <w:rsid w:val="003A1C55"/>
    <w:rsid w:val="003A234B"/>
    <w:rsid w:val="003A2890"/>
    <w:rsid w:val="003A2E2B"/>
    <w:rsid w:val="003A3024"/>
    <w:rsid w:val="003A3E25"/>
    <w:rsid w:val="003A4428"/>
    <w:rsid w:val="003A5AAB"/>
    <w:rsid w:val="003A5ABE"/>
    <w:rsid w:val="003A5DC3"/>
    <w:rsid w:val="003A5F08"/>
    <w:rsid w:val="003A5F85"/>
    <w:rsid w:val="003A6143"/>
    <w:rsid w:val="003A6288"/>
    <w:rsid w:val="003A66B9"/>
    <w:rsid w:val="003A7223"/>
    <w:rsid w:val="003A7B2A"/>
    <w:rsid w:val="003A7EB6"/>
    <w:rsid w:val="003A7F81"/>
    <w:rsid w:val="003B0092"/>
    <w:rsid w:val="003B012B"/>
    <w:rsid w:val="003B07A2"/>
    <w:rsid w:val="003B19BE"/>
    <w:rsid w:val="003B1BB3"/>
    <w:rsid w:val="003B217E"/>
    <w:rsid w:val="003B2B46"/>
    <w:rsid w:val="003B2C9C"/>
    <w:rsid w:val="003B2DC9"/>
    <w:rsid w:val="003B2E80"/>
    <w:rsid w:val="003B4164"/>
    <w:rsid w:val="003B4180"/>
    <w:rsid w:val="003B4653"/>
    <w:rsid w:val="003B4A8D"/>
    <w:rsid w:val="003B4AD1"/>
    <w:rsid w:val="003B63C8"/>
    <w:rsid w:val="003B65DB"/>
    <w:rsid w:val="003B68DB"/>
    <w:rsid w:val="003B6BB5"/>
    <w:rsid w:val="003B79C1"/>
    <w:rsid w:val="003B7CC1"/>
    <w:rsid w:val="003B7D1D"/>
    <w:rsid w:val="003C0BF7"/>
    <w:rsid w:val="003C0DC0"/>
    <w:rsid w:val="003C1217"/>
    <w:rsid w:val="003C167E"/>
    <w:rsid w:val="003C17BC"/>
    <w:rsid w:val="003C1B9D"/>
    <w:rsid w:val="003C2404"/>
    <w:rsid w:val="003C24B3"/>
    <w:rsid w:val="003C292A"/>
    <w:rsid w:val="003C2A88"/>
    <w:rsid w:val="003C35D3"/>
    <w:rsid w:val="003C39F9"/>
    <w:rsid w:val="003C54B4"/>
    <w:rsid w:val="003C5AC5"/>
    <w:rsid w:val="003C65A3"/>
    <w:rsid w:val="003C7163"/>
    <w:rsid w:val="003C7DFA"/>
    <w:rsid w:val="003D06E9"/>
    <w:rsid w:val="003D0D17"/>
    <w:rsid w:val="003D3619"/>
    <w:rsid w:val="003D3B3B"/>
    <w:rsid w:val="003D3BA2"/>
    <w:rsid w:val="003D3CA5"/>
    <w:rsid w:val="003D40FE"/>
    <w:rsid w:val="003D459D"/>
    <w:rsid w:val="003D5581"/>
    <w:rsid w:val="003D5802"/>
    <w:rsid w:val="003D5D4A"/>
    <w:rsid w:val="003D5F7A"/>
    <w:rsid w:val="003D6186"/>
    <w:rsid w:val="003D6367"/>
    <w:rsid w:val="003D71FA"/>
    <w:rsid w:val="003D7802"/>
    <w:rsid w:val="003D790E"/>
    <w:rsid w:val="003D7D10"/>
    <w:rsid w:val="003D7E7A"/>
    <w:rsid w:val="003E06CD"/>
    <w:rsid w:val="003E0E26"/>
    <w:rsid w:val="003E138A"/>
    <w:rsid w:val="003E1755"/>
    <w:rsid w:val="003E1890"/>
    <w:rsid w:val="003E1B53"/>
    <w:rsid w:val="003E1C8C"/>
    <w:rsid w:val="003E3095"/>
    <w:rsid w:val="003E39A3"/>
    <w:rsid w:val="003E3D64"/>
    <w:rsid w:val="003E3FF7"/>
    <w:rsid w:val="003E427A"/>
    <w:rsid w:val="003E4430"/>
    <w:rsid w:val="003E539E"/>
    <w:rsid w:val="003E5A81"/>
    <w:rsid w:val="003E5BDB"/>
    <w:rsid w:val="003E6057"/>
    <w:rsid w:val="003E6819"/>
    <w:rsid w:val="003E6D7D"/>
    <w:rsid w:val="003E6E30"/>
    <w:rsid w:val="003E7063"/>
    <w:rsid w:val="003E711C"/>
    <w:rsid w:val="003E79D7"/>
    <w:rsid w:val="003E7F2F"/>
    <w:rsid w:val="003EDF01"/>
    <w:rsid w:val="003F0EE0"/>
    <w:rsid w:val="003F1005"/>
    <w:rsid w:val="003F1147"/>
    <w:rsid w:val="003F21D9"/>
    <w:rsid w:val="003F25D0"/>
    <w:rsid w:val="003F2800"/>
    <w:rsid w:val="003F2816"/>
    <w:rsid w:val="003F3652"/>
    <w:rsid w:val="003F3C65"/>
    <w:rsid w:val="003F4290"/>
    <w:rsid w:val="003F4D9A"/>
    <w:rsid w:val="003F4F60"/>
    <w:rsid w:val="003F508D"/>
    <w:rsid w:val="003F5606"/>
    <w:rsid w:val="003F58CA"/>
    <w:rsid w:val="003F5F3E"/>
    <w:rsid w:val="003F60D4"/>
    <w:rsid w:val="003F6792"/>
    <w:rsid w:val="003F7411"/>
    <w:rsid w:val="003F742A"/>
    <w:rsid w:val="003F7451"/>
    <w:rsid w:val="003F798C"/>
    <w:rsid w:val="00401611"/>
    <w:rsid w:val="00401B5A"/>
    <w:rsid w:val="00401D82"/>
    <w:rsid w:val="00401F84"/>
    <w:rsid w:val="00402052"/>
    <w:rsid w:val="004024A7"/>
    <w:rsid w:val="00402941"/>
    <w:rsid w:val="00403BDD"/>
    <w:rsid w:val="00403BF6"/>
    <w:rsid w:val="004040DB"/>
    <w:rsid w:val="00404478"/>
    <w:rsid w:val="00404731"/>
    <w:rsid w:val="004053C4"/>
    <w:rsid w:val="00405661"/>
    <w:rsid w:val="00405755"/>
    <w:rsid w:val="004072EB"/>
    <w:rsid w:val="0040795B"/>
    <w:rsid w:val="00407D9B"/>
    <w:rsid w:val="004105EA"/>
    <w:rsid w:val="00410972"/>
    <w:rsid w:val="00410DF2"/>
    <w:rsid w:val="00410F5A"/>
    <w:rsid w:val="004113A1"/>
    <w:rsid w:val="00412BF4"/>
    <w:rsid w:val="00412D4A"/>
    <w:rsid w:val="0041316B"/>
    <w:rsid w:val="004135A5"/>
    <w:rsid w:val="00413AF2"/>
    <w:rsid w:val="00414870"/>
    <w:rsid w:val="00414E26"/>
    <w:rsid w:val="00415465"/>
    <w:rsid w:val="00415666"/>
    <w:rsid w:val="00415BD6"/>
    <w:rsid w:val="00415C73"/>
    <w:rsid w:val="00416694"/>
    <w:rsid w:val="00416B32"/>
    <w:rsid w:val="004177D8"/>
    <w:rsid w:val="00417D20"/>
    <w:rsid w:val="00417DDF"/>
    <w:rsid w:val="00420962"/>
    <w:rsid w:val="00420E82"/>
    <w:rsid w:val="00420EA9"/>
    <w:rsid w:val="00420FA2"/>
    <w:rsid w:val="004210ED"/>
    <w:rsid w:val="004217F8"/>
    <w:rsid w:val="00422356"/>
    <w:rsid w:val="004227A1"/>
    <w:rsid w:val="00422955"/>
    <w:rsid w:val="00422979"/>
    <w:rsid w:val="00422E1B"/>
    <w:rsid w:val="00425C28"/>
    <w:rsid w:val="004262C8"/>
    <w:rsid w:val="0042630A"/>
    <w:rsid w:val="00426390"/>
    <w:rsid w:val="0042675F"/>
    <w:rsid w:val="00426E32"/>
    <w:rsid w:val="00427871"/>
    <w:rsid w:val="0043128B"/>
    <w:rsid w:val="00431453"/>
    <w:rsid w:val="00431799"/>
    <w:rsid w:val="00432D42"/>
    <w:rsid w:val="004330CC"/>
    <w:rsid w:val="00433BB4"/>
    <w:rsid w:val="00433CC5"/>
    <w:rsid w:val="00433D16"/>
    <w:rsid w:val="00434A4C"/>
    <w:rsid w:val="00434DA0"/>
    <w:rsid w:val="00434F4C"/>
    <w:rsid w:val="004355E4"/>
    <w:rsid w:val="00435947"/>
    <w:rsid w:val="00435F3E"/>
    <w:rsid w:val="00436B5D"/>
    <w:rsid w:val="00436C1E"/>
    <w:rsid w:val="00436C54"/>
    <w:rsid w:val="0043714F"/>
    <w:rsid w:val="00437A5D"/>
    <w:rsid w:val="00437BF1"/>
    <w:rsid w:val="0044105E"/>
    <w:rsid w:val="00441B18"/>
    <w:rsid w:val="00441FB9"/>
    <w:rsid w:val="0044201E"/>
    <w:rsid w:val="00442781"/>
    <w:rsid w:val="00442E92"/>
    <w:rsid w:val="00443332"/>
    <w:rsid w:val="004433C4"/>
    <w:rsid w:val="004435B5"/>
    <w:rsid w:val="00444477"/>
    <w:rsid w:val="004449D8"/>
    <w:rsid w:val="00445513"/>
    <w:rsid w:val="0044566A"/>
    <w:rsid w:val="00446365"/>
    <w:rsid w:val="004464FB"/>
    <w:rsid w:val="00446613"/>
    <w:rsid w:val="004470ED"/>
    <w:rsid w:val="00447577"/>
    <w:rsid w:val="004500C1"/>
    <w:rsid w:val="00450376"/>
    <w:rsid w:val="00450398"/>
    <w:rsid w:val="00450D8D"/>
    <w:rsid w:val="00450E99"/>
    <w:rsid w:val="00451112"/>
    <w:rsid w:val="004512FD"/>
    <w:rsid w:val="0045156D"/>
    <w:rsid w:val="00451699"/>
    <w:rsid w:val="004527DB"/>
    <w:rsid w:val="00452A2E"/>
    <w:rsid w:val="004537B5"/>
    <w:rsid w:val="00453B58"/>
    <w:rsid w:val="00453C22"/>
    <w:rsid w:val="00453C61"/>
    <w:rsid w:val="00453CD0"/>
    <w:rsid w:val="004543D1"/>
    <w:rsid w:val="004543EF"/>
    <w:rsid w:val="004559DB"/>
    <w:rsid w:val="00456579"/>
    <w:rsid w:val="00456864"/>
    <w:rsid w:val="00456E2B"/>
    <w:rsid w:val="0045759E"/>
    <w:rsid w:val="00457B63"/>
    <w:rsid w:val="00457F98"/>
    <w:rsid w:val="004608FA"/>
    <w:rsid w:val="004610F0"/>
    <w:rsid w:val="00461382"/>
    <w:rsid w:val="004633FC"/>
    <w:rsid w:val="004635B1"/>
    <w:rsid w:val="00463BB5"/>
    <w:rsid w:val="00463F84"/>
    <w:rsid w:val="00463FC4"/>
    <w:rsid w:val="00464560"/>
    <w:rsid w:val="00464755"/>
    <w:rsid w:val="00465170"/>
    <w:rsid w:val="004653D2"/>
    <w:rsid w:val="00465615"/>
    <w:rsid w:val="00465D8D"/>
    <w:rsid w:val="00466B99"/>
    <w:rsid w:val="00466BD9"/>
    <w:rsid w:val="00466E6F"/>
    <w:rsid w:val="004674CA"/>
    <w:rsid w:val="00467DA1"/>
    <w:rsid w:val="004705E3"/>
    <w:rsid w:val="00470D07"/>
    <w:rsid w:val="00470DA3"/>
    <w:rsid w:val="00471191"/>
    <w:rsid w:val="004717C0"/>
    <w:rsid w:val="00471D43"/>
    <w:rsid w:val="00471E73"/>
    <w:rsid w:val="00472184"/>
    <w:rsid w:val="0047390E"/>
    <w:rsid w:val="00473A45"/>
    <w:rsid w:val="00473D27"/>
    <w:rsid w:val="00474FA7"/>
    <w:rsid w:val="0047603F"/>
    <w:rsid w:val="00476139"/>
    <w:rsid w:val="0047638F"/>
    <w:rsid w:val="004764C7"/>
    <w:rsid w:val="00476793"/>
    <w:rsid w:val="00476B39"/>
    <w:rsid w:val="0047723B"/>
    <w:rsid w:val="00477314"/>
    <w:rsid w:val="00480689"/>
    <w:rsid w:val="004807E1"/>
    <w:rsid w:val="004814A8"/>
    <w:rsid w:val="0048222C"/>
    <w:rsid w:val="004833D1"/>
    <w:rsid w:val="00483720"/>
    <w:rsid w:val="00484538"/>
    <w:rsid w:val="004846E3"/>
    <w:rsid w:val="00484979"/>
    <w:rsid w:val="00484E49"/>
    <w:rsid w:val="00484ED2"/>
    <w:rsid w:val="0048585E"/>
    <w:rsid w:val="00486D9E"/>
    <w:rsid w:val="00487013"/>
    <w:rsid w:val="004874DE"/>
    <w:rsid w:val="00487505"/>
    <w:rsid w:val="004879DA"/>
    <w:rsid w:val="00487E86"/>
    <w:rsid w:val="004900E1"/>
    <w:rsid w:val="00490192"/>
    <w:rsid w:val="00490E46"/>
    <w:rsid w:val="004912B2"/>
    <w:rsid w:val="00491E12"/>
    <w:rsid w:val="00492BEB"/>
    <w:rsid w:val="00492E5D"/>
    <w:rsid w:val="00493779"/>
    <w:rsid w:val="00494052"/>
    <w:rsid w:val="0049427A"/>
    <w:rsid w:val="00494443"/>
    <w:rsid w:val="0049450E"/>
    <w:rsid w:val="00494FAE"/>
    <w:rsid w:val="004960D2"/>
    <w:rsid w:val="00496D0E"/>
    <w:rsid w:val="00496E4D"/>
    <w:rsid w:val="00496F66"/>
    <w:rsid w:val="004971F1"/>
    <w:rsid w:val="00497341"/>
    <w:rsid w:val="00497BCD"/>
    <w:rsid w:val="004A00C3"/>
    <w:rsid w:val="004A01C8"/>
    <w:rsid w:val="004A0291"/>
    <w:rsid w:val="004A06E9"/>
    <w:rsid w:val="004A0D8F"/>
    <w:rsid w:val="004A14C9"/>
    <w:rsid w:val="004A27E4"/>
    <w:rsid w:val="004A2CB1"/>
    <w:rsid w:val="004A3679"/>
    <w:rsid w:val="004A47DC"/>
    <w:rsid w:val="004A4814"/>
    <w:rsid w:val="004A49C4"/>
    <w:rsid w:val="004A4C3E"/>
    <w:rsid w:val="004A534F"/>
    <w:rsid w:val="004A5E45"/>
    <w:rsid w:val="004A603C"/>
    <w:rsid w:val="004A7830"/>
    <w:rsid w:val="004A7A55"/>
    <w:rsid w:val="004B193F"/>
    <w:rsid w:val="004B1E73"/>
    <w:rsid w:val="004B225A"/>
    <w:rsid w:val="004B22A7"/>
    <w:rsid w:val="004B313C"/>
    <w:rsid w:val="004B3205"/>
    <w:rsid w:val="004B4AF5"/>
    <w:rsid w:val="004B4D09"/>
    <w:rsid w:val="004B4DB9"/>
    <w:rsid w:val="004B4E1F"/>
    <w:rsid w:val="004B4EAA"/>
    <w:rsid w:val="004B4F2F"/>
    <w:rsid w:val="004B6030"/>
    <w:rsid w:val="004B61C6"/>
    <w:rsid w:val="004B626C"/>
    <w:rsid w:val="004B6A19"/>
    <w:rsid w:val="004B6D08"/>
    <w:rsid w:val="004B6D60"/>
    <w:rsid w:val="004B7217"/>
    <w:rsid w:val="004B7951"/>
    <w:rsid w:val="004C0886"/>
    <w:rsid w:val="004C0BCA"/>
    <w:rsid w:val="004C0D2C"/>
    <w:rsid w:val="004C11D1"/>
    <w:rsid w:val="004C1320"/>
    <w:rsid w:val="004C1F48"/>
    <w:rsid w:val="004C1F59"/>
    <w:rsid w:val="004C2445"/>
    <w:rsid w:val="004C3E2C"/>
    <w:rsid w:val="004C4309"/>
    <w:rsid w:val="004C44EA"/>
    <w:rsid w:val="004C4AE0"/>
    <w:rsid w:val="004C4B2C"/>
    <w:rsid w:val="004C4C9E"/>
    <w:rsid w:val="004C5652"/>
    <w:rsid w:val="004C596C"/>
    <w:rsid w:val="004C5E29"/>
    <w:rsid w:val="004C6EDD"/>
    <w:rsid w:val="004C7105"/>
    <w:rsid w:val="004C7242"/>
    <w:rsid w:val="004C7A23"/>
    <w:rsid w:val="004C7E55"/>
    <w:rsid w:val="004D0155"/>
    <w:rsid w:val="004D06C9"/>
    <w:rsid w:val="004D0ACC"/>
    <w:rsid w:val="004D12E5"/>
    <w:rsid w:val="004D14B0"/>
    <w:rsid w:val="004D19AF"/>
    <w:rsid w:val="004D2217"/>
    <w:rsid w:val="004D2335"/>
    <w:rsid w:val="004D23F9"/>
    <w:rsid w:val="004D2677"/>
    <w:rsid w:val="004D2BA3"/>
    <w:rsid w:val="004D2E9E"/>
    <w:rsid w:val="004D3325"/>
    <w:rsid w:val="004D35D6"/>
    <w:rsid w:val="004D3B54"/>
    <w:rsid w:val="004D3D27"/>
    <w:rsid w:val="004D463B"/>
    <w:rsid w:val="004D473E"/>
    <w:rsid w:val="004D4772"/>
    <w:rsid w:val="004D4EC0"/>
    <w:rsid w:val="004D512F"/>
    <w:rsid w:val="004D5132"/>
    <w:rsid w:val="004D5BA8"/>
    <w:rsid w:val="004D5C1B"/>
    <w:rsid w:val="004D6BA1"/>
    <w:rsid w:val="004D7564"/>
    <w:rsid w:val="004D75AA"/>
    <w:rsid w:val="004D768C"/>
    <w:rsid w:val="004D77F1"/>
    <w:rsid w:val="004D790D"/>
    <w:rsid w:val="004D7E5B"/>
    <w:rsid w:val="004E0089"/>
    <w:rsid w:val="004E0564"/>
    <w:rsid w:val="004E1913"/>
    <w:rsid w:val="004E1A53"/>
    <w:rsid w:val="004E23AE"/>
    <w:rsid w:val="004E242F"/>
    <w:rsid w:val="004E2A38"/>
    <w:rsid w:val="004E2B4C"/>
    <w:rsid w:val="004E2F9C"/>
    <w:rsid w:val="004E308F"/>
    <w:rsid w:val="004E3299"/>
    <w:rsid w:val="004E40F9"/>
    <w:rsid w:val="004E4144"/>
    <w:rsid w:val="004E491D"/>
    <w:rsid w:val="004E499D"/>
    <w:rsid w:val="004E51D6"/>
    <w:rsid w:val="004E5309"/>
    <w:rsid w:val="004E5499"/>
    <w:rsid w:val="004E5AEF"/>
    <w:rsid w:val="004E5F2C"/>
    <w:rsid w:val="004E607D"/>
    <w:rsid w:val="004E7914"/>
    <w:rsid w:val="004E7C88"/>
    <w:rsid w:val="004F070E"/>
    <w:rsid w:val="004F0D79"/>
    <w:rsid w:val="004F0E05"/>
    <w:rsid w:val="004F1261"/>
    <w:rsid w:val="004F1BA9"/>
    <w:rsid w:val="004F27E3"/>
    <w:rsid w:val="004F2FC6"/>
    <w:rsid w:val="004F3017"/>
    <w:rsid w:val="004F410B"/>
    <w:rsid w:val="004F4614"/>
    <w:rsid w:val="004F4E95"/>
    <w:rsid w:val="004F54C3"/>
    <w:rsid w:val="004F6284"/>
    <w:rsid w:val="004F6BC5"/>
    <w:rsid w:val="004F6D25"/>
    <w:rsid w:val="004F6E8E"/>
    <w:rsid w:val="004F7032"/>
    <w:rsid w:val="004F7147"/>
    <w:rsid w:val="004F79B6"/>
    <w:rsid w:val="004F7A70"/>
    <w:rsid w:val="004F7BFC"/>
    <w:rsid w:val="004F7DAC"/>
    <w:rsid w:val="0050048E"/>
    <w:rsid w:val="00500893"/>
    <w:rsid w:val="0050098B"/>
    <w:rsid w:val="0050133C"/>
    <w:rsid w:val="005015D2"/>
    <w:rsid w:val="005020F6"/>
    <w:rsid w:val="00502D5A"/>
    <w:rsid w:val="00502DAE"/>
    <w:rsid w:val="00502F91"/>
    <w:rsid w:val="00503028"/>
    <w:rsid w:val="0050318D"/>
    <w:rsid w:val="00503422"/>
    <w:rsid w:val="00503CE3"/>
    <w:rsid w:val="00503E32"/>
    <w:rsid w:val="0050426A"/>
    <w:rsid w:val="005044FC"/>
    <w:rsid w:val="00504608"/>
    <w:rsid w:val="00504C3D"/>
    <w:rsid w:val="00505447"/>
    <w:rsid w:val="00505891"/>
    <w:rsid w:val="00505EAA"/>
    <w:rsid w:val="00506DB5"/>
    <w:rsid w:val="00506DF8"/>
    <w:rsid w:val="00506ED3"/>
    <w:rsid w:val="00507135"/>
    <w:rsid w:val="005073D2"/>
    <w:rsid w:val="0050766D"/>
    <w:rsid w:val="005077DE"/>
    <w:rsid w:val="005078D6"/>
    <w:rsid w:val="00507A65"/>
    <w:rsid w:val="00507DBC"/>
    <w:rsid w:val="0051073D"/>
    <w:rsid w:val="00510A9D"/>
    <w:rsid w:val="00511749"/>
    <w:rsid w:val="00511775"/>
    <w:rsid w:val="005117DF"/>
    <w:rsid w:val="00511A42"/>
    <w:rsid w:val="00512FE1"/>
    <w:rsid w:val="00513CBB"/>
    <w:rsid w:val="0051454E"/>
    <w:rsid w:val="00514FDF"/>
    <w:rsid w:val="00515E9E"/>
    <w:rsid w:val="005177B4"/>
    <w:rsid w:val="00517950"/>
    <w:rsid w:val="005202C6"/>
    <w:rsid w:val="005207B5"/>
    <w:rsid w:val="005212CB"/>
    <w:rsid w:val="00521385"/>
    <w:rsid w:val="00521472"/>
    <w:rsid w:val="005219C5"/>
    <w:rsid w:val="00522368"/>
    <w:rsid w:val="00522EBE"/>
    <w:rsid w:val="005232DD"/>
    <w:rsid w:val="00523553"/>
    <w:rsid w:val="0052377F"/>
    <w:rsid w:val="00523819"/>
    <w:rsid w:val="00523D89"/>
    <w:rsid w:val="00524432"/>
    <w:rsid w:val="00524CFB"/>
    <w:rsid w:val="0052583E"/>
    <w:rsid w:val="0052595E"/>
    <w:rsid w:val="00525F43"/>
    <w:rsid w:val="0052600F"/>
    <w:rsid w:val="00526502"/>
    <w:rsid w:val="00526715"/>
    <w:rsid w:val="00526AAA"/>
    <w:rsid w:val="00526DD6"/>
    <w:rsid w:val="00526F19"/>
    <w:rsid w:val="005270B1"/>
    <w:rsid w:val="005270E9"/>
    <w:rsid w:val="005278CD"/>
    <w:rsid w:val="005279D4"/>
    <w:rsid w:val="00527D73"/>
    <w:rsid w:val="00527E1F"/>
    <w:rsid w:val="0053046D"/>
    <w:rsid w:val="00530840"/>
    <w:rsid w:val="00531174"/>
    <w:rsid w:val="005313E4"/>
    <w:rsid w:val="005316EE"/>
    <w:rsid w:val="005318C7"/>
    <w:rsid w:val="005322D6"/>
    <w:rsid w:val="005327F7"/>
    <w:rsid w:val="005327F8"/>
    <w:rsid w:val="0053280B"/>
    <w:rsid w:val="00532D09"/>
    <w:rsid w:val="00532D14"/>
    <w:rsid w:val="005351D9"/>
    <w:rsid w:val="00535497"/>
    <w:rsid w:val="00535778"/>
    <w:rsid w:val="00536554"/>
    <w:rsid w:val="00536EB3"/>
    <w:rsid w:val="00536F4A"/>
    <w:rsid w:val="0053737F"/>
    <w:rsid w:val="00537710"/>
    <w:rsid w:val="005378DC"/>
    <w:rsid w:val="0054012F"/>
    <w:rsid w:val="0054039E"/>
    <w:rsid w:val="005405DB"/>
    <w:rsid w:val="0054084B"/>
    <w:rsid w:val="00540B48"/>
    <w:rsid w:val="005411D3"/>
    <w:rsid w:val="005419B9"/>
    <w:rsid w:val="00541D76"/>
    <w:rsid w:val="0054222A"/>
    <w:rsid w:val="005425DC"/>
    <w:rsid w:val="00542816"/>
    <w:rsid w:val="00542FD4"/>
    <w:rsid w:val="0054407D"/>
    <w:rsid w:val="00544F25"/>
    <w:rsid w:val="00544F39"/>
    <w:rsid w:val="00545654"/>
    <w:rsid w:val="005456AF"/>
    <w:rsid w:val="00545AE1"/>
    <w:rsid w:val="00545F2F"/>
    <w:rsid w:val="005460B7"/>
    <w:rsid w:val="00546361"/>
    <w:rsid w:val="00546AEE"/>
    <w:rsid w:val="00546D02"/>
    <w:rsid w:val="005476F2"/>
    <w:rsid w:val="00547C98"/>
    <w:rsid w:val="00547DCD"/>
    <w:rsid w:val="00547EFA"/>
    <w:rsid w:val="00550029"/>
    <w:rsid w:val="005505E5"/>
    <w:rsid w:val="0055087F"/>
    <w:rsid w:val="00550EF1"/>
    <w:rsid w:val="005511D2"/>
    <w:rsid w:val="005512D1"/>
    <w:rsid w:val="005517F1"/>
    <w:rsid w:val="00552670"/>
    <w:rsid w:val="005529C4"/>
    <w:rsid w:val="00552CD4"/>
    <w:rsid w:val="00552EF5"/>
    <w:rsid w:val="0055302D"/>
    <w:rsid w:val="005530E8"/>
    <w:rsid w:val="0055443D"/>
    <w:rsid w:val="00554B59"/>
    <w:rsid w:val="0055570E"/>
    <w:rsid w:val="0055597A"/>
    <w:rsid w:val="00555BFC"/>
    <w:rsid w:val="00555F7F"/>
    <w:rsid w:val="005561BA"/>
    <w:rsid w:val="00556883"/>
    <w:rsid w:val="00556ADC"/>
    <w:rsid w:val="00557258"/>
    <w:rsid w:val="005578AF"/>
    <w:rsid w:val="005578FA"/>
    <w:rsid w:val="00561609"/>
    <w:rsid w:val="00561947"/>
    <w:rsid w:val="00562393"/>
    <w:rsid w:val="005628A2"/>
    <w:rsid w:val="00562BB9"/>
    <w:rsid w:val="00562C58"/>
    <w:rsid w:val="005630E6"/>
    <w:rsid w:val="00563498"/>
    <w:rsid w:val="005635A6"/>
    <w:rsid w:val="005635C4"/>
    <w:rsid w:val="00563CCE"/>
    <w:rsid w:val="00564121"/>
    <w:rsid w:val="00564EF9"/>
    <w:rsid w:val="00565808"/>
    <w:rsid w:val="00565887"/>
    <w:rsid w:val="005665CD"/>
    <w:rsid w:val="0056687E"/>
    <w:rsid w:val="00566A84"/>
    <w:rsid w:val="00566B3D"/>
    <w:rsid w:val="005673A1"/>
    <w:rsid w:val="005678F4"/>
    <w:rsid w:val="00567BD2"/>
    <w:rsid w:val="005700F8"/>
    <w:rsid w:val="005705FA"/>
    <w:rsid w:val="00570A19"/>
    <w:rsid w:val="00570FEC"/>
    <w:rsid w:val="00571167"/>
    <w:rsid w:val="0057124A"/>
    <w:rsid w:val="00572907"/>
    <w:rsid w:val="0057295A"/>
    <w:rsid w:val="00572F9F"/>
    <w:rsid w:val="005732D8"/>
    <w:rsid w:val="005737E3"/>
    <w:rsid w:val="00573BC3"/>
    <w:rsid w:val="00573C30"/>
    <w:rsid w:val="005740DE"/>
    <w:rsid w:val="005744D8"/>
    <w:rsid w:val="00574C48"/>
    <w:rsid w:val="00574FAF"/>
    <w:rsid w:val="00575AF8"/>
    <w:rsid w:val="00575DB4"/>
    <w:rsid w:val="00575EA5"/>
    <w:rsid w:val="00576380"/>
    <w:rsid w:val="00576770"/>
    <w:rsid w:val="00576B69"/>
    <w:rsid w:val="00576BB4"/>
    <w:rsid w:val="00577353"/>
    <w:rsid w:val="005777C2"/>
    <w:rsid w:val="00577B9F"/>
    <w:rsid w:val="00577CA1"/>
    <w:rsid w:val="005800F2"/>
    <w:rsid w:val="005809EC"/>
    <w:rsid w:val="00580C1D"/>
    <w:rsid w:val="0058153B"/>
    <w:rsid w:val="00582B81"/>
    <w:rsid w:val="00582E08"/>
    <w:rsid w:val="0058448F"/>
    <w:rsid w:val="00584A10"/>
    <w:rsid w:val="005852A6"/>
    <w:rsid w:val="0058549A"/>
    <w:rsid w:val="00585BBE"/>
    <w:rsid w:val="00586189"/>
    <w:rsid w:val="0058619B"/>
    <w:rsid w:val="00586F56"/>
    <w:rsid w:val="005872F2"/>
    <w:rsid w:val="00587D7B"/>
    <w:rsid w:val="00587FFD"/>
    <w:rsid w:val="00590740"/>
    <w:rsid w:val="005909A5"/>
    <w:rsid w:val="00590C38"/>
    <w:rsid w:val="0059119D"/>
    <w:rsid w:val="00591208"/>
    <w:rsid w:val="005915B1"/>
    <w:rsid w:val="005918F1"/>
    <w:rsid w:val="0059217A"/>
    <w:rsid w:val="0059275E"/>
    <w:rsid w:val="00593334"/>
    <w:rsid w:val="0059334F"/>
    <w:rsid w:val="005940EA"/>
    <w:rsid w:val="005947CF"/>
    <w:rsid w:val="00594843"/>
    <w:rsid w:val="005949FA"/>
    <w:rsid w:val="005952F8"/>
    <w:rsid w:val="00595690"/>
    <w:rsid w:val="005956A5"/>
    <w:rsid w:val="0059669C"/>
    <w:rsid w:val="0059680D"/>
    <w:rsid w:val="00596D60"/>
    <w:rsid w:val="005974E9"/>
    <w:rsid w:val="0059789E"/>
    <w:rsid w:val="00597B36"/>
    <w:rsid w:val="00597EBC"/>
    <w:rsid w:val="00597F41"/>
    <w:rsid w:val="005A0EB5"/>
    <w:rsid w:val="005A1088"/>
    <w:rsid w:val="005A1A4A"/>
    <w:rsid w:val="005A2023"/>
    <w:rsid w:val="005A2197"/>
    <w:rsid w:val="005A226C"/>
    <w:rsid w:val="005A2AF0"/>
    <w:rsid w:val="005A2C43"/>
    <w:rsid w:val="005A483B"/>
    <w:rsid w:val="005A520F"/>
    <w:rsid w:val="005A5338"/>
    <w:rsid w:val="005A58A0"/>
    <w:rsid w:val="005A5B8B"/>
    <w:rsid w:val="005A5FB1"/>
    <w:rsid w:val="005A625E"/>
    <w:rsid w:val="005A6764"/>
    <w:rsid w:val="005A67CC"/>
    <w:rsid w:val="005A69F4"/>
    <w:rsid w:val="005A7100"/>
    <w:rsid w:val="005A73DF"/>
    <w:rsid w:val="005A747E"/>
    <w:rsid w:val="005A7BDD"/>
    <w:rsid w:val="005A7DF9"/>
    <w:rsid w:val="005B018E"/>
    <w:rsid w:val="005B0568"/>
    <w:rsid w:val="005B0CD9"/>
    <w:rsid w:val="005B0EC4"/>
    <w:rsid w:val="005B0FE1"/>
    <w:rsid w:val="005B123E"/>
    <w:rsid w:val="005B184D"/>
    <w:rsid w:val="005B1D39"/>
    <w:rsid w:val="005B2100"/>
    <w:rsid w:val="005B28A7"/>
    <w:rsid w:val="005B2F0A"/>
    <w:rsid w:val="005B312C"/>
    <w:rsid w:val="005B32C5"/>
    <w:rsid w:val="005B3474"/>
    <w:rsid w:val="005B35C3"/>
    <w:rsid w:val="005B3E7C"/>
    <w:rsid w:val="005B3FD4"/>
    <w:rsid w:val="005B412C"/>
    <w:rsid w:val="005B5780"/>
    <w:rsid w:val="005B5E4B"/>
    <w:rsid w:val="005B5F04"/>
    <w:rsid w:val="005B6BD9"/>
    <w:rsid w:val="005B75BB"/>
    <w:rsid w:val="005BA3B2"/>
    <w:rsid w:val="005C07FC"/>
    <w:rsid w:val="005C0BF4"/>
    <w:rsid w:val="005C0CC7"/>
    <w:rsid w:val="005C139E"/>
    <w:rsid w:val="005C17B4"/>
    <w:rsid w:val="005C1833"/>
    <w:rsid w:val="005C1BC9"/>
    <w:rsid w:val="005C1F20"/>
    <w:rsid w:val="005C1FEA"/>
    <w:rsid w:val="005C22CE"/>
    <w:rsid w:val="005C266E"/>
    <w:rsid w:val="005C2753"/>
    <w:rsid w:val="005C2A35"/>
    <w:rsid w:val="005C2ABB"/>
    <w:rsid w:val="005C3608"/>
    <w:rsid w:val="005C3F05"/>
    <w:rsid w:val="005C4F93"/>
    <w:rsid w:val="005C4FD6"/>
    <w:rsid w:val="005C54B1"/>
    <w:rsid w:val="005C5736"/>
    <w:rsid w:val="005C5B23"/>
    <w:rsid w:val="005C5BDC"/>
    <w:rsid w:val="005C614D"/>
    <w:rsid w:val="005C6453"/>
    <w:rsid w:val="005C6484"/>
    <w:rsid w:val="005C65E6"/>
    <w:rsid w:val="005C6C88"/>
    <w:rsid w:val="005D000A"/>
    <w:rsid w:val="005D0471"/>
    <w:rsid w:val="005D0E24"/>
    <w:rsid w:val="005D0FCA"/>
    <w:rsid w:val="005D1687"/>
    <w:rsid w:val="005D1C70"/>
    <w:rsid w:val="005D2654"/>
    <w:rsid w:val="005D2C81"/>
    <w:rsid w:val="005D3054"/>
    <w:rsid w:val="005D323D"/>
    <w:rsid w:val="005D392F"/>
    <w:rsid w:val="005D3ABB"/>
    <w:rsid w:val="005D4001"/>
    <w:rsid w:val="005D42D0"/>
    <w:rsid w:val="005D4567"/>
    <w:rsid w:val="005D46C9"/>
    <w:rsid w:val="005D4919"/>
    <w:rsid w:val="005D4EEF"/>
    <w:rsid w:val="005D51BE"/>
    <w:rsid w:val="005D5363"/>
    <w:rsid w:val="005D5415"/>
    <w:rsid w:val="005D5652"/>
    <w:rsid w:val="005D56E1"/>
    <w:rsid w:val="005D56EF"/>
    <w:rsid w:val="005D58AF"/>
    <w:rsid w:val="005D5AF3"/>
    <w:rsid w:val="005D5B9E"/>
    <w:rsid w:val="005D5EC2"/>
    <w:rsid w:val="005D6ADE"/>
    <w:rsid w:val="005D6D16"/>
    <w:rsid w:val="005D7666"/>
    <w:rsid w:val="005D7AEB"/>
    <w:rsid w:val="005D7B15"/>
    <w:rsid w:val="005D8FCC"/>
    <w:rsid w:val="005E09EC"/>
    <w:rsid w:val="005E154E"/>
    <w:rsid w:val="005E1747"/>
    <w:rsid w:val="005E247E"/>
    <w:rsid w:val="005E2864"/>
    <w:rsid w:val="005E28D4"/>
    <w:rsid w:val="005E2CB9"/>
    <w:rsid w:val="005E2D2B"/>
    <w:rsid w:val="005E30BD"/>
    <w:rsid w:val="005E3AAD"/>
    <w:rsid w:val="005E3C44"/>
    <w:rsid w:val="005E43BD"/>
    <w:rsid w:val="005E4DE6"/>
    <w:rsid w:val="005E583A"/>
    <w:rsid w:val="005E6115"/>
    <w:rsid w:val="005E6293"/>
    <w:rsid w:val="005E6B46"/>
    <w:rsid w:val="005E6E1C"/>
    <w:rsid w:val="005E72C1"/>
    <w:rsid w:val="005E7ADB"/>
    <w:rsid w:val="005E7F58"/>
    <w:rsid w:val="005F0002"/>
    <w:rsid w:val="005F04E5"/>
    <w:rsid w:val="005F0930"/>
    <w:rsid w:val="005F131D"/>
    <w:rsid w:val="005F3245"/>
    <w:rsid w:val="005F3750"/>
    <w:rsid w:val="005F3998"/>
    <w:rsid w:val="005F3E1D"/>
    <w:rsid w:val="005F4331"/>
    <w:rsid w:val="005F4E57"/>
    <w:rsid w:val="005F4E64"/>
    <w:rsid w:val="005F4FF3"/>
    <w:rsid w:val="005F555F"/>
    <w:rsid w:val="005F57BC"/>
    <w:rsid w:val="005F68F3"/>
    <w:rsid w:val="005F7D67"/>
    <w:rsid w:val="005F7FB1"/>
    <w:rsid w:val="0060074C"/>
    <w:rsid w:val="00600D60"/>
    <w:rsid w:val="00600F85"/>
    <w:rsid w:val="0060145D"/>
    <w:rsid w:val="00601739"/>
    <w:rsid w:val="00601878"/>
    <w:rsid w:val="00602C42"/>
    <w:rsid w:val="006033C9"/>
    <w:rsid w:val="006035D3"/>
    <w:rsid w:val="00603706"/>
    <w:rsid w:val="00603941"/>
    <w:rsid w:val="00603A20"/>
    <w:rsid w:val="00604C16"/>
    <w:rsid w:val="00605342"/>
    <w:rsid w:val="00605515"/>
    <w:rsid w:val="006059E6"/>
    <w:rsid w:val="00606093"/>
    <w:rsid w:val="006063B2"/>
    <w:rsid w:val="006064CF"/>
    <w:rsid w:val="00606FB1"/>
    <w:rsid w:val="0060738D"/>
    <w:rsid w:val="00607452"/>
    <w:rsid w:val="0060794F"/>
    <w:rsid w:val="00607F3B"/>
    <w:rsid w:val="006101D0"/>
    <w:rsid w:val="006116F0"/>
    <w:rsid w:val="00611B43"/>
    <w:rsid w:val="00611C03"/>
    <w:rsid w:val="00611D89"/>
    <w:rsid w:val="00611F15"/>
    <w:rsid w:val="00612E19"/>
    <w:rsid w:val="0061325D"/>
    <w:rsid w:val="00613378"/>
    <w:rsid w:val="006137B3"/>
    <w:rsid w:val="006137ED"/>
    <w:rsid w:val="006140B1"/>
    <w:rsid w:val="00614A75"/>
    <w:rsid w:val="0061526F"/>
    <w:rsid w:val="00615603"/>
    <w:rsid w:val="00615F0E"/>
    <w:rsid w:val="0061629E"/>
    <w:rsid w:val="0061662E"/>
    <w:rsid w:val="00616756"/>
    <w:rsid w:val="00616BBB"/>
    <w:rsid w:val="00616DB1"/>
    <w:rsid w:val="00616DDD"/>
    <w:rsid w:val="00617807"/>
    <w:rsid w:val="00617A80"/>
    <w:rsid w:val="00617B08"/>
    <w:rsid w:val="00617C35"/>
    <w:rsid w:val="00617C7C"/>
    <w:rsid w:val="0061C8AA"/>
    <w:rsid w:val="00620063"/>
    <w:rsid w:val="00620540"/>
    <w:rsid w:val="00620811"/>
    <w:rsid w:val="00620862"/>
    <w:rsid w:val="00620887"/>
    <w:rsid w:val="0062090B"/>
    <w:rsid w:val="006215CA"/>
    <w:rsid w:val="00621669"/>
    <w:rsid w:val="00622620"/>
    <w:rsid w:val="006229D2"/>
    <w:rsid w:val="00623537"/>
    <w:rsid w:val="00624266"/>
    <w:rsid w:val="006258CB"/>
    <w:rsid w:val="00625C8B"/>
    <w:rsid w:val="006261EC"/>
    <w:rsid w:val="00626466"/>
    <w:rsid w:val="006266A0"/>
    <w:rsid w:val="00626986"/>
    <w:rsid w:val="00626C16"/>
    <w:rsid w:val="006271F1"/>
    <w:rsid w:val="006276B2"/>
    <w:rsid w:val="00627E38"/>
    <w:rsid w:val="0063048D"/>
    <w:rsid w:val="006304CA"/>
    <w:rsid w:val="00630AAE"/>
    <w:rsid w:val="00630EC8"/>
    <w:rsid w:val="0063163B"/>
    <w:rsid w:val="00631670"/>
    <w:rsid w:val="006316D8"/>
    <w:rsid w:val="00631CDC"/>
    <w:rsid w:val="00632007"/>
    <w:rsid w:val="00632CAA"/>
    <w:rsid w:val="00632E03"/>
    <w:rsid w:val="0063309E"/>
    <w:rsid w:val="0063367D"/>
    <w:rsid w:val="00633889"/>
    <w:rsid w:val="00634089"/>
    <w:rsid w:val="006342A8"/>
    <w:rsid w:val="00634437"/>
    <w:rsid w:val="006346ED"/>
    <w:rsid w:val="00634A63"/>
    <w:rsid w:val="00634F74"/>
    <w:rsid w:val="00635629"/>
    <w:rsid w:val="0063609C"/>
    <w:rsid w:val="00636779"/>
    <w:rsid w:val="00636D48"/>
    <w:rsid w:val="006372AA"/>
    <w:rsid w:val="006378E5"/>
    <w:rsid w:val="00637D55"/>
    <w:rsid w:val="00637EF0"/>
    <w:rsid w:val="0064012E"/>
    <w:rsid w:val="006402D5"/>
    <w:rsid w:val="006403E1"/>
    <w:rsid w:val="006406DC"/>
    <w:rsid w:val="0064086E"/>
    <w:rsid w:val="00642229"/>
    <w:rsid w:val="006429AE"/>
    <w:rsid w:val="0064360F"/>
    <w:rsid w:val="00643ADF"/>
    <w:rsid w:val="006448B9"/>
    <w:rsid w:val="00644CD6"/>
    <w:rsid w:val="006451DC"/>
    <w:rsid w:val="0064590C"/>
    <w:rsid w:val="00645A2F"/>
    <w:rsid w:val="00645C29"/>
    <w:rsid w:val="006460D0"/>
    <w:rsid w:val="006477EA"/>
    <w:rsid w:val="00647A5E"/>
    <w:rsid w:val="00650181"/>
    <w:rsid w:val="00650193"/>
    <w:rsid w:val="006501D3"/>
    <w:rsid w:val="00650608"/>
    <w:rsid w:val="00650F28"/>
    <w:rsid w:val="0065101E"/>
    <w:rsid w:val="0065121A"/>
    <w:rsid w:val="0065138C"/>
    <w:rsid w:val="00651883"/>
    <w:rsid w:val="006520C8"/>
    <w:rsid w:val="006522FD"/>
    <w:rsid w:val="0065240B"/>
    <w:rsid w:val="006527DB"/>
    <w:rsid w:val="00652EA8"/>
    <w:rsid w:val="00652FBE"/>
    <w:rsid w:val="006535E7"/>
    <w:rsid w:val="00654AA0"/>
    <w:rsid w:val="006558B1"/>
    <w:rsid w:val="006562E0"/>
    <w:rsid w:val="006565BE"/>
    <w:rsid w:val="00656814"/>
    <w:rsid w:val="00656944"/>
    <w:rsid w:val="00657041"/>
    <w:rsid w:val="00660036"/>
    <w:rsid w:val="0066010F"/>
    <w:rsid w:val="0066028F"/>
    <w:rsid w:val="00660594"/>
    <w:rsid w:val="00660814"/>
    <w:rsid w:val="0066081E"/>
    <w:rsid w:val="00660E94"/>
    <w:rsid w:val="006613A8"/>
    <w:rsid w:val="00661761"/>
    <w:rsid w:val="00661854"/>
    <w:rsid w:val="006619C4"/>
    <w:rsid w:val="00662117"/>
    <w:rsid w:val="006622DF"/>
    <w:rsid w:val="006625E2"/>
    <w:rsid w:val="00662AE5"/>
    <w:rsid w:val="00663014"/>
    <w:rsid w:val="00663147"/>
    <w:rsid w:val="00663216"/>
    <w:rsid w:val="0066448F"/>
    <w:rsid w:val="00664AE2"/>
    <w:rsid w:val="0066526F"/>
    <w:rsid w:val="006652E8"/>
    <w:rsid w:val="0066544F"/>
    <w:rsid w:val="0066586C"/>
    <w:rsid w:val="00665A0E"/>
    <w:rsid w:val="006661D9"/>
    <w:rsid w:val="006664D5"/>
    <w:rsid w:val="00666A2F"/>
    <w:rsid w:val="00667016"/>
    <w:rsid w:val="00667289"/>
    <w:rsid w:val="00667BE7"/>
    <w:rsid w:val="00667C5B"/>
    <w:rsid w:val="00667CA6"/>
    <w:rsid w:val="00667E8A"/>
    <w:rsid w:val="00667E9F"/>
    <w:rsid w:val="00670149"/>
    <w:rsid w:val="0067055E"/>
    <w:rsid w:val="006705BC"/>
    <w:rsid w:val="006716CB"/>
    <w:rsid w:val="00671B47"/>
    <w:rsid w:val="00671BA0"/>
    <w:rsid w:val="00671C37"/>
    <w:rsid w:val="00671EE8"/>
    <w:rsid w:val="0067250C"/>
    <w:rsid w:val="00672EFB"/>
    <w:rsid w:val="00673093"/>
    <w:rsid w:val="00673833"/>
    <w:rsid w:val="006750F4"/>
    <w:rsid w:val="006753DC"/>
    <w:rsid w:val="00675950"/>
    <w:rsid w:val="00675FA1"/>
    <w:rsid w:val="006765FA"/>
    <w:rsid w:val="00676C28"/>
    <w:rsid w:val="00677043"/>
    <w:rsid w:val="006776E9"/>
    <w:rsid w:val="006778B5"/>
    <w:rsid w:val="00677C6C"/>
    <w:rsid w:val="0067B366"/>
    <w:rsid w:val="0068061A"/>
    <w:rsid w:val="00680EDA"/>
    <w:rsid w:val="0068120F"/>
    <w:rsid w:val="00681AAC"/>
    <w:rsid w:val="00681D24"/>
    <w:rsid w:val="00681FD2"/>
    <w:rsid w:val="0068338A"/>
    <w:rsid w:val="00683FA8"/>
    <w:rsid w:val="0068457E"/>
    <w:rsid w:val="0068488B"/>
    <w:rsid w:val="00684D52"/>
    <w:rsid w:val="00685244"/>
    <w:rsid w:val="00685D9E"/>
    <w:rsid w:val="00685E10"/>
    <w:rsid w:val="00686583"/>
    <w:rsid w:val="00686BC1"/>
    <w:rsid w:val="00687711"/>
    <w:rsid w:val="00687CA3"/>
    <w:rsid w:val="00690620"/>
    <w:rsid w:val="0069080E"/>
    <w:rsid w:val="00690C0C"/>
    <w:rsid w:val="0069235F"/>
    <w:rsid w:val="00692771"/>
    <w:rsid w:val="006936CF"/>
    <w:rsid w:val="00693784"/>
    <w:rsid w:val="006947AD"/>
    <w:rsid w:val="00694866"/>
    <w:rsid w:val="00694B76"/>
    <w:rsid w:val="00694CB2"/>
    <w:rsid w:val="00694CDC"/>
    <w:rsid w:val="00695700"/>
    <w:rsid w:val="006958B7"/>
    <w:rsid w:val="00695D2D"/>
    <w:rsid w:val="00695F39"/>
    <w:rsid w:val="00695F3D"/>
    <w:rsid w:val="00696120"/>
    <w:rsid w:val="0069657C"/>
    <w:rsid w:val="00696836"/>
    <w:rsid w:val="00696C97"/>
    <w:rsid w:val="00697518"/>
    <w:rsid w:val="006A1315"/>
    <w:rsid w:val="006A1B27"/>
    <w:rsid w:val="006A1D89"/>
    <w:rsid w:val="006A2505"/>
    <w:rsid w:val="006A252B"/>
    <w:rsid w:val="006A27C5"/>
    <w:rsid w:val="006A3AD2"/>
    <w:rsid w:val="006A4863"/>
    <w:rsid w:val="006A571E"/>
    <w:rsid w:val="006A57EB"/>
    <w:rsid w:val="006A5D8B"/>
    <w:rsid w:val="006A6ABC"/>
    <w:rsid w:val="006A6DEC"/>
    <w:rsid w:val="006A6ECD"/>
    <w:rsid w:val="006A7936"/>
    <w:rsid w:val="006A7BD7"/>
    <w:rsid w:val="006B027D"/>
    <w:rsid w:val="006B0672"/>
    <w:rsid w:val="006B09AB"/>
    <w:rsid w:val="006B0CD1"/>
    <w:rsid w:val="006B0FFE"/>
    <w:rsid w:val="006B11E9"/>
    <w:rsid w:val="006B1555"/>
    <w:rsid w:val="006B1ACB"/>
    <w:rsid w:val="006B1CAE"/>
    <w:rsid w:val="006B1D11"/>
    <w:rsid w:val="006B200B"/>
    <w:rsid w:val="006B2153"/>
    <w:rsid w:val="006B2694"/>
    <w:rsid w:val="006B2706"/>
    <w:rsid w:val="006B30F2"/>
    <w:rsid w:val="006B3A0A"/>
    <w:rsid w:val="006B3A26"/>
    <w:rsid w:val="006B3ED8"/>
    <w:rsid w:val="006B4061"/>
    <w:rsid w:val="006B42C5"/>
    <w:rsid w:val="006B4CA7"/>
    <w:rsid w:val="006B4DFC"/>
    <w:rsid w:val="006B5CF1"/>
    <w:rsid w:val="006B5DBC"/>
    <w:rsid w:val="006B5FC8"/>
    <w:rsid w:val="006B63DE"/>
    <w:rsid w:val="006B647C"/>
    <w:rsid w:val="006B65F3"/>
    <w:rsid w:val="006B673C"/>
    <w:rsid w:val="006B70EC"/>
    <w:rsid w:val="006B739E"/>
    <w:rsid w:val="006C020D"/>
    <w:rsid w:val="006C03B8"/>
    <w:rsid w:val="006C0582"/>
    <w:rsid w:val="006C1138"/>
    <w:rsid w:val="006C1209"/>
    <w:rsid w:val="006C1779"/>
    <w:rsid w:val="006C1B1D"/>
    <w:rsid w:val="006C1B32"/>
    <w:rsid w:val="006C1F7E"/>
    <w:rsid w:val="006C20D2"/>
    <w:rsid w:val="006C2390"/>
    <w:rsid w:val="006C26D8"/>
    <w:rsid w:val="006C29AF"/>
    <w:rsid w:val="006C2B77"/>
    <w:rsid w:val="006C2F42"/>
    <w:rsid w:val="006C35FD"/>
    <w:rsid w:val="006C3976"/>
    <w:rsid w:val="006C43C9"/>
    <w:rsid w:val="006C4701"/>
    <w:rsid w:val="006C4866"/>
    <w:rsid w:val="006C4BF1"/>
    <w:rsid w:val="006C4D25"/>
    <w:rsid w:val="006C4F1A"/>
    <w:rsid w:val="006C630E"/>
    <w:rsid w:val="006C65E4"/>
    <w:rsid w:val="006C697F"/>
    <w:rsid w:val="006C792F"/>
    <w:rsid w:val="006C7D00"/>
    <w:rsid w:val="006C7ECB"/>
    <w:rsid w:val="006D0585"/>
    <w:rsid w:val="006D062E"/>
    <w:rsid w:val="006D103C"/>
    <w:rsid w:val="006D10DB"/>
    <w:rsid w:val="006D1804"/>
    <w:rsid w:val="006D19D1"/>
    <w:rsid w:val="006D23A8"/>
    <w:rsid w:val="006D2875"/>
    <w:rsid w:val="006D3390"/>
    <w:rsid w:val="006D3681"/>
    <w:rsid w:val="006D36F8"/>
    <w:rsid w:val="006D3A3A"/>
    <w:rsid w:val="006D3DF2"/>
    <w:rsid w:val="006D4037"/>
    <w:rsid w:val="006D42C8"/>
    <w:rsid w:val="006D47AF"/>
    <w:rsid w:val="006D5445"/>
    <w:rsid w:val="006D55B6"/>
    <w:rsid w:val="006D5F86"/>
    <w:rsid w:val="006D6088"/>
    <w:rsid w:val="006D668C"/>
    <w:rsid w:val="006D7BAF"/>
    <w:rsid w:val="006E09F6"/>
    <w:rsid w:val="006E0E4A"/>
    <w:rsid w:val="006E15B7"/>
    <w:rsid w:val="006E1935"/>
    <w:rsid w:val="006E20DA"/>
    <w:rsid w:val="006E2425"/>
    <w:rsid w:val="006E27B6"/>
    <w:rsid w:val="006E2986"/>
    <w:rsid w:val="006E2F1A"/>
    <w:rsid w:val="006E3171"/>
    <w:rsid w:val="006E3698"/>
    <w:rsid w:val="006E3F14"/>
    <w:rsid w:val="006E4177"/>
    <w:rsid w:val="006E46D3"/>
    <w:rsid w:val="006E48D3"/>
    <w:rsid w:val="006E5089"/>
    <w:rsid w:val="006E55B7"/>
    <w:rsid w:val="006E59C5"/>
    <w:rsid w:val="006E60A7"/>
    <w:rsid w:val="006E6205"/>
    <w:rsid w:val="006E6F1A"/>
    <w:rsid w:val="006E7037"/>
    <w:rsid w:val="006E7704"/>
    <w:rsid w:val="006F061A"/>
    <w:rsid w:val="006F0656"/>
    <w:rsid w:val="006F0DC1"/>
    <w:rsid w:val="006F0F07"/>
    <w:rsid w:val="006F0FC5"/>
    <w:rsid w:val="006F1089"/>
    <w:rsid w:val="006F1FC7"/>
    <w:rsid w:val="006F203E"/>
    <w:rsid w:val="006F22F3"/>
    <w:rsid w:val="006F24D5"/>
    <w:rsid w:val="006F4156"/>
    <w:rsid w:val="006F465D"/>
    <w:rsid w:val="006F53C8"/>
    <w:rsid w:val="006F54DF"/>
    <w:rsid w:val="006F5627"/>
    <w:rsid w:val="006F5749"/>
    <w:rsid w:val="006F57D3"/>
    <w:rsid w:val="006F58D9"/>
    <w:rsid w:val="006F5EA1"/>
    <w:rsid w:val="006F6363"/>
    <w:rsid w:val="006F6518"/>
    <w:rsid w:val="006F6654"/>
    <w:rsid w:val="006F67CB"/>
    <w:rsid w:val="006F6807"/>
    <w:rsid w:val="006F6A19"/>
    <w:rsid w:val="006F7324"/>
    <w:rsid w:val="006F75D2"/>
    <w:rsid w:val="006F7624"/>
    <w:rsid w:val="006F76B5"/>
    <w:rsid w:val="006F7B46"/>
    <w:rsid w:val="0070030A"/>
    <w:rsid w:val="00700B54"/>
    <w:rsid w:val="00700CDD"/>
    <w:rsid w:val="007016AF"/>
    <w:rsid w:val="00701744"/>
    <w:rsid w:val="00701772"/>
    <w:rsid w:val="00702B02"/>
    <w:rsid w:val="00703956"/>
    <w:rsid w:val="00703E71"/>
    <w:rsid w:val="00704459"/>
    <w:rsid w:val="00704512"/>
    <w:rsid w:val="0070468A"/>
    <w:rsid w:val="007050F6"/>
    <w:rsid w:val="007052E2"/>
    <w:rsid w:val="0070538C"/>
    <w:rsid w:val="00706CD1"/>
    <w:rsid w:val="00706F66"/>
    <w:rsid w:val="0070701B"/>
    <w:rsid w:val="00707407"/>
    <w:rsid w:val="007079C9"/>
    <w:rsid w:val="0071128D"/>
    <w:rsid w:val="00712710"/>
    <w:rsid w:val="00712820"/>
    <w:rsid w:val="00712925"/>
    <w:rsid w:val="00712CB5"/>
    <w:rsid w:val="007136AD"/>
    <w:rsid w:val="00713D6B"/>
    <w:rsid w:val="00714948"/>
    <w:rsid w:val="00714D75"/>
    <w:rsid w:val="00714F70"/>
    <w:rsid w:val="007151EE"/>
    <w:rsid w:val="00715230"/>
    <w:rsid w:val="00715751"/>
    <w:rsid w:val="00715836"/>
    <w:rsid w:val="007159E8"/>
    <w:rsid w:val="00716199"/>
    <w:rsid w:val="007166D1"/>
    <w:rsid w:val="0071671B"/>
    <w:rsid w:val="00716798"/>
    <w:rsid w:val="007169BF"/>
    <w:rsid w:val="00716EFE"/>
    <w:rsid w:val="00717747"/>
    <w:rsid w:val="00717C7A"/>
    <w:rsid w:val="00717F7B"/>
    <w:rsid w:val="0072050D"/>
    <w:rsid w:val="0072067A"/>
    <w:rsid w:val="00720973"/>
    <w:rsid w:val="00720EB1"/>
    <w:rsid w:val="007218D4"/>
    <w:rsid w:val="00721B79"/>
    <w:rsid w:val="00721EB6"/>
    <w:rsid w:val="00721EDB"/>
    <w:rsid w:val="007222CA"/>
    <w:rsid w:val="007227BD"/>
    <w:rsid w:val="00722F6F"/>
    <w:rsid w:val="007238E2"/>
    <w:rsid w:val="00723A9E"/>
    <w:rsid w:val="00724339"/>
    <w:rsid w:val="0072450A"/>
    <w:rsid w:val="00724CA0"/>
    <w:rsid w:val="007250F4"/>
    <w:rsid w:val="0072540A"/>
    <w:rsid w:val="00726286"/>
    <w:rsid w:val="007267BC"/>
    <w:rsid w:val="0072727D"/>
    <w:rsid w:val="00727351"/>
    <w:rsid w:val="0073078E"/>
    <w:rsid w:val="00730F95"/>
    <w:rsid w:val="007311A6"/>
    <w:rsid w:val="00731426"/>
    <w:rsid w:val="007318FB"/>
    <w:rsid w:val="00731D71"/>
    <w:rsid w:val="00731F08"/>
    <w:rsid w:val="00731F91"/>
    <w:rsid w:val="007322CD"/>
    <w:rsid w:val="00732368"/>
    <w:rsid w:val="0073264F"/>
    <w:rsid w:val="0073330E"/>
    <w:rsid w:val="007333AC"/>
    <w:rsid w:val="00733983"/>
    <w:rsid w:val="00734336"/>
    <w:rsid w:val="00734610"/>
    <w:rsid w:val="00734650"/>
    <w:rsid w:val="00734744"/>
    <w:rsid w:val="007354E5"/>
    <w:rsid w:val="007358D9"/>
    <w:rsid w:val="00735CD2"/>
    <w:rsid w:val="007362C6"/>
    <w:rsid w:val="007364C6"/>
    <w:rsid w:val="007374B6"/>
    <w:rsid w:val="00737AE1"/>
    <w:rsid w:val="00737B9D"/>
    <w:rsid w:val="00737FA8"/>
    <w:rsid w:val="00740388"/>
    <w:rsid w:val="0074180C"/>
    <w:rsid w:val="00743442"/>
    <w:rsid w:val="007439E4"/>
    <w:rsid w:val="00743DCA"/>
    <w:rsid w:val="007451A6"/>
    <w:rsid w:val="00745439"/>
    <w:rsid w:val="00746618"/>
    <w:rsid w:val="00746A21"/>
    <w:rsid w:val="00746C56"/>
    <w:rsid w:val="0074749F"/>
    <w:rsid w:val="007475CC"/>
    <w:rsid w:val="00747D44"/>
    <w:rsid w:val="00750896"/>
    <w:rsid w:val="00750955"/>
    <w:rsid w:val="0075180D"/>
    <w:rsid w:val="00752B75"/>
    <w:rsid w:val="00753031"/>
    <w:rsid w:val="00753160"/>
    <w:rsid w:val="007534D0"/>
    <w:rsid w:val="007535B6"/>
    <w:rsid w:val="00753DF2"/>
    <w:rsid w:val="00754992"/>
    <w:rsid w:val="007557AE"/>
    <w:rsid w:val="0075589B"/>
    <w:rsid w:val="00755C64"/>
    <w:rsid w:val="00755F43"/>
    <w:rsid w:val="00757452"/>
    <w:rsid w:val="00757681"/>
    <w:rsid w:val="00760264"/>
    <w:rsid w:val="00760371"/>
    <w:rsid w:val="007605D3"/>
    <w:rsid w:val="00760698"/>
    <w:rsid w:val="00760984"/>
    <w:rsid w:val="00760D6B"/>
    <w:rsid w:val="00761048"/>
    <w:rsid w:val="00761D97"/>
    <w:rsid w:val="00762513"/>
    <w:rsid w:val="00762856"/>
    <w:rsid w:val="00762879"/>
    <w:rsid w:val="0076326F"/>
    <w:rsid w:val="00763994"/>
    <w:rsid w:val="00764C4E"/>
    <w:rsid w:val="007650EB"/>
    <w:rsid w:val="00765E12"/>
    <w:rsid w:val="00766225"/>
    <w:rsid w:val="00766C6B"/>
    <w:rsid w:val="00766E6E"/>
    <w:rsid w:val="007679F9"/>
    <w:rsid w:val="00767FEA"/>
    <w:rsid w:val="00770473"/>
    <w:rsid w:val="00770F09"/>
    <w:rsid w:val="00771758"/>
    <w:rsid w:val="00771E7E"/>
    <w:rsid w:val="007738C5"/>
    <w:rsid w:val="007743E7"/>
    <w:rsid w:val="00775284"/>
    <w:rsid w:val="00775473"/>
    <w:rsid w:val="0077586F"/>
    <w:rsid w:val="00775A5D"/>
    <w:rsid w:val="007762C0"/>
    <w:rsid w:val="00777927"/>
    <w:rsid w:val="00777FA9"/>
    <w:rsid w:val="0078068D"/>
    <w:rsid w:val="00780B3C"/>
    <w:rsid w:val="00780D87"/>
    <w:rsid w:val="007811C6"/>
    <w:rsid w:val="007815D4"/>
    <w:rsid w:val="0078226C"/>
    <w:rsid w:val="00782784"/>
    <w:rsid w:val="00782964"/>
    <w:rsid w:val="007829EA"/>
    <w:rsid w:val="00782AD4"/>
    <w:rsid w:val="007834B9"/>
    <w:rsid w:val="00784141"/>
    <w:rsid w:val="007843D3"/>
    <w:rsid w:val="00784548"/>
    <w:rsid w:val="007847E3"/>
    <w:rsid w:val="00785125"/>
    <w:rsid w:val="007852C5"/>
    <w:rsid w:val="00785C6E"/>
    <w:rsid w:val="007865BF"/>
    <w:rsid w:val="00786F38"/>
    <w:rsid w:val="00787233"/>
    <w:rsid w:val="00787790"/>
    <w:rsid w:val="007905E1"/>
    <w:rsid w:val="00790779"/>
    <w:rsid w:val="0079127D"/>
    <w:rsid w:val="007916ED"/>
    <w:rsid w:val="00791D18"/>
    <w:rsid w:val="00791E37"/>
    <w:rsid w:val="0079205D"/>
    <w:rsid w:val="00792C89"/>
    <w:rsid w:val="0079332E"/>
    <w:rsid w:val="0079334F"/>
    <w:rsid w:val="00793679"/>
    <w:rsid w:val="007937E9"/>
    <w:rsid w:val="00793B8B"/>
    <w:rsid w:val="00794143"/>
    <w:rsid w:val="00794989"/>
    <w:rsid w:val="00794AD2"/>
    <w:rsid w:val="00795626"/>
    <w:rsid w:val="007958D4"/>
    <w:rsid w:val="0079592D"/>
    <w:rsid w:val="00795C27"/>
    <w:rsid w:val="00795D5C"/>
    <w:rsid w:val="00796E7D"/>
    <w:rsid w:val="00797264"/>
    <w:rsid w:val="0079781C"/>
    <w:rsid w:val="00797BF6"/>
    <w:rsid w:val="00797C4C"/>
    <w:rsid w:val="007A056D"/>
    <w:rsid w:val="007A09AC"/>
    <w:rsid w:val="007A1884"/>
    <w:rsid w:val="007A1B9B"/>
    <w:rsid w:val="007A2509"/>
    <w:rsid w:val="007A31CC"/>
    <w:rsid w:val="007A320C"/>
    <w:rsid w:val="007A39E0"/>
    <w:rsid w:val="007A3B08"/>
    <w:rsid w:val="007A3FB9"/>
    <w:rsid w:val="007A44FB"/>
    <w:rsid w:val="007A5242"/>
    <w:rsid w:val="007A5702"/>
    <w:rsid w:val="007A5A86"/>
    <w:rsid w:val="007A5E85"/>
    <w:rsid w:val="007A64B3"/>
    <w:rsid w:val="007A6A95"/>
    <w:rsid w:val="007A6E94"/>
    <w:rsid w:val="007A6F54"/>
    <w:rsid w:val="007A7851"/>
    <w:rsid w:val="007A7B42"/>
    <w:rsid w:val="007B019B"/>
    <w:rsid w:val="007B01F9"/>
    <w:rsid w:val="007B151C"/>
    <w:rsid w:val="007B1796"/>
    <w:rsid w:val="007B2196"/>
    <w:rsid w:val="007B2233"/>
    <w:rsid w:val="007B3185"/>
    <w:rsid w:val="007B32AB"/>
    <w:rsid w:val="007B3DF6"/>
    <w:rsid w:val="007B4573"/>
    <w:rsid w:val="007B5189"/>
    <w:rsid w:val="007B5DAD"/>
    <w:rsid w:val="007B5F70"/>
    <w:rsid w:val="007B6180"/>
    <w:rsid w:val="007B62FE"/>
    <w:rsid w:val="007B71B6"/>
    <w:rsid w:val="007B7274"/>
    <w:rsid w:val="007B79FB"/>
    <w:rsid w:val="007C0013"/>
    <w:rsid w:val="007C0083"/>
    <w:rsid w:val="007C0225"/>
    <w:rsid w:val="007C040B"/>
    <w:rsid w:val="007C04DE"/>
    <w:rsid w:val="007C088E"/>
    <w:rsid w:val="007C0907"/>
    <w:rsid w:val="007C0A03"/>
    <w:rsid w:val="007C0D7E"/>
    <w:rsid w:val="007C0F7A"/>
    <w:rsid w:val="007C0FE1"/>
    <w:rsid w:val="007C11B6"/>
    <w:rsid w:val="007C1494"/>
    <w:rsid w:val="007C15EC"/>
    <w:rsid w:val="007C1633"/>
    <w:rsid w:val="007C1838"/>
    <w:rsid w:val="007C1DEB"/>
    <w:rsid w:val="007C22BD"/>
    <w:rsid w:val="007C30A9"/>
    <w:rsid w:val="007C30E9"/>
    <w:rsid w:val="007C4083"/>
    <w:rsid w:val="007C446D"/>
    <w:rsid w:val="007C4B1B"/>
    <w:rsid w:val="007C4CEA"/>
    <w:rsid w:val="007C561F"/>
    <w:rsid w:val="007C5832"/>
    <w:rsid w:val="007C5946"/>
    <w:rsid w:val="007C6039"/>
    <w:rsid w:val="007C65CD"/>
    <w:rsid w:val="007C6AA6"/>
    <w:rsid w:val="007C7B32"/>
    <w:rsid w:val="007D0BB5"/>
    <w:rsid w:val="007D16C5"/>
    <w:rsid w:val="007D18F1"/>
    <w:rsid w:val="007D2010"/>
    <w:rsid w:val="007D2431"/>
    <w:rsid w:val="007D2595"/>
    <w:rsid w:val="007D27B5"/>
    <w:rsid w:val="007D32A0"/>
    <w:rsid w:val="007D3C58"/>
    <w:rsid w:val="007D42C6"/>
    <w:rsid w:val="007D483A"/>
    <w:rsid w:val="007D4DB2"/>
    <w:rsid w:val="007D5665"/>
    <w:rsid w:val="007D5999"/>
    <w:rsid w:val="007D5E7B"/>
    <w:rsid w:val="007D5EDE"/>
    <w:rsid w:val="007D5F0A"/>
    <w:rsid w:val="007D6128"/>
    <w:rsid w:val="007D6A81"/>
    <w:rsid w:val="007D6BDB"/>
    <w:rsid w:val="007E09A2"/>
    <w:rsid w:val="007E11A3"/>
    <w:rsid w:val="007E2065"/>
    <w:rsid w:val="007E25B7"/>
    <w:rsid w:val="007E2AF2"/>
    <w:rsid w:val="007E2EA3"/>
    <w:rsid w:val="007E3710"/>
    <w:rsid w:val="007E3808"/>
    <w:rsid w:val="007E3E5B"/>
    <w:rsid w:val="007E465F"/>
    <w:rsid w:val="007E5926"/>
    <w:rsid w:val="007E6BEE"/>
    <w:rsid w:val="007E75D4"/>
    <w:rsid w:val="007F05E8"/>
    <w:rsid w:val="007F1283"/>
    <w:rsid w:val="007F152D"/>
    <w:rsid w:val="007F1D4F"/>
    <w:rsid w:val="007F2536"/>
    <w:rsid w:val="007F26D2"/>
    <w:rsid w:val="007F31FA"/>
    <w:rsid w:val="007F3349"/>
    <w:rsid w:val="007F358C"/>
    <w:rsid w:val="007F3647"/>
    <w:rsid w:val="007F3885"/>
    <w:rsid w:val="007F3A5A"/>
    <w:rsid w:val="007F3ABB"/>
    <w:rsid w:val="007F4115"/>
    <w:rsid w:val="007F56E0"/>
    <w:rsid w:val="007F5814"/>
    <w:rsid w:val="007F5BF4"/>
    <w:rsid w:val="007F60E5"/>
    <w:rsid w:val="007F6A3A"/>
    <w:rsid w:val="007F6DB4"/>
    <w:rsid w:val="007F6FAC"/>
    <w:rsid w:val="007F752E"/>
    <w:rsid w:val="008006C7"/>
    <w:rsid w:val="008006E3"/>
    <w:rsid w:val="0080070B"/>
    <w:rsid w:val="0080098F"/>
    <w:rsid w:val="00800FF2"/>
    <w:rsid w:val="00801240"/>
    <w:rsid w:val="008012CB"/>
    <w:rsid w:val="0080178F"/>
    <w:rsid w:val="00801A4D"/>
    <w:rsid w:val="00801AF8"/>
    <w:rsid w:val="00801BD1"/>
    <w:rsid w:val="00802B3E"/>
    <w:rsid w:val="00802E11"/>
    <w:rsid w:val="00803F1D"/>
    <w:rsid w:val="00804067"/>
    <w:rsid w:val="008049FA"/>
    <w:rsid w:val="00804D7D"/>
    <w:rsid w:val="00805655"/>
    <w:rsid w:val="0080679D"/>
    <w:rsid w:val="00807080"/>
    <w:rsid w:val="0080726B"/>
    <w:rsid w:val="008072A5"/>
    <w:rsid w:val="008075CC"/>
    <w:rsid w:val="00807B83"/>
    <w:rsid w:val="0081007A"/>
    <w:rsid w:val="00810DE0"/>
    <w:rsid w:val="008115AC"/>
    <w:rsid w:val="00811709"/>
    <w:rsid w:val="00813259"/>
    <w:rsid w:val="0081393E"/>
    <w:rsid w:val="00813FDD"/>
    <w:rsid w:val="0081400E"/>
    <w:rsid w:val="0081419C"/>
    <w:rsid w:val="00814252"/>
    <w:rsid w:val="00814590"/>
    <w:rsid w:val="00814DD3"/>
    <w:rsid w:val="008153CE"/>
    <w:rsid w:val="008159FC"/>
    <w:rsid w:val="00815D94"/>
    <w:rsid w:val="00816658"/>
    <w:rsid w:val="0081711C"/>
    <w:rsid w:val="008174F2"/>
    <w:rsid w:val="00817CB3"/>
    <w:rsid w:val="0082014E"/>
    <w:rsid w:val="00820699"/>
    <w:rsid w:val="00820A7A"/>
    <w:rsid w:val="00820B07"/>
    <w:rsid w:val="00820EB3"/>
    <w:rsid w:val="00820FC2"/>
    <w:rsid w:val="00821159"/>
    <w:rsid w:val="008213C8"/>
    <w:rsid w:val="00821A04"/>
    <w:rsid w:val="00821E8E"/>
    <w:rsid w:val="008224C5"/>
    <w:rsid w:val="008224C7"/>
    <w:rsid w:val="008227D9"/>
    <w:rsid w:val="00822DBE"/>
    <w:rsid w:val="0082319C"/>
    <w:rsid w:val="00824458"/>
    <w:rsid w:val="00824C02"/>
    <w:rsid w:val="00825280"/>
    <w:rsid w:val="00825FD3"/>
    <w:rsid w:val="00826350"/>
    <w:rsid w:val="0082739A"/>
    <w:rsid w:val="00827E31"/>
    <w:rsid w:val="0083022E"/>
    <w:rsid w:val="00831AC2"/>
    <w:rsid w:val="00831BAE"/>
    <w:rsid w:val="00831C6D"/>
    <w:rsid w:val="0083210C"/>
    <w:rsid w:val="008326A1"/>
    <w:rsid w:val="00833EE7"/>
    <w:rsid w:val="008353F1"/>
    <w:rsid w:val="00835933"/>
    <w:rsid w:val="00836B39"/>
    <w:rsid w:val="00836C39"/>
    <w:rsid w:val="00837986"/>
    <w:rsid w:val="00837A86"/>
    <w:rsid w:val="008408E0"/>
    <w:rsid w:val="00840C23"/>
    <w:rsid w:val="008410FC"/>
    <w:rsid w:val="00841426"/>
    <w:rsid w:val="0084168D"/>
    <w:rsid w:val="008418E7"/>
    <w:rsid w:val="0084198B"/>
    <w:rsid w:val="00841C68"/>
    <w:rsid w:val="00843043"/>
    <w:rsid w:val="00843796"/>
    <w:rsid w:val="00843D88"/>
    <w:rsid w:val="00843E59"/>
    <w:rsid w:val="00843E5E"/>
    <w:rsid w:val="0084411A"/>
    <w:rsid w:val="008443F3"/>
    <w:rsid w:val="00844AA6"/>
    <w:rsid w:val="0084530E"/>
    <w:rsid w:val="00845341"/>
    <w:rsid w:val="0084593D"/>
    <w:rsid w:val="008459AC"/>
    <w:rsid w:val="0084628F"/>
    <w:rsid w:val="008469D3"/>
    <w:rsid w:val="00846C5C"/>
    <w:rsid w:val="00846FA4"/>
    <w:rsid w:val="008478C6"/>
    <w:rsid w:val="008479B2"/>
    <w:rsid w:val="00847DF1"/>
    <w:rsid w:val="00847E48"/>
    <w:rsid w:val="008501BB"/>
    <w:rsid w:val="008501FF"/>
    <w:rsid w:val="008502FE"/>
    <w:rsid w:val="00850673"/>
    <w:rsid w:val="008506DB"/>
    <w:rsid w:val="00850A69"/>
    <w:rsid w:val="008519D8"/>
    <w:rsid w:val="008519DC"/>
    <w:rsid w:val="008520BA"/>
    <w:rsid w:val="00852F9C"/>
    <w:rsid w:val="00853D97"/>
    <w:rsid w:val="00854C52"/>
    <w:rsid w:val="008553ED"/>
    <w:rsid w:val="008555CA"/>
    <w:rsid w:val="00855EF9"/>
    <w:rsid w:val="0085638B"/>
    <w:rsid w:val="008565FB"/>
    <w:rsid w:val="008569FF"/>
    <w:rsid w:val="00856E8C"/>
    <w:rsid w:val="00856EB5"/>
    <w:rsid w:val="00856FBE"/>
    <w:rsid w:val="00857623"/>
    <w:rsid w:val="00857DF1"/>
    <w:rsid w:val="00857FD4"/>
    <w:rsid w:val="0086029F"/>
    <w:rsid w:val="00860C33"/>
    <w:rsid w:val="00860C4F"/>
    <w:rsid w:val="00860D69"/>
    <w:rsid w:val="0086125A"/>
    <w:rsid w:val="0086148E"/>
    <w:rsid w:val="00861731"/>
    <w:rsid w:val="008617B5"/>
    <w:rsid w:val="0086191D"/>
    <w:rsid w:val="00861950"/>
    <w:rsid w:val="00862E24"/>
    <w:rsid w:val="00862E67"/>
    <w:rsid w:val="0086389C"/>
    <w:rsid w:val="008638B4"/>
    <w:rsid w:val="00863909"/>
    <w:rsid w:val="00863B92"/>
    <w:rsid w:val="008642BC"/>
    <w:rsid w:val="00864412"/>
    <w:rsid w:val="008646B9"/>
    <w:rsid w:val="00864770"/>
    <w:rsid w:val="008647AF"/>
    <w:rsid w:val="0086481C"/>
    <w:rsid w:val="00864CB4"/>
    <w:rsid w:val="00864E46"/>
    <w:rsid w:val="00865253"/>
    <w:rsid w:val="00865613"/>
    <w:rsid w:val="0086643D"/>
    <w:rsid w:val="00866535"/>
    <w:rsid w:val="0086712B"/>
    <w:rsid w:val="008674DE"/>
    <w:rsid w:val="00867A80"/>
    <w:rsid w:val="00867DA5"/>
    <w:rsid w:val="008703CF"/>
    <w:rsid w:val="00870843"/>
    <w:rsid w:val="008708F9"/>
    <w:rsid w:val="00870976"/>
    <w:rsid w:val="00870AE3"/>
    <w:rsid w:val="00871012"/>
    <w:rsid w:val="008713E6"/>
    <w:rsid w:val="008722FB"/>
    <w:rsid w:val="00872644"/>
    <w:rsid w:val="008729E1"/>
    <w:rsid w:val="00872F32"/>
    <w:rsid w:val="00873061"/>
    <w:rsid w:val="00873164"/>
    <w:rsid w:val="0087344A"/>
    <w:rsid w:val="008734A1"/>
    <w:rsid w:val="0087368B"/>
    <w:rsid w:val="00873734"/>
    <w:rsid w:val="00873EC8"/>
    <w:rsid w:val="00873F36"/>
    <w:rsid w:val="0087425A"/>
    <w:rsid w:val="008742A3"/>
    <w:rsid w:val="0087482B"/>
    <w:rsid w:val="00874D30"/>
    <w:rsid w:val="00875266"/>
    <w:rsid w:val="00875350"/>
    <w:rsid w:val="00875E0D"/>
    <w:rsid w:val="00876BD7"/>
    <w:rsid w:val="0087737F"/>
    <w:rsid w:val="0087750C"/>
    <w:rsid w:val="00877A3A"/>
    <w:rsid w:val="00877F19"/>
    <w:rsid w:val="0088000E"/>
    <w:rsid w:val="00880672"/>
    <w:rsid w:val="00880807"/>
    <w:rsid w:val="008809DD"/>
    <w:rsid w:val="008822AB"/>
    <w:rsid w:val="0088230E"/>
    <w:rsid w:val="008828E8"/>
    <w:rsid w:val="0088323A"/>
    <w:rsid w:val="00883790"/>
    <w:rsid w:val="008838C7"/>
    <w:rsid w:val="00883D68"/>
    <w:rsid w:val="00883F22"/>
    <w:rsid w:val="008841EC"/>
    <w:rsid w:val="00884485"/>
    <w:rsid w:val="008847B7"/>
    <w:rsid w:val="00884821"/>
    <w:rsid w:val="0088589E"/>
    <w:rsid w:val="0088618B"/>
    <w:rsid w:val="0088668E"/>
    <w:rsid w:val="00887193"/>
    <w:rsid w:val="00887D45"/>
    <w:rsid w:val="00887E3E"/>
    <w:rsid w:val="00890041"/>
    <w:rsid w:val="008901A2"/>
    <w:rsid w:val="00890DCF"/>
    <w:rsid w:val="008912E3"/>
    <w:rsid w:val="0089173E"/>
    <w:rsid w:val="0089179B"/>
    <w:rsid w:val="00891C17"/>
    <w:rsid w:val="00891F2E"/>
    <w:rsid w:val="00892517"/>
    <w:rsid w:val="00892544"/>
    <w:rsid w:val="00892A30"/>
    <w:rsid w:val="00892EB7"/>
    <w:rsid w:val="00892ED0"/>
    <w:rsid w:val="008932F4"/>
    <w:rsid w:val="0089424A"/>
    <w:rsid w:val="008949BA"/>
    <w:rsid w:val="00894BAA"/>
    <w:rsid w:val="008950D6"/>
    <w:rsid w:val="00895BC1"/>
    <w:rsid w:val="00895CA8"/>
    <w:rsid w:val="008968A5"/>
    <w:rsid w:val="0089690F"/>
    <w:rsid w:val="00896D15"/>
    <w:rsid w:val="008975D5"/>
    <w:rsid w:val="00897781"/>
    <w:rsid w:val="00897B77"/>
    <w:rsid w:val="008A0759"/>
    <w:rsid w:val="008A0DC1"/>
    <w:rsid w:val="008A0F4B"/>
    <w:rsid w:val="008A1089"/>
    <w:rsid w:val="008A11D5"/>
    <w:rsid w:val="008A13F1"/>
    <w:rsid w:val="008A150F"/>
    <w:rsid w:val="008A21F3"/>
    <w:rsid w:val="008A2408"/>
    <w:rsid w:val="008A2D13"/>
    <w:rsid w:val="008A3347"/>
    <w:rsid w:val="008A3467"/>
    <w:rsid w:val="008A34F5"/>
    <w:rsid w:val="008A389D"/>
    <w:rsid w:val="008A3AD7"/>
    <w:rsid w:val="008A4D18"/>
    <w:rsid w:val="008A4F5A"/>
    <w:rsid w:val="008A5AA3"/>
    <w:rsid w:val="008A6239"/>
    <w:rsid w:val="008A658A"/>
    <w:rsid w:val="008B0D44"/>
    <w:rsid w:val="008B109C"/>
    <w:rsid w:val="008B14DE"/>
    <w:rsid w:val="008B1503"/>
    <w:rsid w:val="008B1812"/>
    <w:rsid w:val="008B20A9"/>
    <w:rsid w:val="008B2B79"/>
    <w:rsid w:val="008B2BDC"/>
    <w:rsid w:val="008B3442"/>
    <w:rsid w:val="008B34DC"/>
    <w:rsid w:val="008B3E34"/>
    <w:rsid w:val="008B40DF"/>
    <w:rsid w:val="008B4536"/>
    <w:rsid w:val="008B5217"/>
    <w:rsid w:val="008B5431"/>
    <w:rsid w:val="008B593E"/>
    <w:rsid w:val="008B5B43"/>
    <w:rsid w:val="008B5CD0"/>
    <w:rsid w:val="008B60ED"/>
    <w:rsid w:val="008B6900"/>
    <w:rsid w:val="008B6B4D"/>
    <w:rsid w:val="008B6B63"/>
    <w:rsid w:val="008C0605"/>
    <w:rsid w:val="008C0C6A"/>
    <w:rsid w:val="008C117F"/>
    <w:rsid w:val="008C1A23"/>
    <w:rsid w:val="008C1CBE"/>
    <w:rsid w:val="008C21E5"/>
    <w:rsid w:val="008C24C2"/>
    <w:rsid w:val="008C251A"/>
    <w:rsid w:val="008C281F"/>
    <w:rsid w:val="008C2A64"/>
    <w:rsid w:val="008C2E46"/>
    <w:rsid w:val="008C3940"/>
    <w:rsid w:val="008C3F8B"/>
    <w:rsid w:val="008C4284"/>
    <w:rsid w:val="008C433C"/>
    <w:rsid w:val="008C48F2"/>
    <w:rsid w:val="008C5412"/>
    <w:rsid w:val="008C55D7"/>
    <w:rsid w:val="008C5723"/>
    <w:rsid w:val="008C7CDF"/>
    <w:rsid w:val="008D21DA"/>
    <w:rsid w:val="008D245A"/>
    <w:rsid w:val="008D3F87"/>
    <w:rsid w:val="008D4CAF"/>
    <w:rsid w:val="008D4CC4"/>
    <w:rsid w:val="008D600A"/>
    <w:rsid w:val="008D618C"/>
    <w:rsid w:val="008D6766"/>
    <w:rsid w:val="008E0D0F"/>
    <w:rsid w:val="008E0D40"/>
    <w:rsid w:val="008E22C2"/>
    <w:rsid w:val="008E247F"/>
    <w:rsid w:val="008E3199"/>
    <w:rsid w:val="008E3AA3"/>
    <w:rsid w:val="008E3D26"/>
    <w:rsid w:val="008E3F33"/>
    <w:rsid w:val="008E46A8"/>
    <w:rsid w:val="008E4E7E"/>
    <w:rsid w:val="008E623D"/>
    <w:rsid w:val="008E64E2"/>
    <w:rsid w:val="008E67D6"/>
    <w:rsid w:val="008E76AC"/>
    <w:rsid w:val="008E7BAB"/>
    <w:rsid w:val="008F0839"/>
    <w:rsid w:val="008F08E4"/>
    <w:rsid w:val="008F0BF5"/>
    <w:rsid w:val="008F16F6"/>
    <w:rsid w:val="008F1848"/>
    <w:rsid w:val="008F1C9E"/>
    <w:rsid w:val="008F209E"/>
    <w:rsid w:val="008F2293"/>
    <w:rsid w:val="008F2507"/>
    <w:rsid w:val="008F25B1"/>
    <w:rsid w:val="008F2650"/>
    <w:rsid w:val="008F2813"/>
    <w:rsid w:val="008F2903"/>
    <w:rsid w:val="008F2D3E"/>
    <w:rsid w:val="008F2D48"/>
    <w:rsid w:val="008F2E17"/>
    <w:rsid w:val="008F387C"/>
    <w:rsid w:val="008F3D74"/>
    <w:rsid w:val="008F3E21"/>
    <w:rsid w:val="008F3E8D"/>
    <w:rsid w:val="008F407A"/>
    <w:rsid w:val="008F4396"/>
    <w:rsid w:val="008F4504"/>
    <w:rsid w:val="008F5DC5"/>
    <w:rsid w:val="008F6200"/>
    <w:rsid w:val="008F68FB"/>
    <w:rsid w:val="008F733B"/>
    <w:rsid w:val="008F7717"/>
    <w:rsid w:val="008F777F"/>
    <w:rsid w:val="008F7A74"/>
    <w:rsid w:val="008F7CD0"/>
    <w:rsid w:val="009017FD"/>
    <w:rsid w:val="009025DF"/>
    <w:rsid w:val="0090275A"/>
    <w:rsid w:val="009028BA"/>
    <w:rsid w:val="00902C33"/>
    <w:rsid w:val="00903440"/>
    <w:rsid w:val="009037C3"/>
    <w:rsid w:val="00903AFF"/>
    <w:rsid w:val="00903CB3"/>
    <w:rsid w:val="00903FCB"/>
    <w:rsid w:val="00904C45"/>
    <w:rsid w:val="00904F50"/>
    <w:rsid w:val="009052C6"/>
    <w:rsid w:val="00905CE4"/>
    <w:rsid w:val="00905EAA"/>
    <w:rsid w:val="009068D3"/>
    <w:rsid w:val="00906AE2"/>
    <w:rsid w:val="00907AC0"/>
    <w:rsid w:val="009102B7"/>
    <w:rsid w:val="009104EC"/>
    <w:rsid w:val="009105D5"/>
    <w:rsid w:val="009119E0"/>
    <w:rsid w:val="00911ACC"/>
    <w:rsid w:val="00912592"/>
    <w:rsid w:val="00912F84"/>
    <w:rsid w:val="0091311A"/>
    <w:rsid w:val="00913374"/>
    <w:rsid w:val="00913526"/>
    <w:rsid w:val="00913A41"/>
    <w:rsid w:val="00913D8A"/>
    <w:rsid w:val="009144FD"/>
    <w:rsid w:val="00914C64"/>
    <w:rsid w:val="00914FFC"/>
    <w:rsid w:val="00915124"/>
    <w:rsid w:val="00915527"/>
    <w:rsid w:val="00915979"/>
    <w:rsid w:val="00915A0F"/>
    <w:rsid w:val="00915BDF"/>
    <w:rsid w:val="0091630E"/>
    <w:rsid w:val="0091798D"/>
    <w:rsid w:val="00917C19"/>
    <w:rsid w:val="009200F3"/>
    <w:rsid w:val="0092049A"/>
    <w:rsid w:val="009206DC"/>
    <w:rsid w:val="0092078A"/>
    <w:rsid w:val="00920C6D"/>
    <w:rsid w:val="00920CCA"/>
    <w:rsid w:val="00921BF8"/>
    <w:rsid w:val="00921C30"/>
    <w:rsid w:val="00921CF3"/>
    <w:rsid w:val="0092210D"/>
    <w:rsid w:val="00922F7D"/>
    <w:rsid w:val="0092308D"/>
    <w:rsid w:val="0092371E"/>
    <w:rsid w:val="00923B0B"/>
    <w:rsid w:val="00924C4A"/>
    <w:rsid w:val="00925332"/>
    <w:rsid w:val="009258A3"/>
    <w:rsid w:val="00925E80"/>
    <w:rsid w:val="009261E3"/>
    <w:rsid w:val="009262C8"/>
    <w:rsid w:val="0092634C"/>
    <w:rsid w:val="00926705"/>
    <w:rsid w:val="00926F83"/>
    <w:rsid w:val="009272BF"/>
    <w:rsid w:val="00927335"/>
    <w:rsid w:val="009274F3"/>
    <w:rsid w:val="009279C9"/>
    <w:rsid w:val="009303B1"/>
    <w:rsid w:val="00930769"/>
    <w:rsid w:val="00930EA8"/>
    <w:rsid w:val="00930FDE"/>
    <w:rsid w:val="00931088"/>
    <w:rsid w:val="009310A8"/>
    <w:rsid w:val="009317A4"/>
    <w:rsid w:val="009317CA"/>
    <w:rsid w:val="00932109"/>
    <w:rsid w:val="0093239B"/>
    <w:rsid w:val="0093252A"/>
    <w:rsid w:val="009328C3"/>
    <w:rsid w:val="0093291B"/>
    <w:rsid w:val="00932C61"/>
    <w:rsid w:val="0093308C"/>
    <w:rsid w:val="00934204"/>
    <w:rsid w:val="0093425C"/>
    <w:rsid w:val="00935133"/>
    <w:rsid w:val="0093559A"/>
    <w:rsid w:val="00936203"/>
    <w:rsid w:val="00936218"/>
    <w:rsid w:val="00936226"/>
    <w:rsid w:val="00936391"/>
    <w:rsid w:val="009364AC"/>
    <w:rsid w:val="009377F8"/>
    <w:rsid w:val="00937D56"/>
    <w:rsid w:val="00937E28"/>
    <w:rsid w:val="00937F73"/>
    <w:rsid w:val="00940146"/>
    <w:rsid w:val="00940BFA"/>
    <w:rsid w:val="00941D05"/>
    <w:rsid w:val="0094231D"/>
    <w:rsid w:val="00942CE0"/>
    <w:rsid w:val="00943B04"/>
    <w:rsid w:val="00943F8B"/>
    <w:rsid w:val="0094508C"/>
    <w:rsid w:val="009450B8"/>
    <w:rsid w:val="009456F6"/>
    <w:rsid w:val="009458B3"/>
    <w:rsid w:val="0094596A"/>
    <w:rsid w:val="0094679F"/>
    <w:rsid w:val="00946EBD"/>
    <w:rsid w:val="00946FB3"/>
    <w:rsid w:val="00946FCA"/>
    <w:rsid w:val="00947E1C"/>
    <w:rsid w:val="009509D2"/>
    <w:rsid w:val="00953AAD"/>
    <w:rsid w:val="00953F21"/>
    <w:rsid w:val="009554B4"/>
    <w:rsid w:val="00955EBD"/>
    <w:rsid w:val="00955F43"/>
    <w:rsid w:val="009561B7"/>
    <w:rsid w:val="009564DC"/>
    <w:rsid w:val="009566A7"/>
    <w:rsid w:val="00956A2C"/>
    <w:rsid w:val="00956BA7"/>
    <w:rsid w:val="00957A0F"/>
    <w:rsid w:val="009613A1"/>
    <w:rsid w:val="009615CC"/>
    <w:rsid w:val="00961684"/>
    <w:rsid w:val="00961FB0"/>
    <w:rsid w:val="00962363"/>
    <w:rsid w:val="00962BAA"/>
    <w:rsid w:val="00962EB8"/>
    <w:rsid w:val="0096327E"/>
    <w:rsid w:val="00965185"/>
    <w:rsid w:val="00966A89"/>
    <w:rsid w:val="00966ADC"/>
    <w:rsid w:val="00966E55"/>
    <w:rsid w:val="00966F95"/>
    <w:rsid w:val="00967393"/>
    <w:rsid w:val="009678D4"/>
    <w:rsid w:val="00970909"/>
    <w:rsid w:val="00970EE5"/>
    <w:rsid w:val="009713B8"/>
    <w:rsid w:val="0097289C"/>
    <w:rsid w:val="00973705"/>
    <w:rsid w:val="00973CA6"/>
    <w:rsid w:val="0097422E"/>
    <w:rsid w:val="00974236"/>
    <w:rsid w:val="009747AD"/>
    <w:rsid w:val="00974870"/>
    <w:rsid w:val="00974952"/>
    <w:rsid w:val="00974C34"/>
    <w:rsid w:val="009751EF"/>
    <w:rsid w:val="009754C7"/>
    <w:rsid w:val="009758A9"/>
    <w:rsid w:val="00975A37"/>
    <w:rsid w:val="00975D08"/>
    <w:rsid w:val="0097667C"/>
    <w:rsid w:val="00976CE6"/>
    <w:rsid w:val="00977537"/>
    <w:rsid w:val="009775E7"/>
    <w:rsid w:val="00980626"/>
    <w:rsid w:val="00981A36"/>
    <w:rsid w:val="00981BA4"/>
    <w:rsid w:val="00981CB3"/>
    <w:rsid w:val="00982E6D"/>
    <w:rsid w:val="0098320F"/>
    <w:rsid w:val="009833FF"/>
    <w:rsid w:val="009839A1"/>
    <w:rsid w:val="00983CE4"/>
    <w:rsid w:val="00984162"/>
    <w:rsid w:val="00984279"/>
    <w:rsid w:val="00984A5E"/>
    <w:rsid w:val="00984CBF"/>
    <w:rsid w:val="00984D98"/>
    <w:rsid w:val="009854F7"/>
    <w:rsid w:val="00985ECA"/>
    <w:rsid w:val="00986505"/>
    <w:rsid w:val="00986B48"/>
    <w:rsid w:val="00986BD7"/>
    <w:rsid w:val="009875EE"/>
    <w:rsid w:val="00987B3D"/>
    <w:rsid w:val="00987CAF"/>
    <w:rsid w:val="00987D38"/>
    <w:rsid w:val="0099060B"/>
    <w:rsid w:val="009917F5"/>
    <w:rsid w:val="00992137"/>
    <w:rsid w:val="009925AB"/>
    <w:rsid w:val="0099299F"/>
    <w:rsid w:val="009929B1"/>
    <w:rsid w:val="00992ECB"/>
    <w:rsid w:val="00993A7B"/>
    <w:rsid w:val="00993B2F"/>
    <w:rsid w:val="00993E8F"/>
    <w:rsid w:val="00994667"/>
    <w:rsid w:val="00994809"/>
    <w:rsid w:val="0099491B"/>
    <w:rsid w:val="00994D11"/>
    <w:rsid w:val="00995441"/>
    <w:rsid w:val="00995FE1"/>
    <w:rsid w:val="0099614D"/>
    <w:rsid w:val="00996C8D"/>
    <w:rsid w:val="0099749C"/>
    <w:rsid w:val="009977FC"/>
    <w:rsid w:val="00997946"/>
    <w:rsid w:val="00997FE1"/>
    <w:rsid w:val="009A0156"/>
    <w:rsid w:val="009A0C9D"/>
    <w:rsid w:val="009A0EAC"/>
    <w:rsid w:val="009A1173"/>
    <w:rsid w:val="009A1EE3"/>
    <w:rsid w:val="009A241F"/>
    <w:rsid w:val="009A2895"/>
    <w:rsid w:val="009A30AC"/>
    <w:rsid w:val="009A31F3"/>
    <w:rsid w:val="009A390E"/>
    <w:rsid w:val="009A39F9"/>
    <w:rsid w:val="009A3F6B"/>
    <w:rsid w:val="009A4885"/>
    <w:rsid w:val="009A4925"/>
    <w:rsid w:val="009A4D1A"/>
    <w:rsid w:val="009A5DF1"/>
    <w:rsid w:val="009A6827"/>
    <w:rsid w:val="009B018D"/>
    <w:rsid w:val="009B0FEE"/>
    <w:rsid w:val="009B12CC"/>
    <w:rsid w:val="009B15A2"/>
    <w:rsid w:val="009B1EB8"/>
    <w:rsid w:val="009B2035"/>
    <w:rsid w:val="009B236A"/>
    <w:rsid w:val="009B248B"/>
    <w:rsid w:val="009B2C23"/>
    <w:rsid w:val="009B3B46"/>
    <w:rsid w:val="009B3C2C"/>
    <w:rsid w:val="009B4254"/>
    <w:rsid w:val="009B4387"/>
    <w:rsid w:val="009B4781"/>
    <w:rsid w:val="009B53B2"/>
    <w:rsid w:val="009B5603"/>
    <w:rsid w:val="009B5647"/>
    <w:rsid w:val="009B60C3"/>
    <w:rsid w:val="009B6818"/>
    <w:rsid w:val="009B69D9"/>
    <w:rsid w:val="009B6CCF"/>
    <w:rsid w:val="009B7072"/>
    <w:rsid w:val="009B76A4"/>
    <w:rsid w:val="009B7A02"/>
    <w:rsid w:val="009B7A30"/>
    <w:rsid w:val="009B7DC7"/>
    <w:rsid w:val="009C0659"/>
    <w:rsid w:val="009C097D"/>
    <w:rsid w:val="009C0E10"/>
    <w:rsid w:val="009C0F4C"/>
    <w:rsid w:val="009C11DE"/>
    <w:rsid w:val="009C1286"/>
    <w:rsid w:val="009C12B2"/>
    <w:rsid w:val="009C1307"/>
    <w:rsid w:val="009C146E"/>
    <w:rsid w:val="009C1518"/>
    <w:rsid w:val="009C1780"/>
    <w:rsid w:val="009C19B2"/>
    <w:rsid w:val="009C2677"/>
    <w:rsid w:val="009C28AE"/>
    <w:rsid w:val="009C298C"/>
    <w:rsid w:val="009C30A2"/>
    <w:rsid w:val="009C3810"/>
    <w:rsid w:val="009C496D"/>
    <w:rsid w:val="009C521C"/>
    <w:rsid w:val="009C5279"/>
    <w:rsid w:val="009C53EF"/>
    <w:rsid w:val="009C593F"/>
    <w:rsid w:val="009C59FE"/>
    <w:rsid w:val="009C6A48"/>
    <w:rsid w:val="009C70FA"/>
    <w:rsid w:val="009C7A3E"/>
    <w:rsid w:val="009C7E1B"/>
    <w:rsid w:val="009D0094"/>
    <w:rsid w:val="009D02AE"/>
    <w:rsid w:val="009D0795"/>
    <w:rsid w:val="009D0ED5"/>
    <w:rsid w:val="009D1464"/>
    <w:rsid w:val="009D1887"/>
    <w:rsid w:val="009D1AF7"/>
    <w:rsid w:val="009D2614"/>
    <w:rsid w:val="009D2EAE"/>
    <w:rsid w:val="009D3A94"/>
    <w:rsid w:val="009D3D5F"/>
    <w:rsid w:val="009D40CC"/>
    <w:rsid w:val="009D418A"/>
    <w:rsid w:val="009D4259"/>
    <w:rsid w:val="009D4306"/>
    <w:rsid w:val="009D4428"/>
    <w:rsid w:val="009D4F62"/>
    <w:rsid w:val="009D4FEA"/>
    <w:rsid w:val="009D5044"/>
    <w:rsid w:val="009D62E7"/>
    <w:rsid w:val="009D657C"/>
    <w:rsid w:val="009D6AAB"/>
    <w:rsid w:val="009D6E22"/>
    <w:rsid w:val="009D7436"/>
    <w:rsid w:val="009D7F50"/>
    <w:rsid w:val="009E049F"/>
    <w:rsid w:val="009E0B4C"/>
    <w:rsid w:val="009E0FF7"/>
    <w:rsid w:val="009E24BD"/>
    <w:rsid w:val="009E27B8"/>
    <w:rsid w:val="009E2939"/>
    <w:rsid w:val="009E293A"/>
    <w:rsid w:val="009E2F4E"/>
    <w:rsid w:val="009E3905"/>
    <w:rsid w:val="009E45F6"/>
    <w:rsid w:val="009E4BAD"/>
    <w:rsid w:val="009E4BB9"/>
    <w:rsid w:val="009E56EB"/>
    <w:rsid w:val="009E5F54"/>
    <w:rsid w:val="009E6681"/>
    <w:rsid w:val="009E72F5"/>
    <w:rsid w:val="009E7CDC"/>
    <w:rsid w:val="009E7E75"/>
    <w:rsid w:val="009F07C7"/>
    <w:rsid w:val="009F0A96"/>
    <w:rsid w:val="009F0C7E"/>
    <w:rsid w:val="009F0D7E"/>
    <w:rsid w:val="009F109F"/>
    <w:rsid w:val="009F115E"/>
    <w:rsid w:val="009F14DD"/>
    <w:rsid w:val="009F21AC"/>
    <w:rsid w:val="009F21B6"/>
    <w:rsid w:val="009F2B94"/>
    <w:rsid w:val="009F2D0C"/>
    <w:rsid w:val="009F34B1"/>
    <w:rsid w:val="009F4595"/>
    <w:rsid w:val="009F4A5B"/>
    <w:rsid w:val="009F4D72"/>
    <w:rsid w:val="009F5A5F"/>
    <w:rsid w:val="009F5A62"/>
    <w:rsid w:val="009F5D81"/>
    <w:rsid w:val="009F618B"/>
    <w:rsid w:val="009F61AC"/>
    <w:rsid w:val="009F6506"/>
    <w:rsid w:val="009F6EBB"/>
    <w:rsid w:val="009F6F4A"/>
    <w:rsid w:val="009F73C9"/>
    <w:rsid w:val="009F7A03"/>
    <w:rsid w:val="00A00273"/>
    <w:rsid w:val="00A00488"/>
    <w:rsid w:val="00A0092F"/>
    <w:rsid w:val="00A00B7C"/>
    <w:rsid w:val="00A00DBE"/>
    <w:rsid w:val="00A01C66"/>
    <w:rsid w:val="00A01D9C"/>
    <w:rsid w:val="00A02217"/>
    <w:rsid w:val="00A02295"/>
    <w:rsid w:val="00A02818"/>
    <w:rsid w:val="00A029BF"/>
    <w:rsid w:val="00A03072"/>
    <w:rsid w:val="00A03936"/>
    <w:rsid w:val="00A03AC5"/>
    <w:rsid w:val="00A03C4E"/>
    <w:rsid w:val="00A05002"/>
    <w:rsid w:val="00A051C3"/>
    <w:rsid w:val="00A05253"/>
    <w:rsid w:val="00A057F4"/>
    <w:rsid w:val="00A0592F"/>
    <w:rsid w:val="00A05BFA"/>
    <w:rsid w:val="00A05DAA"/>
    <w:rsid w:val="00A06035"/>
    <w:rsid w:val="00A06060"/>
    <w:rsid w:val="00A070FF"/>
    <w:rsid w:val="00A07699"/>
    <w:rsid w:val="00A07BF0"/>
    <w:rsid w:val="00A07C9C"/>
    <w:rsid w:val="00A07DD0"/>
    <w:rsid w:val="00A1024B"/>
    <w:rsid w:val="00A109D3"/>
    <w:rsid w:val="00A10D5A"/>
    <w:rsid w:val="00A1118F"/>
    <w:rsid w:val="00A11EBC"/>
    <w:rsid w:val="00A1221F"/>
    <w:rsid w:val="00A133D9"/>
    <w:rsid w:val="00A13E4A"/>
    <w:rsid w:val="00A143EF"/>
    <w:rsid w:val="00A146CD"/>
    <w:rsid w:val="00A151FA"/>
    <w:rsid w:val="00A1583F"/>
    <w:rsid w:val="00A15B43"/>
    <w:rsid w:val="00A15C7A"/>
    <w:rsid w:val="00A16344"/>
    <w:rsid w:val="00A16831"/>
    <w:rsid w:val="00A1691E"/>
    <w:rsid w:val="00A17747"/>
    <w:rsid w:val="00A17D8B"/>
    <w:rsid w:val="00A17DB8"/>
    <w:rsid w:val="00A17DC4"/>
    <w:rsid w:val="00A2054C"/>
    <w:rsid w:val="00A2102C"/>
    <w:rsid w:val="00A2197B"/>
    <w:rsid w:val="00A21A71"/>
    <w:rsid w:val="00A21B13"/>
    <w:rsid w:val="00A22005"/>
    <w:rsid w:val="00A22484"/>
    <w:rsid w:val="00A229E8"/>
    <w:rsid w:val="00A22F50"/>
    <w:rsid w:val="00A233BC"/>
    <w:rsid w:val="00A23659"/>
    <w:rsid w:val="00A23ACA"/>
    <w:rsid w:val="00A24317"/>
    <w:rsid w:val="00A245BF"/>
    <w:rsid w:val="00A24CB6"/>
    <w:rsid w:val="00A24E80"/>
    <w:rsid w:val="00A25206"/>
    <w:rsid w:val="00A25E24"/>
    <w:rsid w:val="00A260D4"/>
    <w:rsid w:val="00A2703E"/>
    <w:rsid w:val="00A2731E"/>
    <w:rsid w:val="00A273BA"/>
    <w:rsid w:val="00A27D8C"/>
    <w:rsid w:val="00A30580"/>
    <w:rsid w:val="00A3064E"/>
    <w:rsid w:val="00A3078F"/>
    <w:rsid w:val="00A30D5B"/>
    <w:rsid w:val="00A313D7"/>
    <w:rsid w:val="00A318BD"/>
    <w:rsid w:val="00A3199F"/>
    <w:rsid w:val="00A31D4E"/>
    <w:rsid w:val="00A31F82"/>
    <w:rsid w:val="00A324C4"/>
    <w:rsid w:val="00A3291B"/>
    <w:rsid w:val="00A333A3"/>
    <w:rsid w:val="00A33953"/>
    <w:rsid w:val="00A33A0A"/>
    <w:rsid w:val="00A34516"/>
    <w:rsid w:val="00A34619"/>
    <w:rsid w:val="00A34BDA"/>
    <w:rsid w:val="00A34BE9"/>
    <w:rsid w:val="00A35648"/>
    <w:rsid w:val="00A35853"/>
    <w:rsid w:val="00A366A8"/>
    <w:rsid w:val="00A36932"/>
    <w:rsid w:val="00A3695E"/>
    <w:rsid w:val="00A3784B"/>
    <w:rsid w:val="00A37A49"/>
    <w:rsid w:val="00A37E0B"/>
    <w:rsid w:val="00A40134"/>
    <w:rsid w:val="00A4074C"/>
    <w:rsid w:val="00A40ED4"/>
    <w:rsid w:val="00A40F6D"/>
    <w:rsid w:val="00A4158A"/>
    <w:rsid w:val="00A41CA5"/>
    <w:rsid w:val="00A422BB"/>
    <w:rsid w:val="00A422C8"/>
    <w:rsid w:val="00A42A65"/>
    <w:rsid w:val="00A4322D"/>
    <w:rsid w:val="00A43232"/>
    <w:rsid w:val="00A438FA"/>
    <w:rsid w:val="00A444B3"/>
    <w:rsid w:val="00A44A23"/>
    <w:rsid w:val="00A44BC5"/>
    <w:rsid w:val="00A4510F"/>
    <w:rsid w:val="00A45E78"/>
    <w:rsid w:val="00A46876"/>
    <w:rsid w:val="00A4692E"/>
    <w:rsid w:val="00A472EF"/>
    <w:rsid w:val="00A50503"/>
    <w:rsid w:val="00A5083F"/>
    <w:rsid w:val="00A5113B"/>
    <w:rsid w:val="00A511C0"/>
    <w:rsid w:val="00A52F7C"/>
    <w:rsid w:val="00A53963"/>
    <w:rsid w:val="00A5402D"/>
    <w:rsid w:val="00A545E8"/>
    <w:rsid w:val="00A54C77"/>
    <w:rsid w:val="00A55393"/>
    <w:rsid w:val="00A56F48"/>
    <w:rsid w:val="00A57144"/>
    <w:rsid w:val="00A57B7D"/>
    <w:rsid w:val="00A57C19"/>
    <w:rsid w:val="00A57CB9"/>
    <w:rsid w:val="00A602DC"/>
    <w:rsid w:val="00A605AF"/>
    <w:rsid w:val="00A605E3"/>
    <w:rsid w:val="00A60936"/>
    <w:rsid w:val="00A61587"/>
    <w:rsid w:val="00A61813"/>
    <w:rsid w:val="00A61D1D"/>
    <w:rsid w:val="00A62349"/>
    <w:rsid w:val="00A63610"/>
    <w:rsid w:val="00A63BAA"/>
    <w:rsid w:val="00A63DCE"/>
    <w:rsid w:val="00A65270"/>
    <w:rsid w:val="00A653CB"/>
    <w:rsid w:val="00A6563F"/>
    <w:rsid w:val="00A65A72"/>
    <w:rsid w:val="00A65B78"/>
    <w:rsid w:val="00A65CCC"/>
    <w:rsid w:val="00A65F15"/>
    <w:rsid w:val="00A66CAF"/>
    <w:rsid w:val="00A670F4"/>
    <w:rsid w:val="00A671D2"/>
    <w:rsid w:val="00A7046B"/>
    <w:rsid w:val="00A7066C"/>
    <w:rsid w:val="00A70859"/>
    <w:rsid w:val="00A70E7F"/>
    <w:rsid w:val="00A70F12"/>
    <w:rsid w:val="00A715DC"/>
    <w:rsid w:val="00A716EF"/>
    <w:rsid w:val="00A72A52"/>
    <w:rsid w:val="00A72CD5"/>
    <w:rsid w:val="00A72D6C"/>
    <w:rsid w:val="00A72F68"/>
    <w:rsid w:val="00A73770"/>
    <w:rsid w:val="00A73921"/>
    <w:rsid w:val="00A73C8C"/>
    <w:rsid w:val="00A73ED7"/>
    <w:rsid w:val="00A74772"/>
    <w:rsid w:val="00A74A29"/>
    <w:rsid w:val="00A752AE"/>
    <w:rsid w:val="00A753F7"/>
    <w:rsid w:val="00A75403"/>
    <w:rsid w:val="00A75791"/>
    <w:rsid w:val="00A757A5"/>
    <w:rsid w:val="00A75868"/>
    <w:rsid w:val="00A75B03"/>
    <w:rsid w:val="00A75B6D"/>
    <w:rsid w:val="00A75B7C"/>
    <w:rsid w:val="00A75EDD"/>
    <w:rsid w:val="00A75FB0"/>
    <w:rsid w:val="00A776E7"/>
    <w:rsid w:val="00A77A17"/>
    <w:rsid w:val="00A81490"/>
    <w:rsid w:val="00A8160D"/>
    <w:rsid w:val="00A8189F"/>
    <w:rsid w:val="00A827BD"/>
    <w:rsid w:val="00A836AC"/>
    <w:rsid w:val="00A84F5C"/>
    <w:rsid w:val="00A852D0"/>
    <w:rsid w:val="00A854ED"/>
    <w:rsid w:val="00A85700"/>
    <w:rsid w:val="00A85924"/>
    <w:rsid w:val="00A859F9"/>
    <w:rsid w:val="00A85D8F"/>
    <w:rsid w:val="00A86362"/>
    <w:rsid w:val="00A86433"/>
    <w:rsid w:val="00A86809"/>
    <w:rsid w:val="00A86900"/>
    <w:rsid w:val="00A8744C"/>
    <w:rsid w:val="00A8760B"/>
    <w:rsid w:val="00A87DC2"/>
    <w:rsid w:val="00A87DFC"/>
    <w:rsid w:val="00A90327"/>
    <w:rsid w:val="00A906A2"/>
    <w:rsid w:val="00A90A05"/>
    <w:rsid w:val="00A90AB6"/>
    <w:rsid w:val="00A90FF4"/>
    <w:rsid w:val="00A9165F"/>
    <w:rsid w:val="00A91AB4"/>
    <w:rsid w:val="00A92481"/>
    <w:rsid w:val="00A929A6"/>
    <w:rsid w:val="00A92C66"/>
    <w:rsid w:val="00A93287"/>
    <w:rsid w:val="00A936C5"/>
    <w:rsid w:val="00A93CE5"/>
    <w:rsid w:val="00A93D3F"/>
    <w:rsid w:val="00A93E7C"/>
    <w:rsid w:val="00A94918"/>
    <w:rsid w:val="00A951E0"/>
    <w:rsid w:val="00A956E3"/>
    <w:rsid w:val="00A95823"/>
    <w:rsid w:val="00A95A21"/>
    <w:rsid w:val="00A95B0D"/>
    <w:rsid w:val="00A96038"/>
    <w:rsid w:val="00A961BD"/>
    <w:rsid w:val="00A96516"/>
    <w:rsid w:val="00A96B6B"/>
    <w:rsid w:val="00A96C04"/>
    <w:rsid w:val="00A96E25"/>
    <w:rsid w:val="00A96E7F"/>
    <w:rsid w:val="00A970A0"/>
    <w:rsid w:val="00A972D1"/>
    <w:rsid w:val="00A97339"/>
    <w:rsid w:val="00A97385"/>
    <w:rsid w:val="00A978E0"/>
    <w:rsid w:val="00A979F3"/>
    <w:rsid w:val="00A97FE9"/>
    <w:rsid w:val="00AA0791"/>
    <w:rsid w:val="00AA07BC"/>
    <w:rsid w:val="00AA12CD"/>
    <w:rsid w:val="00AA1476"/>
    <w:rsid w:val="00AA161D"/>
    <w:rsid w:val="00AA16B7"/>
    <w:rsid w:val="00AA2B8C"/>
    <w:rsid w:val="00AA36B1"/>
    <w:rsid w:val="00AA434C"/>
    <w:rsid w:val="00AA4790"/>
    <w:rsid w:val="00AA4966"/>
    <w:rsid w:val="00AA4F80"/>
    <w:rsid w:val="00AA529F"/>
    <w:rsid w:val="00AA5544"/>
    <w:rsid w:val="00AA5B21"/>
    <w:rsid w:val="00AA5FF0"/>
    <w:rsid w:val="00AA65B6"/>
    <w:rsid w:val="00AA6806"/>
    <w:rsid w:val="00AA696F"/>
    <w:rsid w:val="00AA6F76"/>
    <w:rsid w:val="00AA73C4"/>
    <w:rsid w:val="00AA7B4A"/>
    <w:rsid w:val="00AA7BFD"/>
    <w:rsid w:val="00AB0514"/>
    <w:rsid w:val="00AB0B15"/>
    <w:rsid w:val="00AB0ECD"/>
    <w:rsid w:val="00AB11DD"/>
    <w:rsid w:val="00AB1FAF"/>
    <w:rsid w:val="00AB2826"/>
    <w:rsid w:val="00AB2E9D"/>
    <w:rsid w:val="00AB3C9E"/>
    <w:rsid w:val="00AB40C4"/>
    <w:rsid w:val="00AB4292"/>
    <w:rsid w:val="00AB451A"/>
    <w:rsid w:val="00AB4B53"/>
    <w:rsid w:val="00AB4E8B"/>
    <w:rsid w:val="00AB510D"/>
    <w:rsid w:val="00AB53F0"/>
    <w:rsid w:val="00AB543D"/>
    <w:rsid w:val="00AB5A00"/>
    <w:rsid w:val="00AB5A53"/>
    <w:rsid w:val="00AB634F"/>
    <w:rsid w:val="00AB6EEC"/>
    <w:rsid w:val="00AB7BB8"/>
    <w:rsid w:val="00AC0299"/>
    <w:rsid w:val="00AC035B"/>
    <w:rsid w:val="00AC06B1"/>
    <w:rsid w:val="00AC0ADD"/>
    <w:rsid w:val="00AC1616"/>
    <w:rsid w:val="00AC1926"/>
    <w:rsid w:val="00AC20DC"/>
    <w:rsid w:val="00AC2AD1"/>
    <w:rsid w:val="00AC2E5D"/>
    <w:rsid w:val="00AC34ED"/>
    <w:rsid w:val="00AC35D0"/>
    <w:rsid w:val="00AC3797"/>
    <w:rsid w:val="00AC38B1"/>
    <w:rsid w:val="00AC3DC6"/>
    <w:rsid w:val="00AC430A"/>
    <w:rsid w:val="00AC43EE"/>
    <w:rsid w:val="00AC622C"/>
    <w:rsid w:val="00AC67DE"/>
    <w:rsid w:val="00AC6B07"/>
    <w:rsid w:val="00AC6EB3"/>
    <w:rsid w:val="00AC76B1"/>
    <w:rsid w:val="00AC791B"/>
    <w:rsid w:val="00AC9D83"/>
    <w:rsid w:val="00AD067F"/>
    <w:rsid w:val="00AD0BBA"/>
    <w:rsid w:val="00AD0CCA"/>
    <w:rsid w:val="00AD0D42"/>
    <w:rsid w:val="00AD0DD4"/>
    <w:rsid w:val="00AD10E8"/>
    <w:rsid w:val="00AD283B"/>
    <w:rsid w:val="00AD3928"/>
    <w:rsid w:val="00AD3BFD"/>
    <w:rsid w:val="00AD4046"/>
    <w:rsid w:val="00AD4070"/>
    <w:rsid w:val="00AD419A"/>
    <w:rsid w:val="00AD441D"/>
    <w:rsid w:val="00AD4508"/>
    <w:rsid w:val="00AD48C2"/>
    <w:rsid w:val="00AD4D67"/>
    <w:rsid w:val="00AD68EC"/>
    <w:rsid w:val="00AD776A"/>
    <w:rsid w:val="00AD7E3D"/>
    <w:rsid w:val="00AD7EA0"/>
    <w:rsid w:val="00AE115D"/>
    <w:rsid w:val="00AE1521"/>
    <w:rsid w:val="00AE1918"/>
    <w:rsid w:val="00AE1BDA"/>
    <w:rsid w:val="00AE1E69"/>
    <w:rsid w:val="00AE2B36"/>
    <w:rsid w:val="00AE368C"/>
    <w:rsid w:val="00AE3A11"/>
    <w:rsid w:val="00AE3E8B"/>
    <w:rsid w:val="00AE69D7"/>
    <w:rsid w:val="00AE6F00"/>
    <w:rsid w:val="00AE71E2"/>
    <w:rsid w:val="00AE7B7D"/>
    <w:rsid w:val="00AF02CF"/>
    <w:rsid w:val="00AF09AB"/>
    <w:rsid w:val="00AF0D6B"/>
    <w:rsid w:val="00AF134F"/>
    <w:rsid w:val="00AF1DE7"/>
    <w:rsid w:val="00AF288E"/>
    <w:rsid w:val="00AF29B8"/>
    <w:rsid w:val="00AF2BB2"/>
    <w:rsid w:val="00AF3509"/>
    <w:rsid w:val="00AF393E"/>
    <w:rsid w:val="00AF3A50"/>
    <w:rsid w:val="00AF4266"/>
    <w:rsid w:val="00AF4A04"/>
    <w:rsid w:val="00AF4BE3"/>
    <w:rsid w:val="00AF4F90"/>
    <w:rsid w:val="00AF4FF2"/>
    <w:rsid w:val="00AF5301"/>
    <w:rsid w:val="00AF5817"/>
    <w:rsid w:val="00AF6699"/>
    <w:rsid w:val="00AF6749"/>
    <w:rsid w:val="00AF6A9C"/>
    <w:rsid w:val="00AF6BBA"/>
    <w:rsid w:val="00AF7088"/>
    <w:rsid w:val="00B003FE"/>
    <w:rsid w:val="00B00981"/>
    <w:rsid w:val="00B0165D"/>
    <w:rsid w:val="00B0186F"/>
    <w:rsid w:val="00B022A8"/>
    <w:rsid w:val="00B0239F"/>
    <w:rsid w:val="00B025DE"/>
    <w:rsid w:val="00B026F9"/>
    <w:rsid w:val="00B02798"/>
    <w:rsid w:val="00B029CA"/>
    <w:rsid w:val="00B02CBC"/>
    <w:rsid w:val="00B0353A"/>
    <w:rsid w:val="00B03919"/>
    <w:rsid w:val="00B0438E"/>
    <w:rsid w:val="00B0483D"/>
    <w:rsid w:val="00B049EB"/>
    <w:rsid w:val="00B04E44"/>
    <w:rsid w:val="00B05317"/>
    <w:rsid w:val="00B0582B"/>
    <w:rsid w:val="00B05CE6"/>
    <w:rsid w:val="00B05F96"/>
    <w:rsid w:val="00B068F2"/>
    <w:rsid w:val="00B07209"/>
    <w:rsid w:val="00B078FB"/>
    <w:rsid w:val="00B07AA3"/>
    <w:rsid w:val="00B07AE5"/>
    <w:rsid w:val="00B07F5F"/>
    <w:rsid w:val="00B07F9E"/>
    <w:rsid w:val="00B1024D"/>
    <w:rsid w:val="00B10A7C"/>
    <w:rsid w:val="00B114EE"/>
    <w:rsid w:val="00B115FF"/>
    <w:rsid w:val="00B122FA"/>
    <w:rsid w:val="00B126A0"/>
    <w:rsid w:val="00B1281F"/>
    <w:rsid w:val="00B12FAE"/>
    <w:rsid w:val="00B133E1"/>
    <w:rsid w:val="00B135D1"/>
    <w:rsid w:val="00B15C3D"/>
    <w:rsid w:val="00B15E49"/>
    <w:rsid w:val="00B1652F"/>
    <w:rsid w:val="00B16589"/>
    <w:rsid w:val="00B16970"/>
    <w:rsid w:val="00B16A54"/>
    <w:rsid w:val="00B1719A"/>
    <w:rsid w:val="00B17317"/>
    <w:rsid w:val="00B17822"/>
    <w:rsid w:val="00B17877"/>
    <w:rsid w:val="00B17B5D"/>
    <w:rsid w:val="00B20FA0"/>
    <w:rsid w:val="00B2123A"/>
    <w:rsid w:val="00B213E9"/>
    <w:rsid w:val="00B21866"/>
    <w:rsid w:val="00B21A43"/>
    <w:rsid w:val="00B21E9A"/>
    <w:rsid w:val="00B231C8"/>
    <w:rsid w:val="00B23611"/>
    <w:rsid w:val="00B23B7F"/>
    <w:rsid w:val="00B23E1A"/>
    <w:rsid w:val="00B24232"/>
    <w:rsid w:val="00B258CD"/>
    <w:rsid w:val="00B25B7F"/>
    <w:rsid w:val="00B26178"/>
    <w:rsid w:val="00B26672"/>
    <w:rsid w:val="00B268C5"/>
    <w:rsid w:val="00B26FE7"/>
    <w:rsid w:val="00B272B7"/>
    <w:rsid w:val="00B27352"/>
    <w:rsid w:val="00B302FD"/>
    <w:rsid w:val="00B31AC1"/>
    <w:rsid w:val="00B32DC0"/>
    <w:rsid w:val="00B32FD7"/>
    <w:rsid w:val="00B3322D"/>
    <w:rsid w:val="00B3329C"/>
    <w:rsid w:val="00B33325"/>
    <w:rsid w:val="00B34789"/>
    <w:rsid w:val="00B34B8F"/>
    <w:rsid w:val="00B36A7C"/>
    <w:rsid w:val="00B36C28"/>
    <w:rsid w:val="00B36DAC"/>
    <w:rsid w:val="00B37451"/>
    <w:rsid w:val="00B375A5"/>
    <w:rsid w:val="00B37688"/>
    <w:rsid w:val="00B402A3"/>
    <w:rsid w:val="00B402A8"/>
    <w:rsid w:val="00B4132D"/>
    <w:rsid w:val="00B416A2"/>
    <w:rsid w:val="00B41949"/>
    <w:rsid w:val="00B41FA5"/>
    <w:rsid w:val="00B422ED"/>
    <w:rsid w:val="00B4242F"/>
    <w:rsid w:val="00B42467"/>
    <w:rsid w:val="00B424CA"/>
    <w:rsid w:val="00B42F6E"/>
    <w:rsid w:val="00B43ACE"/>
    <w:rsid w:val="00B43EBC"/>
    <w:rsid w:val="00B442F5"/>
    <w:rsid w:val="00B443E7"/>
    <w:rsid w:val="00B444E3"/>
    <w:rsid w:val="00B44D38"/>
    <w:rsid w:val="00B45730"/>
    <w:rsid w:val="00B45B9C"/>
    <w:rsid w:val="00B45FA8"/>
    <w:rsid w:val="00B46208"/>
    <w:rsid w:val="00B466C6"/>
    <w:rsid w:val="00B46E83"/>
    <w:rsid w:val="00B470ED"/>
    <w:rsid w:val="00B501E8"/>
    <w:rsid w:val="00B5050D"/>
    <w:rsid w:val="00B507F8"/>
    <w:rsid w:val="00B50B90"/>
    <w:rsid w:val="00B50EB8"/>
    <w:rsid w:val="00B51C2D"/>
    <w:rsid w:val="00B51F93"/>
    <w:rsid w:val="00B52557"/>
    <w:rsid w:val="00B52975"/>
    <w:rsid w:val="00B530DD"/>
    <w:rsid w:val="00B53CCA"/>
    <w:rsid w:val="00B53F45"/>
    <w:rsid w:val="00B54668"/>
    <w:rsid w:val="00B549D5"/>
    <w:rsid w:val="00B554E5"/>
    <w:rsid w:val="00B55715"/>
    <w:rsid w:val="00B565FF"/>
    <w:rsid w:val="00B566B8"/>
    <w:rsid w:val="00B571B6"/>
    <w:rsid w:val="00B572F1"/>
    <w:rsid w:val="00B576CB"/>
    <w:rsid w:val="00B579A4"/>
    <w:rsid w:val="00B57DE3"/>
    <w:rsid w:val="00B60185"/>
    <w:rsid w:val="00B601E6"/>
    <w:rsid w:val="00B606E9"/>
    <w:rsid w:val="00B60745"/>
    <w:rsid w:val="00B607ED"/>
    <w:rsid w:val="00B614B3"/>
    <w:rsid w:val="00B61548"/>
    <w:rsid w:val="00B615CD"/>
    <w:rsid w:val="00B6170B"/>
    <w:rsid w:val="00B617C9"/>
    <w:rsid w:val="00B63126"/>
    <w:rsid w:val="00B63442"/>
    <w:rsid w:val="00B6374C"/>
    <w:rsid w:val="00B63AE2"/>
    <w:rsid w:val="00B63B82"/>
    <w:rsid w:val="00B63E47"/>
    <w:rsid w:val="00B641AF"/>
    <w:rsid w:val="00B64C1F"/>
    <w:rsid w:val="00B6515C"/>
    <w:rsid w:val="00B65581"/>
    <w:rsid w:val="00B659A9"/>
    <w:rsid w:val="00B65A3E"/>
    <w:rsid w:val="00B65D39"/>
    <w:rsid w:val="00B66B23"/>
    <w:rsid w:val="00B671E3"/>
    <w:rsid w:val="00B67DA9"/>
    <w:rsid w:val="00B67EC3"/>
    <w:rsid w:val="00B7055B"/>
    <w:rsid w:val="00B7058F"/>
    <w:rsid w:val="00B707D8"/>
    <w:rsid w:val="00B70CA6"/>
    <w:rsid w:val="00B70E4F"/>
    <w:rsid w:val="00B7136A"/>
    <w:rsid w:val="00B71BD7"/>
    <w:rsid w:val="00B71EDE"/>
    <w:rsid w:val="00B7227B"/>
    <w:rsid w:val="00B72A84"/>
    <w:rsid w:val="00B742E5"/>
    <w:rsid w:val="00B7435B"/>
    <w:rsid w:val="00B74AA1"/>
    <w:rsid w:val="00B74E6C"/>
    <w:rsid w:val="00B74F19"/>
    <w:rsid w:val="00B75564"/>
    <w:rsid w:val="00B75A48"/>
    <w:rsid w:val="00B75AF4"/>
    <w:rsid w:val="00B75E67"/>
    <w:rsid w:val="00B75F5F"/>
    <w:rsid w:val="00B76DD0"/>
    <w:rsid w:val="00B7769E"/>
    <w:rsid w:val="00B77D38"/>
    <w:rsid w:val="00B77EE1"/>
    <w:rsid w:val="00B803CA"/>
    <w:rsid w:val="00B80581"/>
    <w:rsid w:val="00B80C56"/>
    <w:rsid w:val="00B80DEC"/>
    <w:rsid w:val="00B810FD"/>
    <w:rsid w:val="00B81774"/>
    <w:rsid w:val="00B83002"/>
    <w:rsid w:val="00B8307C"/>
    <w:rsid w:val="00B8313F"/>
    <w:rsid w:val="00B833FE"/>
    <w:rsid w:val="00B84A10"/>
    <w:rsid w:val="00B84C11"/>
    <w:rsid w:val="00B854BA"/>
    <w:rsid w:val="00B85E7E"/>
    <w:rsid w:val="00B85F44"/>
    <w:rsid w:val="00B86543"/>
    <w:rsid w:val="00B86598"/>
    <w:rsid w:val="00B865AC"/>
    <w:rsid w:val="00B8704E"/>
    <w:rsid w:val="00B87597"/>
    <w:rsid w:val="00B87C06"/>
    <w:rsid w:val="00B91409"/>
    <w:rsid w:val="00B91CBD"/>
    <w:rsid w:val="00B91DFC"/>
    <w:rsid w:val="00B91E17"/>
    <w:rsid w:val="00B91F05"/>
    <w:rsid w:val="00B9256E"/>
    <w:rsid w:val="00B9271A"/>
    <w:rsid w:val="00B92B14"/>
    <w:rsid w:val="00B92CF6"/>
    <w:rsid w:val="00B9355F"/>
    <w:rsid w:val="00B937A5"/>
    <w:rsid w:val="00B93A4F"/>
    <w:rsid w:val="00B93BAF"/>
    <w:rsid w:val="00B93F1B"/>
    <w:rsid w:val="00B94130"/>
    <w:rsid w:val="00B946EA"/>
    <w:rsid w:val="00B94E58"/>
    <w:rsid w:val="00B95125"/>
    <w:rsid w:val="00B95747"/>
    <w:rsid w:val="00B95E26"/>
    <w:rsid w:val="00B96480"/>
    <w:rsid w:val="00B97954"/>
    <w:rsid w:val="00B97D14"/>
    <w:rsid w:val="00BA0843"/>
    <w:rsid w:val="00BA14AE"/>
    <w:rsid w:val="00BA2763"/>
    <w:rsid w:val="00BA283C"/>
    <w:rsid w:val="00BA2C14"/>
    <w:rsid w:val="00BA2D0F"/>
    <w:rsid w:val="00BA3652"/>
    <w:rsid w:val="00BA3C88"/>
    <w:rsid w:val="00BA3E9B"/>
    <w:rsid w:val="00BA3F35"/>
    <w:rsid w:val="00BA43F2"/>
    <w:rsid w:val="00BA44AD"/>
    <w:rsid w:val="00BA5974"/>
    <w:rsid w:val="00BA5B30"/>
    <w:rsid w:val="00BA5C65"/>
    <w:rsid w:val="00BA5D19"/>
    <w:rsid w:val="00BA6297"/>
    <w:rsid w:val="00BA6341"/>
    <w:rsid w:val="00BA67C0"/>
    <w:rsid w:val="00BA6F29"/>
    <w:rsid w:val="00BA7349"/>
    <w:rsid w:val="00BA7A57"/>
    <w:rsid w:val="00BB0420"/>
    <w:rsid w:val="00BB1303"/>
    <w:rsid w:val="00BB16E1"/>
    <w:rsid w:val="00BB198B"/>
    <w:rsid w:val="00BB1C76"/>
    <w:rsid w:val="00BB241D"/>
    <w:rsid w:val="00BB2458"/>
    <w:rsid w:val="00BB298B"/>
    <w:rsid w:val="00BB2C0A"/>
    <w:rsid w:val="00BB3F9B"/>
    <w:rsid w:val="00BB48A3"/>
    <w:rsid w:val="00BB5314"/>
    <w:rsid w:val="00BB59A3"/>
    <w:rsid w:val="00BB5A13"/>
    <w:rsid w:val="00BB5FF3"/>
    <w:rsid w:val="00BB66E7"/>
    <w:rsid w:val="00BB66F5"/>
    <w:rsid w:val="00BB6773"/>
    <w:rsid w:val="00BB6F9C"/>
    <w:rsid w:val="00BB71D8"/>
    <w:rsid w:val="00BBA006"/>
    <w:rsid w:val="00BC027C"/>
    <w:rsid w:val="00BC0484"/>
    <w:rsid w:val="00BC076F"/>
    <w:rsid w:val="00BC15E9"/>
    <w:rsid w:val="00BC1645"/>
    <w:rsid w:val="00BC180C"/>
    <w:rsid w:val="00BC18CD"/>
    <w:rsid w:val="00BC191C"/>
    <w:rsid w:val="00BC1B57"/>
    <w:rsid w:val="00BC1F21"/>
    <w:rsid w:val="00BC1FA7"/>
    <w:rsid w:val="00BC1FE7"/>
    <w:rsid w:val="00BC2718"/>
    <w:rsid w:val="00BC2767"/>
    <w:rsid w:val="00BC2AB6"/>
    <w:rsid w:val="00BC2D13"/>
    <w:rsid w:val="00BC2F73"/>
    <w:rsid w:val="00BC3070"/>
    <w:rsid w:val="00BC35C5"/>
    <w:rsid w:val="00BC38B8"/>
    <w:rsid w:val="00BC3B59"/>
    <w:rsid w:val="00BC4060"/>
    <w:rsid w:val="00BC4331"/>
    <w:rsid w:val="00BC4D1A"/>
    <w:rsid w:val="00BC52A6"/>
    <w:rsid w:val="00BC5616"/>
    <w:rsid w:val="00BC577C"/>
    <w:rsid w:val="00BC583F"/>
    <w:rsid w:val="00BC5DE5"/>
    <w:rsid w:val="00BC5FF9"/>
    <w:rsid w:val="00BC60DD"/>
    <w:rsid w:val="00BC6550"/>
    <w:rsid w:val="00BC6AA8"/>
    <w:rsid w:val="00BC7383"/>
    <w:rsid w:val="00BC73ED"/>
    <w:rsid w:val="00BC759C"/>
    <w:rsid w:val="00BC79E2"/>
    <w:rsid w:val="00BC7EFD"/>
    <w:rsid w:val="00BD1592"/>
    <w:rsid w:val="00BD2EDD"/>
    <w:rsid w:val="00BD3256"/>
    <w:rsid w:val="00BD402F"/>
    <w:rsid w:val="00BD41DB"/>
    <w:rsid w:val="00BD46AF"/>
    <w:rsid w:val="00BD4DB1"/>
    <w:rsid w:val="00BD51B0"/>
    <w:rsid w:val="00BD55D1"/>
    <w:rsid w:val="00BD58ED"/>
    <w:rsid w:val="00BD5A9F"/>
    <w:rsid w:val="00BD5FDE"/>
    <w:rsid w:val="00BD621B"/>
    <w:rsid w:val="00BD7205"/>
    <w:rsid w:val="00BD746C"/>
    <w:rsid w:val="00BD7476"/>
    <w:rsid w:val="00BE05AB"/>
    <w:rsid w:val="00BE0D26"/>
    <w:rsid w:val="00BE0F3B"/>
    <w:rsid w:val="00BE1797"/>
    <w:rsid w:val="00BE17BF"/>
    <w:rsid w:val="00BE2183"/>
    <w:rsid w:val="00BE2E25"/>
    <w:rsid w:val="00BE3D32"/>
    <w:rsid w:val="00BE3F85"/>
    <w:rsid w:val="00BE40CF"/>
    <w:rsid w:val="00BE447E"/>
    <w:rsid w:val="00BE4480"/>
    <w:rsid w:val="00BE4484"/>
    <w:rsid w:val="00BE5115"/>
    <w:rsid w:val="00BE515B"/>
    <w:rsid w:val="00BE5596"/>
    <w:rsid w:val="00BE569C"/>
    <w:rsid w:val="00BE56AE"/>
    <w:rsid w:val="00BE59CF"/>
    <w:rsid w:val="00BE5C8B"/>
    <w:rsid w:val="00BE6184"/>
    <w:rsid w:val="00BE724B"/>
    <w:rsid w:val="00BE7D54"/>
    <w:rsid w:val="00BF07FB"/>
    <w:rsid w:val="00BF0A8D"/>
    <w:rsid w:val="00BF0AE4"/>
    <w:rsid w:val="00BF0EEB"/>
    <w:rsid w:val="00BF12EE"/>
    <w:rsid w:val="00BF136E"/>
    <w:rsid w:val="00BF2C84"/>
    <w:rsid w:val="00BF2CAA"/>
    <w:rsid w:val="00BF3C5B"/>
    <w:rsid w:val="00BF400C"/>
    <w:rsid w:val="00BF4B77"/>
    <w:rsid w:val="00BF4D64"/>
    <w:rsid w:val="00BF4F5C"/>
    <w:rsid w:val="00BF4F6E"/>
    <w:rsid w:val="00BF5002"/>
    <w:rsid w:val="00BF5B78"/>
    <w:rsid w:val="00BF68A0"/>
    <w:rsid w:val="00BF6B02"/>
    <w:rsid w:val="00BF6FDE"/>
    <w:rsid w:val="00BF72E7"/>
    <w:rsid w:val="00BF7AA5"/>
    <w:rsid w:val="00BF7D70"/>
    <w:rsid w:val="00BF7FF9"/>
    <w:rsid w:val="00C00F24"/>
    <w:rsid w:val="00C01336"/>
    <w:rsid w:val="00C014E0"/>
    <w:rsid w:val="00C01611"/>
    <w:rsid w:val="00C020E3"/>
    <w:rsid w:val="00C023EE"/>
    <w:rsid w:val="00C02556"/>
    <w:rsid w:val="00C02561"/>
    <w:rsid w:val="00C02FD8"/>
    <w:rsid w:val="00C03274"/>
    <w:rsid w:val="00C0343E"/>
    <w:rsid w:val="00C03551"/>
    <w:rsid w:val="00C03756"/>
    <w:rsid w:val="00C0379D"/>
    <w:rsid w:val="00C03911"/>
    <w:rsid w:val="00C048E6"/>
    <w:rsid w:val="00C04944"/>
    <w:rsid w:val="00C05F89"/>
    <w:rsid w:val="00C0768B"/>
    <w:rsid w:val="00C07699"/>
    <w:rsid w:val="00C07854"/>
    <w:rsid w:val="00C10042"/>
    <w:rsid w:val="00C10573"/>
    <w:rsid w:val="00C1095A"/>
    <w:rsid w:val="00C10990"/>
    <w:rsid w:val="00C10D17"/>
    <w:rsid w:val="00C111E2"/>
    <w:rsid w:val="00C118BA"/>
    <w:rsid w:val="00C11B7D"/>
    <w:rsid w:val="00C11FF5"/>
    <w:rsid w:val="00C12168"/>
    <w:rsid w:val="00C126AC"/>
    <w:rsid w:val="00C129CC"/>
    <w:rsid w:val="00C1364A"/>
    <w:rsid w:val="00C1366E"/>
    <w:rsid w:val="00C139FC"/>
    <w:rsid w:val="00C142C9"/>
    <w:rsid w:val="00C145BC"/>
    <w:rsid w:val="00C148EF"/>
    <w:rsid w:val="00C14FF7"/>
    <w:rsid w:val="00C15043"/>
    <w:rsid w:val="00C150BF"/>
    <w:rsid w:val="00C151EB"/>
    <w:rsid w:val="00C15858"/>
    <w:rsid w:val="00C159D8"/>
    <w:rsid w:val="00C17357"/>
    <w:rsid w:val="00C1755C"/>
    <w:rsid w:val="00C17901"/>
    <w:rsid w:val="00C17F9B"/>
    <w:rsid w:val="00C2007C"/>
    <w:rsid w:val="00C20251"/>
    <w:rsid w:val="00C223B6"/>
    <w:rsid w:val="00C223C7"/>
    <w:rsid w:val="00C22DE4"/>
    <w:rsid w:val="00C23225"/>
    <w:rsid w:val="00C234D2"/>
    <w:rsid w:val="00C23696"/>
    <w:rsid w:val="00C23C01"/>
    <w:rsid w:val="00C24512"/>
    <w:rsid w:val="00C24891"/>
    <w:rsid w:val="00C24FAA"/>
    <w:rsid w:val="00C250CE"/>
    <w:rsid w:val="00C254AF"/>
    <w:rsid w:val="00C25B63"/>
    <w:rsid w:val="00C25BE5"/>
    <w:rsid w:val="00C25C52"/>
    <w:rsid w:val="00C25F8F"/>
    <w:rsid w:val="00C2621B"/>
    <w:rsid w:val="00C26B8A"/>
    <w:rsid w:val="00C26BCA"/>
    <w:rsid w:val="00C27DDD"/>
    <w:rsid w:val="00C3012A"/>
    <w:rsid w:val="00C3055B"/>
    <w:rsid w:val="00C31C97"/>
    <w:rsid w:val="00C31D56"/>
    <w:rsid w:val="00C33FEE"/>
    <w:rsid w:val="00C342E3"/>
    <w:rsid w:val="00C3456A"/>
    <w:rsid w:val="00C348FD"/>
    <w:rsid w:val="00C35DAC"/>
    <w:rsid w:val="00C35EF6"/>
    <w:rsid w:val="00C364DA"/>
    <w:rsid w:val="00C36ED4"/>
    <w:rsid w:val="00C376FE"/>
    <w:rsid w:val="00C37A6F"/>
    <w:rsid w:val="00C421CB"/>
    <w:rsid w:val="00C42864"/>
    <w:rsid w:val="00C42D20"/>
    <w:rsid w:val="00C43B65"/>
    <w:rsid w:val="00C4414C"/>
    <w:rsid w:val="00C44EC5"/>
    <w:rsid w:val="00C45200"/>
    <w:rsid w:val="00C45304"/>
    <w:rsid w:val="00C45790"/>
    <w:rsid w:val="00C45907"/>
    <w:rsid w:val="00C45EA5"/>
    <w:rsid w:val="00C4660A"/>
    <w:rsid w:val="00C46D26"/>
    <w:rsid w:val="00C4713C"/>
    <w:rsid w:val="00C474EB"/>
    <w:rsid w:val="00C5035B"/>
    <w:rsid w:val="00C508B9"/>
    <w:rsid w:val="00C50C3A"/>
    <w:rsid w:val="00C51923"/>
    <w:rsid w:val="00C52359"/>
    <w:rsid w:val="00C52878"/>
    <w:rsid w:val="00C52903"/>
    <w:rsid w:val="00C52CE5"/>
    <w:rsid w:val="00C52D3A"/>
    <w:rsid w:val="00C536E4"/>
    <w:rsid w:val="00C5384C"/>
    <w:rsid w:val="00C53E2C"/>
    <w:rsid w:val="00C54FD2"/>
    <w:rsid w:val="00C55436"/>
    <w:rsid w:val="00C55C4F"/>
    <w:rsid w:val="00C55CE2"/>
    <w:rsid w:val="00C55F31"/>
    <w:rsid w:val="00C5637F"/>
    <w:rsid w:val="00C567F2"/>
    <w:rsid w:val="00C56D49"/>
    <w:rsid w:val="00C56D50"/>
    <w:rsid w:val="00C57344"/>
    <w:rsid w:val="00C576E3"/>
    <w:rsid w:val="00C57A31"/>
    <w:rsid w:val="00C57CBF"/>
    <w:rsid w:val="00C6005E"/>
    <w:rsid w:val="00C60239"/>
    <w:rsid w:val="00C60301"/>
    <w:rsid w:val="00C607D8"/>
    <w:rsid w:val="00C61A16"/>
    <w:rsid w:val="00C61A82"/>
    <w:rsid w:val="00C62011"/>
    <w:rsid w:val="00C62497"/>
    <w:rsid w:val="00C62B73"/>
    <w:rsid w:val="00C62BF7"/>
    <w:rsid w:val="00C62F1A"/>
    <w:rsid w:val="00C6338F"/>
    <w:rsid w:val="00C63940"/>
    <w:rsid w:val="00C63972"/>
    <w:rsid w:val="00C63A84"/>
    <w:rsid w:val="00C63D46"/>
    <w:rsid w:val="00C63DA4"/>
    <w:rsid w:val="00C647BD"/>
    <w:rsid w:val="00C64909"/>
    <w:rsid w:val="00C649DE"/>
    <w:rsid w:val="00C64A54"/>
    <w:rsid w:val="00C64FBE"/>
    <w:rsid w:val="00C65381"/>
    <w:rsid w:val="00C655A5"/>
    <w:rsid w:val="00C65644"/>
    <w:rsid w:val="00C658D0"/>
    <w:rsid w:val="00C65E17"/>
    <w:rsid w:val="00C65F7A"/>
    <w:rsid w:val="00C664BF"/>
    <w:rsid w:val="00C66DB5"/>
    <w:rsid w:val="00C66E24"/>
    <w:rsid w:val="00C67846"/>
    <w:rsid w:val="00C67B20"/>
    <w:rsid w:val="00C700F3"/>
    <w:rsid w:val="00C70319"/>
    <w:rsid w:val="00C722E9"/>
    <w:rsid w:val="00C729C2"/>
    <w:rsid w:val="00C72DE6"/>
    <w:rsid w:val="00C72E49"/>
    <w:rsid w:val="00C73290"/>
    <w:rsid w:val="00C73308"/>
    <w:rsid w:val="00C744E2"/>
    <w:rsid w:val="00C74536"/>
    <w:rsid w:val="00C74A60"/>
    <w:rsid w:val="00C74AAF"/>
    <w:rsid w:val="00C75044"/>
    <w:rsid w:val="00C757E8"/>
    <w:rsid w:val="00C75D39"/>
    <w:rsid w:val="00C762B5"/>
    <w:rsid w:val="00C77175"/>
    <w:rsid w:val="00C771AB"/>
    <w:rsid w:val="00C7757A"/>
    <w:rsid w:val="00C776C4"/>
    <w:rsid w:val="00C8075E"/>
    <w:rsid w:val="00C80C56"/>
    <w:rsid w:val="00C80C62"/>
    <w:rsid w:val="00C80E10"/>
    <w:rsid w:val="00C8124D"/>
    <w:rsid w:val="00C817AD"/>
    <w:rsid w:val="00C81BE8"/>
    <w:rsid w:val="00C81C2F"/>
    <w:rsid w:val="00C82309"/>
    <w:rsid w:val="00C824FD"/>
    <w:rsid w:val="00C82A69"/>
    <w:rsid w:val="00C82CC5"/>
    <w:rsid w:val="00C830BB"/>
    <w:rsid w:val="00C83816"/>
    <w:rsid w:val="00C8381F"/>
    <w:rsid w:val="00C8397B"/>
    <w:rsid w:val="00C83A90"/>
    <w:rsid w:val="00C84544"/>
    <w:rsid w:val="00C846F7"/>
    <w:rsid w:val="00C85538"/>
    <w:rsid w:val="00C859B7"/>
    <w:rsid w:val="00C85AB5"/>
    <w:rsid w:val="00C85B12"/>
    <w:rsid w:val="00C85BF8"/>
    <w:rsid w:val="00C85E90"/>
    <w:rsid w:val="00C8616C"/>
    <w:rsid w:val="00C86E51"/>
    <w:rsid w:val="00C874FF"/>
    <w:rsid w:val="00C87F40"/>
    <w:rsid w:val="00C900A3"/>
    <w:rsid w:val="00C900BA"/>
    <w:rsid w:val="00C903A4"/>
    <w:rsid w:val="00C906B9"/>
    <w:rsid w:val="00C911B4"/>
    <w:rsid w:val="00C91BAE"/>
    <w:rsid w:val="00C91EF4"/>
    <w:rsid w:val="00C92292"/>
    <w:rsid w:val="00C92D1C"/>
    <w:rsid w:val="00C92EE9"/>
    <w:rsid w:val="00C92FE4"/>
    <w:rsid w:val="00C931F7"/>
    <w:rsid w:val="00C93262"/>
    <w:rsid w:val="00C93FFA"/>
    <w:rsid w:val="00C9426E"/>
    <w:rsid w:val="00C9432E"/>
    <w:rsid w:val="00C948CE"/>
    <w:rsid w:val="00C94E6A"/>
    <w:rsid w:val="00C95E99"/>
    <w:rsid w:val="00C96247"/>
    <w:rsid w:val="00C9628C"/>
    <w:rsid w:val="00C96625"/>
    <w:rsid w:val="00C9752F"/>
    <w:rsid w:val="00C97B9A"/>
    <w:rsid w:val="00C97DCD"/>
    <w:rsid w:val="00CA033C"/>
    <w:rsid w:val="00CA04B4"/>
    <w:rsid w:val="00CA0541"/>
    <w:rsid w:val="00CA08E7"/>
    <w:rsid w:val="00CA1820"/>
    <w:rsid w:val="00CA2ABF"/>
    <w:rsid w:val="00CA3204"/>
    <w:rsid w:val="00CA35DA"/>
    <w:rsid w:val="00CA3809"/>
    <w:rsid w:val="00CA3AAD"/>
    <w:rsid w:val="00CA4399"/>
    <w:rsid w:val="00CA4958"/>
    <w:rsid w:val="00CA5414"/>
    <w:rsid w:val="00CA6010"/>
    <w:rsid w:val="00CA615B"/>
    <w:rsid w:val="00CA63FA"/>
    <w:rsid w:val="00CA64DD"/>
    <w:rsid w:val="00CA6841"/>
    <w:rsid w:val="00CA6B69"/>
    <w:rsid w:val="00CA77E5"/>
    <w:rsid w:val="00CB0303"/>
    <w:rsid w:val="00CB030B"/>
    <w:rsid w:val="00CB0B0F"/>
    <w:rsid w:val="00CB0D3F"/>
    <w:rsid w:val="00CB1023"/>
    <w:rsid w:val="00CB1297"/>
    <w:rsid w:val="00CB191C"/>
    <w:rsid w:val="00CB1E90"/>
    <w:rsid w:val="00CB2832"/>
    <w:rsid w:val="00CB363F"/>
    <w:rsid w:val="00CB3BAC"/>
    <w:rsid w:val="00CB3DE5"/>
    <w:rsid w:val="00CB4184"/>
    <w:rsid w:val="00CB4347"/>
    <w:rsid w:val="00CB442D"/>
    <w:rsid w:val="00CB459D"/>
    <w:rsid w:val="00CB552B"/>
    <w:rsid w:val="00CB5A56"/>
    <w:rsid w:val="00CB61D3"/>
    <w:rsid w:val="00CB6A33"/>
    <w:rsid w:val="00CB74A1"/>
    <w:rsid w:val="00CB756E"/>
    <w:rsid w:val="00CB781F"/>
    <w:rsid w:val="00CC1472"/>
    <w:rsid w:val="00CC199F"/>
    <w:rsid w:val="00CC1AA3"/>
    <w:rsid w:val="00CC1BA1"/>
    <w:rsid w:val="00CC1BAF"/>
    <w:rsid w:val="00CC1DDD"/>
    <w:rsid w:val="00CC2179"/>
    <w:rsid w:val="00CC276B"/>
    <w:rsid w:val="00CC2FE1"/>
    <w:rsid w:val="00CC30C2"/>
    <w:rsid w:val="00CC3583"/>
    <w:rsid w:val="00CC3812"/>
    <w:rsid w:val="00CC3917"/>
    <w:rsid w:val="00CC3E02"/>
    <w:rsid w:val="00CC57B9"/>
    <w:rsid w:val="00CC5A5B"/>
    <w:rsid w:val="00CC5D3D"/>
    <w:rsid w:val="00CC637D"/>
    <w:rsid w:val="00CC64C7"/>
    <w:rsid w:val="00CC67B6"/>
    <w:rsid w:val="00CC6A99"/>
    <w:rsid w:val="00CC6C42"/>
    <w:rsid w:val="00CC6F23"/>
    <w:rsid w:val="00CC7577"/>
    <w:rsid w:val="00CC7B54"/>
    <w:rsid w:val="00CC7FC9"/>
    <w:rsid w:val="00CD0252"/>
    <w:rsid w:val="00CD0341"/>
    <w:rsid w:val="00CD070C"/>
    <w:rsid w:val="00CD0F6B"/>
    <w:rsid w:val="00CD1693"/>
    <w:rsid w:val="00CD1962"/>
    <w:rsid w:val="00CD2B82"/>
    <w:rsid w:val="00CD2FC6"/>
    <w:rsid w:val="00CD310E"/>
    <w:rsid w:val="00CD37E3"/>
    <w:rsid w:val="00CD3D6B"/>
    <w:rsid w:val="00CD3FA0"/>
    <w:rsid w:val="00CD4696"/>
    <w:rsid w:val="00CD4E09"/>
    <w:rsid w:val="00CD516A"/>
    <w:rsid w:val="00CD53B8"/>
    <w:rsid w:val="00CD5B08"/>
    <w:rsid w:val="00CD5F58"/>
    <w:rsid w:val="00CD703B"/>
    <w:rsid w:val="00CD73E7"/>
    <w:rsid w:val="00CD742D"/>
    <w:rsid w:val="00CD7708"/>
    <w:rsid w:val="00CD7AA5"/>
    <w:rsid w:val="00CE0454"/>
    <w:rsid w:val="00CE07B6"/>
    <w:rsid w:val="00CE089E"/>
    <w:rsid w:val="00CE0FC3"/>
    <w:rsid w:val="00CE14C1"/>
    <w:rsid w:val="00CE1989"/>
    <w:rsid w:val="00CE1F24"/>
    <w:rsid w:val="00CE21E9"/>
    <w:rsid w:val="00CE27CA"/>
    <w:rsid w:val="00CE2A7E"/>
    <w:rsid w:val="00CE2AA5"/>
    <w:rsid w:val="00CE355A"/>
    <w:rsid w:val="00CE3667"/>
    <w:rsid w:val="00CE4822"/>
    <w:rsid w:val="00CE5440"/>
    <w:rsid w:val="00CE5614"/>
    <w:rsid w:val="00CE5AD6"/>
    <w:rsid w:val="00CE5B27"/>
    <w:rsid w:val="00CE5E52"/>
    <w:rsid w:val="00CE622C"/>
    <w:rsid w:val="00CE6A78"/>
    <w:rsid w:val="00CE6C79"/>
    <w:rsid w:val="00CE6DE1"/>
    <w:rsid w:val="00CE70F6"/>
    <w:rsid w:val="00CE7D22"/>
    <w:rsid w:val="00CF06AA"/>
    <w:rsid w:val="00CF11C9"/>
    <w:rsid w:val="00CF171A"/>
    <w:rsid w:val="00CF1B78"/>
    <w:rsid w:val="00CF1E1A"/>
    <w:rsid w:val="00CF1F7D"/>
    <w:rsid w:val="00CF235A"/>
    <w:rsid w:val="00CF2ECC"/>
    <w:rsid w:val="00CF37AE"/>
    <w:rsid w:val="00CF3CCB"/>
    <w:rsid w:val="00CF3E0D"/>
    <w:rsid w:val="00CF4957"/>
    <w:rsid w:val="00CF4EF5"/>
    <w:rsid w:val="00CF5211"/>
    <w:rsid w:val="00CF530B"/>
    <w:rsid w:val="00CF53C2"/>
    <w:rsid w:val="00CF543D"/>
    <w:rsid w:val="00CF57E8"/>
    <w:rsid w:val="00CF58C2"/>
    <w:rsid w:val="00CF59BE"/>
    <w:rsid w:val="00CF5F68"/>
    <w:rsid w:val="00CF68B9"/>
    <w:rsid w:val="00CF69A9"/>
    <w:rsid w:val="00CF6ECA"/>
    <w:rsid w:val="00CF6F7A"/>
    <w:rsid w:val="00CF76B7"/>
    <w:rsid w:val="00CF7B15"/>
    <w:rsid w:val="00D0012C"/>
    <w:rsid w:val="00D002B9"/>
    <w:rsid w:val="00D00329"/>
    <w:rsid w:val="00D009D3"/>
    <w:rsid w:val="00D00BCF"/>
    <w:rsid w:val="00D01455"/>
    <w:rsid w:val="00D01CF5"/>
    <w:rsid w:val="00D022DF"/>
    <w:rsid w:val="00D0286A"/>
    <w:rsid w:val="00D02B76"/>
    <w:rsid w:val="00D02BB7"/>
    <w:rsid w:val="00D02BBC"/>
    <w:rsid w:val="00D02D48"/>
    <w:rsid w:val="00D0319A"/>
    <w:rsid w:val="00D038D0"/>
    <w:rsid w:val="00D0453B"/>
    <w:rsid w:val="00D05D4D"/>
    <w:rsid w:val="00D05DB3"/>
    <w:rsid w:val="00D0665E"/>
    <w:rsid w:val="00D06D83"/>
    <w:rsid w:val="00D07480"/>
    <w:rsid w:val="00D07A4E"/>
    <w:rsid w:val="00D07B8C"/>
    <w:rsid w:val="00D07F8E"/>
    <w:rsid w:val="00D1000A"/>
    <w:rsid w:val="00D10331"/>
    <w:rsid w:val="00D10BF1"/>
    <w:rsid w:val="00D10E55"/>
    <w:rsid w:val="00D115CB"/>
    <w:rsid w:val="00D1198F"/>
    <w:rsid w:val="00D12180"/>
    <w:rsid w:val="00D1233F"/>
    <w:rsid w:val="00D1236B"/>
    <w:rsid w:val="00D135C7"/>
    <w:rsid w:val="00D13B3B"/>
    <w:rsid w:val="00D13E69"/>
    <w:rsid w:val="00D13EDA"/>
    <w:rsid w:val="00D145FE"/>
    <w:rsid w:val="00D14E07"/>
    <w:rsid w:val="00D15155"/>
    <w:rsid w:val="00D15473"/>
    <w:rsid w:val="00D15752"/>
    <w:rsid w:val="00D15C27"/>
    <w:rsid w:val="00D15EFA"/>
    <w:rsid w:val="00D16D05"/>
    <w:rsid w:val="00D16D89"/>
    <w:rsid w:val="00D1716D"/>
    <w:rsid w:val="00D17DCA"/>
    <w:rsid w:val="00D17FB0"/>
    <w:rsid w:val="00D203A8"/>
    <w:rsid w:val="00D2042A"/>
    <w:rsid w:val="00D20A7F"/>
    <w:rsid w:val="00D21097"/>
    <w:rsid w:val="00D21EE3"/>
    <w:rsid w:val="00D22228"/>
    <w:rsid w:val="00D223BB"/>
    <w:rsid w:val="00D22640"/>
    <w:rsid w:val="00D228F8"/>
    <w:rsid w:val="00D235DA"/>
    <w:rsid w:val="00D2366A"/>
    <w:rsid w:val="00D23C1A"/>
    <w:rsid w:val="00D23E23"/>
    <w:rsid w:val="00D23FFC"/>
    <w:rsid w:val="00D24807"/>
    <w:rsid w:val="00D250C1"/>
    <w:rsid w:val="00D25C8F"/>
    <w:rsid w:val="00D266F7"/>
    <w:rsid w:val="00D27033"/>
    <w:rsid w:val="00D27892"/>
    <w:rsid w:val="00D27D8C"/>
    <w:rsid w:val="00D27EC2"/>
    <w:rsid w:val="00D30586"/>
    <w:rsid w:val="00D30A47"/>
    <w:rsid w:val="00D310AC"/>
    <w:rsid w:val="00D311EE"/>
    <w:rsid w:val="00D31A40"/>
    <w:rsid w:val="00D325D9"/>
    <w:rsid w:val="00D32956"/>
    <w:rsid w:val="00D32B00"/>
    <w:rsid w:val="00D3316F"/>
    <w:rsid w:val="00D34673"/>
    <w:rsid w:val="00D35275"/>
    <w:rsid w:val="00D3580E"/>
    <w:rsid w:val="00D3593E"/>
    <w:rsid w:val="00D36398"/>
    <w:rsid w:val="00D363D0"/>
    <w:rsid w:val="00D369EC"/>
    <w:rsid w:val="00D36F99"/>
    <w:rsid w:val="00D377C3"/>
    <w:rsid w:val="00D37B9E"/>
    <w:rsid w:val="00D37CB2"/>
    <w:rsid w:val="00D37CBF"/>
    <w:rsid w:val="00D37F59"/>
    <w:rsid w:val="00D405B8"/>
    <w:rsid w:val="00D4079F"/>
    <w:rsid w:val="00D409FC"/>
    <w:rsid w:val="00D4130B"/>
    <w:rsid w:val="00D41AF4"/>
    <w:rsid w:val="00D42A22"/>
    <w:rsid w:val="00D43371"/>
    <w:rsid w:val="00D43DF6"/>
    <w:rsid w:val="00D44147"/>
    <w:rsid w:val="00D441EC"/>
    <w:rsid w:val="00D4457F"/>
    <w:rsid w:val="00D448C8"/>
    <w:rsid w:val="00D44AA3"/>
    <w:rsid w:val="00D4510B"/>
    <w:rsid w:val="00D45598"/>
    <w:rsid w:val="00D47424"/>
    <w:rsid w:val="00D5004E"/>
    <w:rsid w:val="00D5145B"/>
    <w:rsid w:val="00D51552"/>
    <w:rsid w:val="00D51843"/>
    <w:rsid w:val="00D51A3F"/>
    <w:rsid w:val="00D52253"/>
    <w:rsid w:val="00D52EF7"/>
    <w:rsid w:val="00D534EE"/>
    <w:rsid w:val="00D53630"/>
    <w:rsid w:val="00D53650"/>
    <w:rsid w:val="00D5506F"/>
    <w:rsid w:val="00D55259"/>
    <w:rsid w:val="00D55F9A"/>
    <w:rsid w:val="00D55FA1"/>
    <w:rsid w:val="00D560C4"/>
    <w:rsid w:val="00D5670E"/>
    <w:rsid w:val="00D567F0"/>
    <w:rsid w:val="00D56869"/>
    <w:rsid w:val="00D56DF5"/>
    <w:rsid w:val="00D57637"/>
    <w:rsid w:val="00D5D01E"/>
    <w:rsid w:val="00D6001B"/>
    <w:rsid w:val="00D60152"/>
    <w:rsid w:val="00D602C9"/>
    <w:rsid w:val="00D6036E"/>
    <w:rsid w:val="00D61252"/>
    <w:rsid w:val="00D61AC2"/>
    <w:rsid w:val="00D6228C"/>
    <w:rsid w:val="00D6238C"/>
    <w:rsid w:val="00D62C41"/>
    <w:rsid w:val="00D63151"/>
    <w:rsid w:val="00D63245"/>
    <w:rsid w:val="00D63A87"/>
    <w:rsid w:val="00D63C28"/>
    <w:rsid w:val="00D63F07"/>
    <w:rsid w:val="00D648BF"/>
    <w:rsid w:val="00D6567C"/>
    <w:rsid w:val="00D6603C"/>
    <w:rsid w:val="00D6637C"/>
    <w:rsid w:val="00D66F5B"/>
    <w:rsid w:val="00D676FA"/>
    <w:rsid w:val="00D67735"/>
    <w:rsid w:val="00D67B5D"/>
    <w:rsid w:val="00D67BFC"/>
    <w:rsid w:val="00D67C8A"/>
    <w:rsid w:val="00D67FD5"/>
    <w:rsid w:val="00D702BB"/>
    <w:rsid w:val="00D70657"/>
    <w:rsid w:val="00D7066F"/>
    <w:rsid w:val="00D70945"/>
    <w:rsid w:val="00D71479"/>
    <w:rsid w:val="00D7246D"/>
    <w:rsid w:val="00D72635"/>
    <w:rsid w:val="00D7297A"/>
    <w:rsid w:val="00D72AFD"/>
    <w:rsid w:val="00D72D3E"/>
    <w:rsid w:val="00D73353"/>
    <w:rsid w:val="00D73CCD"/>
    <w:rsid w:val="00D740D7"/>
    <w:rsid w:val="00D742F0"/>
    <w:rsid w:val="00D75C18"/>
    <w:rsid w:val="00D75C5E"/>
    <w:rsid w:val="00D761F9"/>
    <w:rsid w:val="00D762CB"/>
    <w:rsid w:val="00D766A8"/>
    <w:rsid w:val="00D76936"/>
    <w:rsid w:val="00D76B1D"/>
    <w:rsid w:val="00D76CDD"/>
    <w:rsid w:val="00D8046F"/>
    <w:rsid w:val="00D80D8D"/>
    <w:rsid w:val="00D80F10"/>
    <w:rsid w:val="00D81010"/>
    <w:rsid w:val="00D819DA"/>
    <w:rsid w:val="00D81BEB"/>
    <w:rsid w:val="00D83439"/>
    <w:rsid w:val="00D83EC5"/>
    <w:rsid w:val="00D842AB"/>
    <w:rsid w:val="00D8438E"/>
    <w:rsid w:val="00D84AF5"/>
    <w:rsid w:val="00D85175"/>
    <w:rsid w:val="00D853D6"/>
    <w:rsid w:val="00D85D1A"/>
    <w:rsid w:val="00D86191"/>
    <w:rsid w:val="00D862F1"/>
    <w:rsid w:val="00D865B8"/>
    <w:rsid w:val="00D86B77"/>
    <w:rsid w:val="00D86BD4"/>
    <w:rsid w:val="00D86E69"/>
    <w:rsid w:val="00D87CD6"/>
    <w:rsid w:val="00D90093"/>
    <w:rsid w:val="00D906F9"/>
    <w:rsid w:val="00D90BD8"/>
    <w:rsid w:val="00D911A1"/>
    <w:rsid w:val="00D912C7"/>
    <w:rsid w:val="00D91A96"/>
    <w:rsid w:val="00D91F98"/>
    <w:rsid w:val="00D93076"/>
    <w:rsid w:val="00D938B7"/>
    <w:rsid w:val="00D93C3F"/>
    <w:rsid w:val="00D946C6"/>
    <w:rsid w:val="00D94959"/>
    <w:rsid w:val="00D949EA"/>
    <w:rsid w:val="00D953E5"/>
    <w:rsid w:val="00D955E6"/>
    <w:rsid w:val="00D95881"/>
    <w:rsid w:val="00D959F5"/>
    <w:rsid w:val="00D95DE9"/>
    <w:rsid w:val="00D95E38"/>
    <w:rsid w:val="00D97550"/>
    <w:rsid w:val="00D97EB4"/>
    <w:rsid w:val="00DA0066"/>
    <w:rsid w:val="00DA01BE"/>
    <w:rsid w:val="00DA0235"/>
    <w:rsid w:val="00DA0C2A"/>
    <w:rsid w:val="00DA0CC6"/>
    <w:rsid w:val="00DA15BC"/>
    <w:rsid w:val="00DA188D"/>
    <w:rsid w:val="00DA19D9"/>
    <w:rsid w:val="00DA1BBC"/>
    <w:rsid w:val="00DA23D8"/>
    <w:rsid w:val="00DA257E"/>
    <w:rsid w:val="00DA2C73"/>
    <w:rsid w:val="00DA2EB2"/>
    <w:rsid w:val="00DA36C5"/>
    <w:rsid w:val="00DA3DD9"/>
    <w:rsid w:val="00DA402D"/>
    <w:rsid w:val="00DA4939"/>
    <w:rsid w:val="00DA4D07"/>
    <w:rsid w:val="00DA4FD3"/>
    <w:rsid w:val="00DA5559"/>
    <w:rsid w:val="00DA6280"/>
    <w:rsid w:val="00DA64F8"/>
    <w:rsid w:val="00DA65B6"/>
    <w:rsid w:val="00DA65CA"/>
    <w:rsid w:val="00DA674F"/>
    <w:rsid w:val="00DA67E7"/>
    <w:rsid w:val="00DA69EC"/>
    <w:rsid w:val="00DA6CB2"/>
    <w:rsid w:val="00DA7BF7"/>
    <w:rsid w:val="00DA7CCB"/>
    <w:rsid w:val="00DA7DC0"/>
    <w:rsid w:val="00DB0AD1"/>
    <w:rsid w:val="00DB0B59"/>
    <w:rsid w:val="00DB0F00"/>
    <w:rsid w:val="00DB0FFF"/>
    <w:rsid w:val="00DB124F"/>
    <w:rsid w:val="00DB15B8"/>
    <w:rsid w:val="00DB1742"/>
    <w:rsid w:val="00DB2328"/>
    <w:rsid w:val="00DB28F5"/>
    <w:rsid w:val="00DB29DD"/>
    <w:rsid w:val="00DB2D8C"/>
    <w:rsid w:val="00DB3475"/>
    <w:rsid w:val="00DB3D07"/>
    <w:rsid w:val="00DB4582"/>
    <w:rsid w:val="00DB5BE8"/>
    <w:rsid w:val="00DB5EC7"/>
    <w:rsid w:val="00DB6420"/>
    <w:rsid w:val="00DB6490"/>
    <w:rsid w:val="00DB6D8D"/>
    <w:rsid w:val="00DB76F3"/>
    <w:rsid w:val="00DB78B3"/>
    <w:rsid w:val="00DB7AFC"/>
    <w:rsid w:val="00DB7FB7"/>
    <w:rsid w:val="00DC04A7"/>
    <w:rsid w:val="00DC1368"/>
    <w:rsid w:val="00DC14C5"/>
    <w:rsid w:val="00DC17DC"/>
    <w:rsid w:val="00DC1C6D"/>
    <w:rsid w:val="00DC2269"/>
    <w:rsid w:val="00DC2E43"/>
    <w:rsid w:val="00DC30FC"/>
    <w:rsid w:val="00DC3203"/>
    <w:rsid w:val="00DC3254"/>
    <w:rsid w:val="00DC3530"/>
    <w:rsid w:val="00DC3773"/>
    <w:rsid w:val="00DC37EC"/>
    <w:rsid w:val="00DC3FA2"/>
    <w:rsid w:val="00DC4344"/>
    <w:rsid w:val="00DC4791"/>
    <w:rsid w:val="00DC4D7B"/>
    <w:rsid w:val="00DC4DC9"/>
    <w:rsid w:val="00DC5347"/>
    <w:rsid w:val="00DC5385"/>
    <w:rsid w:val="00DC560D"/>
    <w:rsid w:val="00DC592C"/>
    <w:rsid w:val="00DC5BF2"/>
    <w:rsid w:val="00DC5C57"/>
    <w:rsid w:val="00DC68C5"/>
    <w:rsid w:val="00DC6AE5"/>
    <w:rsid w:val="00DC6D4E"/>
    <w:rsid w:val="00DC712E"/>
    <w:rsid w:val="00DC7321"/>
    <w:rsid w:val="00DC7541"/>
    <w:rsid w:val="00DC78FC"/>
    <w:rsid w:val="00DD0236"/>
    <w:rsid w:val="00DD1B45"/>
    <w:rsid w:val="00DD20B4"/>
    <w:rsid w:val="00DD23D0"/>
    <w:rsid w:val="00DD29FB"/>
    <w:rsid w:val="00DD2C7B"/>
    <w:rsid w:val="00DD2CAE"/>
    <w:rsid w:val="00DD2D2E"/>
    <w:rsid w:val="00DD2E52"/>
    <w:rsid w:val="00DD305D"/>
    <w:rsid w:val="00DD3A69"/>
    <w:rsid w:val="00DD3BDC"/>
    <w:rsid w:val="00DD3CB7"/>
    <w:rsid w:val="00DD4353"/>
    <w:rsid w:val="00DD442E"/>
    <w:rsid w:val="00DD4711"/>
    <w:rsid w:val="00DD5228"/>
    <w:rsid w:val="00DD5262"/>
    <w:rsid w:val="00DD5501"/>
    <w:rsid w:val="00DD571A"/>
    <w:rsid w:val="00DD578C"/>
    <w:rsid w:val="00DD5FD6"/>
    <w:rsid w:val="00DD5FFB"/>
    <w:rsid w:val="00DD60EE"/>
    <w:rsid w:val="00DD6B69"/>
    <w:rsid w:val="00DD6DF0"/>
    <w:rsid w:val="00DD6E83"/>
    <w:rsid w:val="00DD6FAB"/>
    <w:rsid w:val="00DD7257"/>
    <w:rsid w:val="00DD78D9"/>
    <w:rsid w:val="00DD7A28"/>
    <w:rsid w:val="00DE0806"/>
    <w:rsid w:val="00DE1100"/>
    <w:rsid w:val="00DE1318"/>
    <w:rsid w:val="00DE1506"/>
    <w:rsid w:val="00DE16F4"/>
    <w:rsid w:val="00DE1837"/>
    <w:rsid w:val="00DE19C8"/>
    <w:rsid w:val="00DE1E85"/>
    <w:rsid w:val="00DE257F"/>
    <w:rsid w:val="00DE2B22"/>
    <w:rsid w:val="00DE2C8F"/>
    <w:rsid w:val="00DE43C8"/>
    <w:rsid w:val="00DE43F4"/>
    <w:rsid w:val="00DE4790"/>
    <w:rsid w:val="00DE49DD"/>
    <w:rsid w:val="00DE4C70"/>
    <w:rsid w:val="00DE56A0"/>
    <w:rsid w:val="00DE58EE"/>
    <w:rsid w:val="00DE62D6"/>
    <w:rsid w:val="00DE636B"/>
    <w:rsid w:val="00DE6720"/>
    <w:rsid w:val="00DE6897"/>
    <w:rsid w:val="00DE6F5B"/>
    <w:rsid w:val="00DE7202"/>
    <w:rsid w:val="00DE7CA6"/>
    <w:rsid w:val="00DF04A0"/>
    <w:rsid w:val="00DF06F5"/>
    <w:rsid w:val="00DF0D07"/>
    <w:rsid w:val="00DF120B"/>
    <w:rsid w:val="00DF18E3"/>
    <w:rsid w:val="00DF1CA6"/>
    <w:rsid w:val="00DF1F41"/>
    <w:rsid w:val="00DF2950"/>
    <w:rsid w:val="00DF3110"/>
    <w:rsid w:val="00DF312D"/>
    <w:rsid w:val="00DF368A"/>
    <w:rsid w:val="00DF3AC0"/>
    <w:rsid w:val="00DF4358"/>
    <w:rsid w:val="00DF4A0B"/>
    <w:rsid w:val="00DF4B69"/>
    <w:rsid w:val="00DF4D9A"/>
    <w:rsid w:val="00DF4EB4"/>
    <w:rsid w:val="00DF5902"/>
    <w:rsid w:val="00DF5ECF"/>
    <w:rsid w:val="00DF5F3F"/>
    <w:rsid w:val="00DF6B33"/>
    <w:rsid w:val="00DF76A2"/>
    <w:rsid w:val="00E00089"/>
    <w:rsid w:val="00E00128"/>
    <w:rsid w:val="00E01A00"/>
    <w:rsid w:val="00E01DF9"/>
    <w:rsid w:val="00E0344B"/>
    <w:rsid w:val="00E039C1"/>
    <w:rsid w:val="00E03AFC"/>
    <w:rsid w:val="00E041BF"/>
    <w:rsid w:val="00E04629"/>
    <w:rsid w:val="00E04C18"/>
    <w:rsid w:val="00E054DE"/>
    <w:rsid w:val="00E069E1"/>
    <w:rsid w:val="00E07B1B"/>
    <w:rsid w:val="00E07BBD"/>
    <w:rsid w:val="00E1133F"/>
    <w:rsid w:val="00E1143F"/>
    <w:rsid w:val="00E1151E"/>
    <w:rsid w:val="00E124AA"/>
    <w:rsid w:val="00E12D9C"/>
    <w:rsid w:val="00E130FE"/>
    <w:rsid w:val="00E13D2E"/>
    <w:rsid w:val="00E13F75"/>
    <w:rsid w:val="00E14603"/>
    <w:rsid w:val="00E14F2F"/>
    <w:rsid w:val="00E15321"/>
    <w:rsid w:val="00E15601"/>
    <w:rsid w:val="00E156B4"/>
    <w:rsid w:val="00E15A0C"/>
    <w:rsid w:val="00E167BD"/>
    <w:rsid w:val="00E16BD2"/>
    <w:rsid w:val="00E17C0D"/>
    <w:rsid w:val="00E20705"/>
    <w:rsid w:val="00E20782"/>
    <w:rsid w:val="00E209C3"/>
    <w:rsid w:val="00E21B9E"/>
    <w:rsid w:val="00E22064"/>
    <w:rsid w:val="00E22301"/>
    <w:rsid w:val="00E2232B"/>
    <w:rsid w:val="00E22913"/>
    <w:rsid w:val="00E2308A"/>
    <w:rsid w:val="00E234E3"/>
    <w:rsid w:val="00E23CF2"/>
    <w:rsid w:val="00E23DEE"/>
    <w:rsid w:val="00E23ECA"/>
    <w:rsid w:val="00E248AC"/>
    <w:rsid w:val="00E248E1"/>
    <w:rsid w:val="00E24A9D"/>
    <w:rsid w:val="00E24F3B"/>
    <w:rsid w:val="00E25702"/>
    <w:rsid w:val="00E25B6D"/>
    <w:rsid w:val="00E26B91"/>
    <w:rsid w:val="00E26D12"/>
    <w:rsid w:val="00E272C3"/>
    <w:rsid w:val="00E275F1"/>
    <w:rsid w:val="00E277E9"/>
    <w:rsid w:val="00E30648"/>
    <w:rsid w:val="00E30928"/>
    <w:rsid w:val="00E30F56"/>
    <w:rsid w:val="00E31B30"/>
    <w:rsid w:val="00E32520"/>
    <w:rsid w:val="00E32B2F"/>
    <w:rsid w:val="00E32C04"/>
    <w:rsid w:val="00E32E3C"/>
    <w:rsid w:val="00E32EF7"/>
    <w:rsid w:val="00E3393E"/>
    <w:rsid w:val="00E33F13"/>
    <w:rsid w:val="00E34238"/>
    <w:rsid w:val="00E3491C"/>
    <w:rsid w:val="00E34C28"/>
    <w:rsid w:val="00E34EEA"/>
    <w:rsid w:val="00E35024"/>
    <w:rsid w:val="00E352A0"/>
    <w:rsid w:val="00E3596F"/>
    <w:rsid w:val="00E35DD3"/>
    <w:rsid w:val="00E3671B"/>
    <w:rsid w:val="00E369DB"/>
    <w:rsid w:val="00E36A2F"/>
    <w:rsid w:val="00E36AEB"/>
    <w:rsid w:val="00E379F4"/>
    <w:rsid w:val="00E40136"/>
    <w:rsid w:val="00E401EE"/>
    <w:rsid w:val="00E40438"/>
    <w:rsid w:val="00E40565"/>
    <w:rsid w:val="00E40601"/>
    <w:rsid w:val="00E40A18"/>
    <w:rsid w:val="00E41096"/>
    <w:rsid w:val="00E41919"/>
    <w:rsid w:val="00E41D79"/>
    <w:rsid w:val="00E42969"/>
    <w:rsid w:val="00E432EE"/>
    <w:rsid w:val="00E43AB2"/>
    <w:rsid w:val="00E441F9"/>
    <w:rsid w:val="00E44BAA"/>
    <w:rsid w:val="00E44E68"/>
    <w:rsid w:val="00E45299"/>
    <w:rsid w:val="00E4594D"/>
    <w:rsid w:val="00E464E3"/>
    <w:rsid w:val="00E46654"/>
    <w:rsid w:val="00E470C3"/>
    <w:rsid w:val="00E473D2"/>
    <w:rsid w:val="00E47743"/>
    <w:rsid w:val="00E504A5"/>
    <w:rsid w:val="00E509FD"/>
    <w:rsid w:val="00E50B49"/>
    <w:rsid w:val="00E50D50"/>
    <w:rsid w:val="00E51191"/>
    <w:rsid w:val="00E51347"/>
    <w:rsid w:val="00E52283"/>
    <w:rsid w:val="00E52DA4"/>
    <w:rsid w:val="00E52DB5"/>
    <w:rsid w:val="00E52DD1"/>
    <w:rsid w:val="00E53F61"/>
    <w:rsid w:val="00E54011"/>
    <w:rsid w:val="00E5476F"/>
    <w:rsid w:val="00E54A89"/>
    <w:rsid w:val="00E54FFE"/>
    <w:rsid w:val="00E5562F"/>
    <w:rsid w:val="00E55DCA"/>
    <w:rsid w:val="00E55FD8"/>
    <w:rsid w:val="00E561B1"/>
    <w:rsid w:val="00E563EF"/>
    <w:rsid w:val="00E567AE"/>
    <w:rsid w:val="00E56E2F"/>
    <w:rsid w:val="00E56FBE"/>
    <w:rsid w:val="00E57B43"/>
    <w:rsid w:val="00E57E88"/>
    <w:rsid w:val="00E60226"/>
    <w:rsid w:val="00E60356"/>
    <w:rsid w:val="00E605F3"/>
    <w:rsid w:val="00E60B79"/>
    <w:rsid w:val="00E60CA0"/>
    <w:rsid w:val="00E60DDA"/>
    <w:rsid w:val="00E61306"/>
    <w:rsid w:val="00E62EBC"/>
    <w:rsid w:val="00E63D59"/>
    <w:rsid w:val="00E6418B"/>
    <w:rsid w:val="00E6442E"/>
    <w:rsid w:val="00E64B67"/>
    <w:rsid w:val="00E65502"/>
    <w:rsid w:val="00E655FA"/>
    <w:rsid w:val="00E65D96"/>
    <w:rsid w:val="00E66BA4"/>
    <w:rsid w:val="00E66C80"/>
    <w:rsid w:val="00E66DDC"/>
    <w:rsid w:val="00E66F52"/>
    <w:rsid w:val="00E6722C"/>
    <w:rsid w:val="00E6787F"/>
    <w:rsid w:val="00E67B27"/>
    <w:rsid w:val="00E67D07"/>
    <w:rsid w:val="00E70E7C"/>
    <w:rsid w:val="00E71623"/>
    <w:rsid w:val="00E720B9"/>
    <w:rsid w:val="00E723CE"/>
    <w:rsid w:val="00E72467"/>
    <w:rsid w:val="00E7288B"/>
    <w:rsid w:val="00E72B9D"/>
    <w:rsid w:val="00E731C5"/>
    <w:rsid w:val="00E73B3F"/>
    <w:rsid w:val="00E73F0F"/>
    <w:rsid w:val="00E7440C"/>
    <w:rsid w:val="00E74461"/>
    <w:rsid w:val="00E74B16"/>
    <w:rsid w:val="00E74E69"/>
    <w:rsid w:val="00E74EB3"/>
    <w:rsid w:val="00E750CE"/>
    <w:rsid w:val="00E7556B"/>
    <w:rsid w:val="00E75C98"/>
    <w:rsid w:val="00E75F02"/>
    <w:rsid w:val="00E7608D"/>
    <w:rsid w:val="00E766F0"/>
    <w:rsid w:val="00E76826"/>
    <w:rsid w:val="00E770E5"/>
    <w:rsid w:val="00E7723F"/>
    <w:rsid w:val="00E77E1F"/>
    <w:rsid w:val="00E804C9"/>
    <w:rsid w:val="00E80BAC"/>
    <w:rsid w:val="00E81201"/>
    <w:rsid w:val="00E81817"/>
    <w:rsid w:val="00E81839"/>
    <w:rsid w:val="00E81ADD"/>
    <w:rsid w:val="00E81ECA"/>
    <w:rsid w:val="00E82FD9"/>
    <w:rsid w:val="00E838E4"/>
    <w:rsid w:val="00E8456D"/>
    <w:rsid w:val="00E84850"/>
    <w:rsid w:val="00E8502D"/>
    <w:rsid w:val="00E85270"/>
    <w:rsid w:val="00E858F8"/>
    <w:rsid w:val="00E859B9"/>
    <w:rsid w:val="00E8632C"/>
    <w:rsid w:val="00E865F6"/>
    <w:rsid w:val="00E8694B"/>
    <w:rsid w:val="00E870A6"/>
    <w:rsid w:val="00E8791C"/>
    <w:rsid w:val="00E87982"/>
    <w:rsid w:val="00E907E9"/>
    <w:rsid w:val="00E90FEF"/>
    <w:rsid w:val="00E9139D"/>
    <w:rsid w:val="00E91966"/>
    <w:rsid w:val="00E921D4"/>
    <w:rsid w:val="00E922CA"/>
    <w:rsid w:val="00E92317"/>
    <w:rsid w:val="00E92A40"/>
    <w:rsid w:val="00E9301F"/>
    <w:rsid w:val="00E93C01"/>
    <w:rsid w:val="00E93D59"/>
    <w:rsid w:val="00E941F9"/>
    <w:rsid w:val="00E944AF"/>
    <w:rsid w:val="00E95389"/>
    <w:rsid w:val="00E95C21"/>
    <w:rsid w:val="00E95D97"/>
    <w:rsid w:val="00E97010"/>
    <w:rsid w:val="00E97A10"/>
    <w:rsid w:val="00E97A5A"/>
    <w:rsid w:val="00E97ECE"/>
    <w:rsid w:val="00EA09D9"/>
    <w:rsid w:val="00EA0A40"/>
    <w:rsid w:val="00EA1056"/>
    <w:rsid w:val="00EA1154"/>
    <w:rsid w:val="00EA17E9"/>
    <w:rsid w:val="00EA1C91"/>
    <w:rsid w:val="00EA1F57"/>
    <w:rsid w:val="00EA2233"/>
    <w:rsid w:val="00EA2369"/>
    <w:rsid w:val="00EA23D4"/>
    <w:rsid w:val="00EA24D1"/>
    <w:rsid w:val="00EA263C"/>
    <w:rsid w:val="00EA2659"/>
    <w:rsid w:val="00EA2838"/>
    <w:rsid w:val="00EA2E4C"/>
    <w:rsid w:val="00EA31BA"/>
    <w:rsid w:val="00EA34B3"/>
    <w:rsid w:val="00EA37E4"/>
    <w:rsid w:val="00EA3B84"/>
    <w:rsid w:val="00EA3C5E"/>
    <w:rsid w:val="00EA3E32"/>
    <w:rsid w:val="00EA4152"/>
    <w:rsid w:val="00EA609D"/>
    <w:rsid w:val="00EA62D7"/>
    <w:rsid w:val="00EA7023"/>
    <w:rsid w:val="00EA728A"/>
    <w:rsid w:val="00EA7989"/>
    <w:rsid w:val="00EB05AD"/>
    <w:rsid w:val="00EB156C"/>
    <w:rsid w:val="00EB19EB"/>
    <w:rsid w:val="00EB1E86"/>
    <w:rsid w:val="00EB209F"/>
    <w:rsid w:val="00EB2138"/>
    <w:rsid w:val="00EB225C"/>
    <w:rsid w:val="00EB2459"/>
    <w:rsid w:val="00EB27FE"/>
    <w:rsid w:val="00EB2DDD"/>
    <w:rsid w:val="00EB3129"/>
    <w:rsid w:val="00EB31D5"/>
    <w:rsid w:val="00EB3577"/>
    <w:rsid w:val="00EB3589"/>
    <w:rsid w:val="00EB381C"/>
    <w:rsid w:val="00EB39B1"/>
    <w:rsid w:val="00EB4176"/>
    <w:rsid w:val="00EB4627"/>
    <w:rsid w:val="00EB46B8"/>
    <w:rsid w:val="00EB4A01"/>
    <w:rsid w:val="00EB4F5D"/>
    <w:rsid w:val="00EB500A"/>
    <w:rsid w:val="00EB51E2"/>
    <w:rsid w:val="00EB5520"/>
    <w:rsid w:val="00EB5A7E"/>
    <w:rsid w:val="00EB5F1C"/>
    <w:rsid w:val="00EB6B95"/>
    <w:rsid w:val="00EB730B"/>
    <w:rsid w:val="00EB7411"/>
    <w:rsid w:val="00EB76D7"/>
    <w:rsid w:val="00EB7D5A"/>
    <w:rsid w:val="00EB7F03"/>
    <w:rsid w:val="00EC11FD"/>
    <w:rsid w:val="00EC1228"/>
    <w:rsid w:val="00EC1822"/>
    <w:rsid w:val="00EC2ABD"/>
    <w:rsid w:val="00EC391F"/>
    <w:rsid w:val="00EC4BB1"/>
    <w:rsid w:val="00EC51B7"/>
    <w:rsid w:val="00EC559D"/>
    <w:rsid w:val="00EC56C6"/>
    <w:rsid w:val="00EC6B05"/>
    <w:rsid w:val="00EC7621"/>
    <w:rsid w:val="00EC7DE5"/>
    <w:rsid w:val="00EC7FA8"/>
    <w:rsid w:val="00ED0566"/>
    <w:rsid w:val="00ED0B4D"/>
    <w:rsid w:val="00ED0F6A"/>
    <w:rsid w:val="00ED1CF4"/>
    <w:rsid w:val="00ED1E35"/>
    <w:rsid w:val="00ED2207"/>
    <w:rsid w:val="00ED2383"/>
    <w:rsid w:val="00ED247C"/>
    <w:rsid w:val="00ED32CE"/>
    <w:rsid w:val="00ED37D8"/>
    <w:rsid w:val="00ED3A35"/>
    <w:rsid w:val="00ED3BE2"/>
    <w:rsid w:val="00ED3FF4"/>
    <w:rsid w:val="00ED4158"/>
    <w:rsid w:val="00ED4207"/>
    <w:rsid w:val="00ED46D5"/>
    <w:rsid w:val="00ED4E73"/>
    <w:rsid w:val="00ED4E79"/>
    <w:rsid w:val="00ED5146"/>
    <w:rsid w:val="00ED5481"/>
    <w:rsid w:val="00ED560A"/>
    <w:rsid w:val="00ED56D7"/>
    <w:rsid w:val="00ED5769"/>
    <w:rsid w:val="00ED57D1"/>
    <w:rsid w:val="00ED5B04"/>
    <w:rsid w:val="00ED64FE"/>
    <w:rsid w:val="00ED7C67"/>
    <w:rsid w:val="00ED7F7C"/>
    <w:rsid w:val="00EE13D9"/>
    <w:rsid w:val="00EE153A"/>
    <w:rsid w:val="00EE176C"/>
    <w:rsid w:val="00EE1D47"/>
    <w:rsid w:val="00EE208F"/>
    <w:rsid w:val="00EE2533"/>
    <w:rsid w:val="00EE2BCE"/>
    <w:rsid w:val="00EE2D0F"/>
    <w:rsid w:val="00EE3374"/>
    <w:rsid w:val="00EE3B6E"/>
    <w:rsid w:val="00EE40AD"/>
    <w:rsid w:val="00EE42BC"/>
    <w:rsid w:val="00EE4388"/>
    <w:rsid w:val="00EE6512"/>
    <w:rsid w:val="00EE6D93"/>
    <w:rsid w:val="00EE6E0E"/>
    <w:rsid w:val="00EE72BD"/>
    <w:rsid w:val="00EE72F3"/>
    <w:rsid w:val="00EE753D"/>
    <w:rsid w:val="00EE78D3"/>
    <w:rsid w:val="00EE7C4A"/>
    <w:rsid w:val="00EE7ECF"/>
    <w:rsid w:val="00EF13FA"/>
    <w:rsid w:val="00EF171D"/>
    <w:rsid w:val="00EF26AD"/>
    <w:rsid w:val="00EF2950"/>
    <w:rsid w:val="00EF2CD7"/>
    <w:rsid w:val="00EF2E3B"/>
    <w:rsid w:val="00EF2F64"/>
    <w:rsid w:val="00EF3651"/>
    <w:rsid w:val="00EF3FCB"/>
    <w:rsid w:val="00EF4135"/>
    <w:rsid w:val="00EF415E"/>
    <w:rsid w:val="00EF4A42"/>
    <w:rsid w:val="00EF4D7B"/>
    <w:rsid w:val="00EF5142"/>
    <w:rsid w:val="00EF5B62"/>
    <w:rsid w:val="00EF64B0"/>
    <w:rsid w:val="00EF6F65"/>
    <w:rsid w:val="00EF7CAD"/>
    <w:rsid w:val="00EF7ECD"/>
    <w:rsid w:val="00F00D80"/>
    <w:rsid w:val="00F00E83"/>
    <w:rsid w:val="00F00F58"/>
    <w:rsid w:val="00F01350"/>
    <w:rsid w:val="00F01409"/>
    <w:rsid w:val="00F01445"/>
    <w:rsid w:val="00F015C6"/>
    <w:rsid w:val="00F01E3E"/>
    <w:rsid w:val="00F020F3"/>
    <w:rsid w:val="00F0272B"/>
    <w:rsid w:val="00F0274B"/>
    <w:rsid w:val="00F02766"/>
    <w:rsid w:val="00F02B2B"/>
    <w:rsid w:val="00F02C78"/>
    <w:rsid w:val="00F02D27"/>
    <w:rsid w:val="00F03051"/>
    <w:rsid w:val="00F0322D"/>
    <w:rsid w:val="00F03489"/>
    <w:rsid w:val="00F04AA1"/>
    <w:rsid w:val="00F05231"/>
    <w:rsid w:val="00F05495"/>
    <w:rsid w:val="00F05829"/>
    <w:rsid w:val="00F05ECF"/>
    <w:rsid w:val="00F0676D"/>
    <w:rsid w:val="00F0708A"/>
    <w:rsid w:val="00F07376"/>
    <w:rsid w:val="00F07688"/>
    <w:rsid w:val="00F07795"/>
    <w:rsid w:val="00F07D91"/>
    <w:rsid w:val="00F1039B"/>
    <w:rsid w:val="00F10882"/>
    <w:rsid w:val="00F10A3F"/>
    <w:rsid w:val="00F11354"/>
    <w:rsid w:val="00F11858"/>
    <w:rsid w:val="00F11943"/>
    <w:rsid w:val="00F11B57"/>
    <w:rsid w:val="00F12C44"/>
    <w:rsid w:val="00F1300B"/>
    <w:rsid w:val="00F131FB"/>
    <w:rsid w:val="00F136AB"/>
    <w:rsid w:val="00F13CD3"/>
    <w:rsid w:val="00F14B48"/>
    <w:rsid w:val="00F14BC1"/>
    <w:rsid w:val="00F15502"/>
    <w:rsid w:val="00F15928"/>
    <w:rsid w:val="00F15A93"/>
    <w:rsid w:val="00F15DC6"/>
    <w:rsid w:val="00F163FF"/>
    <w:rsid w:val="00F1660B"/>
    <w:rsid w:val="00F167C8"/>
    <w:rsid w:val="00F16CED"/>
    <w:rsid w:val="00F16F98"/>
    <w:rsid w:val="00F1749C"/>
    <w:rsid w:val="00F174D1"/>
    <w:rsid w:val="00F17E7D"/>
    <w:rsid w:val="00F2026D"/>
    <w:rsid w:val="00F2038B"/>
    <w:rsid w:val="00F2052E"/>
    <w:rsid w:val="00F206D7"/>
    <w:rsid w:val="00F22685"/>
    <w:rsid w:val="00F234AF"/>
    <w:rsid w:val="00F235D1"/>
    <w:rsid w:val="00F23798"/>
    <w:rsid w:val="00F238CE"/>
    <w:rsid w:val="00F24EF8"/>
    <w:rsid w:val="00F24F79"/>
    <w:rsid w:val="00F256A1"/>
    <w:rsid w:val="00F258EC"/>
    <w:rsid w:val="00F2614E"/>
    <w:rsid w:val="00F261B2"/>
    <w:rsid w:val="00F2638C"/>
    <w:rsid w:val="00F2658A"/>
    <w:rsid w:val="00F26679"/>
    <w:rsid w:val="00F26D89"/>
    <w:rsid w:val="00F26DB6"/>
    <w:rsid w:val="00F26F66"/>
    <w:rsid w:val="00F26F98"/>
    <w:rsid w:val="00F27C91"/>
    <w:rsid w:val="00F30154"/>
    <w:rsid w:val="00F302F7"/>
    <w:rsid w:val="00F307E7"/>
    <w:rsid w:val="00F31783"/>
    <w:rsid w:val="00F31D27"/>
    <w:rsid w:val="00F3247A"/>
    <w:rsid w:val="00F329DA"/>
    <w:rsid w:val="00F33B95"/>
    <w:rsid w:val="00F33BD9"/>
    <w:rsid w:val="00F34303"/>
    <w:rsid w:val="00F3528C"/>
    <w:rsid w:val="00F35990"/>
    <w:rsid w:val="00F362BD"/>
    <w:rsid w:val="00F36676"/>
    <w:rsid w:val="00F36CC8"/>
    <w:rsid w:val="00F37305"/>
    <w:rsid w:val="00F37CFB"/>
    <w:rsid w:val="00F37FF3"/>
    <w:rsid w:val="00F403A0"/>
    <w:rsid w:val="00F4059F"/>
    <w:rsid w:val="00F4067B"/>
    <w:rsid w:val="00F40A3B"/>
    <w:rsid w:val="00F43272"/>
    <w:rsid w:val="00F435F8"/>
    <w:rsid w:val="00F4485C"/>
    <w:rsid w:val="00F44DC3"/>
    <w:rsid w:val="00F45578"/>
    <w:rsid w:val="00F459B5"/>
    <w:rsid w:val="00F45F45"/>
    <w:rsid w:val="00F4604A"/>
    <w:rsid w:val="00F461F2"/>
    <w:rsid w:val="00F462B0"/>
    <w:rsid w:val="00F505EC"/>
    <w:rsid w:val="00F50B57"/>
    <w:rsid w:val="00F510BC"/>
    <w:rsid w:val="00F51105"/>
    <w:rsid w:val="00F51E44"/>
    <w:rsid w:val="00F52A8C"/>
    <w:rsid w:val="00F530C2"/>
    <w:rsid w:val="00F5357A"/>
    <w:rsid w:val="00F5382A"/>
    <w:rsid w:val="00F539BE"/>
    <w:rsid w:val="00F53C0D"/>
    <w:rsid w:val="00F54E06"/>
    <w:rsid w:val="00F5530F"/>
    <w:rsid w:val="00F55B2B"/>
    <w:rsid w:val="00F55BE0"/>
    <w:rsid w:val="00F56402"/>
    <w:rsid w:val="00F56EFC"/>
    <w:rsid w:val="00F57989"/>
    <w:rsid w:val="00F57D75"/>
    <w:rsid w:val="00F6060D"/>
    <w:rsid w:val="00F60844"/>
    <w:rsid w:val="00F60AFF"/>
    <w:rsid w:val="00F61171"/>
    <w:rsid w:val="00F61340"/>
    <w:rsid w:val="00F6135C"/>
    <w:rsid w:val="00F613A3"/>
    <w:rsid w:val="00F613D2"/>
    <w:rsid w:val="00F61D6A"/>
    <w:rsid w:val="00F62AB1"/>
    <w:rsid w:val="00F63113"/>
    <w:rsid w:val="00F6319D"/>
    <w:rsid w:val="00F63560"/>
    <w:rsid w:val="00F63607"/>
    <w:rsid w:val="00F63AEF"/>
    <w:rsid w:val="00F63C7C"/>
    <w:rsid w:val="00F64D0F"/>
    <w:rsid w:val="00F65103"/>
    <w:rsid w:val="00F65755"/>
    <w:rsid w:val="00F659E6"/>
    <w:rsid w:val="00F65A67"/>
    <w:rsid w:val="00F65BEF"/>
    <w:rsid w:val="00F66CC9"/>
    <w:rsid w:val="00F66DB7"/>
    <w:rsid w:val="00F670F8"/>
    <w:rsid w:val="00F70965"/>
    <w:rsid w:val="00F70E70"/>
    <w:rsid w:val="00F710E7"/>
    <w:rsid w:val="00F7111A"/>
    <w:rsid w:val="00F717B4"/>
    <w:rsid w:val="00F72157"/>
    <w:rsid w:val="00F72549"/>
    <w:rsid w:val="00F72854"/>
    <w:rsid w:val="00F72899"/>
    <w:rsid w:val="00F7297C"/>
    <w:rsid w:val="00F72A32"/>
    <w:rsid w:val="00F72D6A"/>
    <w:rsid w:val="00F73514"/>
    <w:rsid w:val="00F735B4"/>
    <w:rsid w:val="00F73A10"/>
    <w:rsid w:val="00F7433C"/>
    <w:rsid w:val="00F74EEB"/>
    <w:rsid w:val="00F7502A"/>
    <w:rsid w:val="00F757F5"/>
    <w:rsid w:val="00F75D47"/>
    <w:rsid w:val="00F762D4"/>
    <w:rsid w:val="00F7635B"/>
    <w:rsid w:val="00F7640E"/>
    <w:rsid w:val="00F76FA0"/>
    <w:rsid w:val="00F7701D"/>
    <w:rsid w:val="00F775AF"/>
    <w:rsid w:val="00F77A9D"/>
    <w:rsid w:val="00F77B51"/>
    <w:rsid w:val="00F8002C"/>
    <w:rsid w:val="00F80709"/>
    <w:rsid w:val="00F80ADB"/>
    <w:rsid w:val="00F80DEF"/>
    <w:rsid w:val="00F8105F"/>
    <w:rsid w:val="00F813DA"/>
    <w:rsid w:val="00F81C8C"/>
    <w:rsid w:val="00F81F7C"/>
    <w:rsid w:val="00F82682"/>
    <w:rsid w:val="00F84093"/>
    <w:rsid w:val="00F84B98"/>
    <w:rsid w:val="00F85163"/>
    <w:rsid w:val="00F853CF"/>
    <w:rsid w:val="00F858CD"/>
    <w:rsid w:val="00F85E91"/>
    <w:rsid w:val="00F86486"/>
    <w:rsid w:val="00F86842"/>
    <w:rsid w:val="00F86DD0"/>
    <w:rsid w:val="00F86E85"/>
    <w:rsid w:val="00F872C4"/>
    <w:rsid w:val="00F87A62"/>
    <w:rsid w:val="00F87CB8"/>
    <w:rsid w:val="00F9003E"/>
    <w:rsid w:val="00F908DE"/>
    <w:rsid w:val="00F90EB2"/>
    <w:rsid w:val="00F913B6"/>
    <w:rsid w:val="00F91560"/>
    <w:rsid w:val="00F91D00"/>
    <w:rsid w:val="00F91EBB"/>
    <w:rsid w:val="00F92718"/>
    <w:rsid w:val="00F929F4"/>
    <w:rsid w:val="00F92C8E"/>
    <w:rsid w:val="00F932C7"/>
    <w:rsid w:val="00F9383D"/>
    <w:rsid w:val="00F93C91"/>
    <w:rsid w:val="00F94576"/>
    <w:rsid w:val="00F945EC"/>
    <w:rsid w:val="00F946D6"/>
    <w:rsid w:val="00F94C5A"/>
    <w:rsid w:val="00F94E7D"/>
    <w:rsid w:val="00F9545F"/>
    <w:rsid w:val="00F95A6A"/>
    <w:rsid w:val="00F9610D"/>
    <w:rsid w:val="00F972A4"/>
    <w:rsid w:val="00F9772B"/>
    <w:rsid w:val="00FA0427"/>
    <w:rsid w:val="00FA0AB7"/>
    <w:rsid w:val="00FA0D05"/>
    <w:rsid w:val="00FA1011"/>
    <w:rsid w:val="00FA11A8"/>
    <w:rsid w:val="00FA1BF9"/>
    <w:rsid w:val="00FA2101"/>
    <w:rsid w:val="00FA2191"/>
    <w:rsid w:val="00FA2959"/>
    <w:rsid w:val="00FA302B"/>
    <w:rsid w:val="00FA3400"/>
    <w:rsid w:val="00FA37A5"/>
    <w:rsid w:val="00FA3B3A"/>
    <w:rsid w:val="00FA411E"/>
    <w:rsid w:val="00FA4DCD"/>
    <w:rsid w:val="00FA4FFF"/>
    <w:rsid w:val="00FA5789"/>
    <w:rsid w:val="00FA60A7"/>
    <w:rsid w:val="00FA648A"/>
    <w:rsid w:val="00FA66DE"/>
    <w:rsid w:val="00FA6761"/>
    <w:rsid w:val="00FA695E"/>
    <w:rsid w:val="00FA6A74"/>
    <w:rsid w:val="00FA7667"/>
    <w:rsid w:val="00FA7B4E"/>
    <w:rsid w:val="00FB0059"/>
    <w:rsid w:val="00FB11CB"/>
    <w:rsid w:val="00FB1995"/>
    <w:rsid w:val="00FB2022"/>
    <w:rsid w:val="00FB297A"/>
    <w:rsid w:val="00FB2B5A"/>
    <w:rsid w:val="00FB2ED1"/>
    <w:rsid w:val="00FB362B"/>
    <w:rsid w:val="00FB388E"/>
    <w:rsid w:val="00FB40A2"/>
    <w:rsid w:val="00FB5A01"/>
    <w:rsid w:val="00FB6053"/>
    <w:rsid w:val="00FB6364"/>
    <w:rsid w:val="00FB76E4"/>
    <w:rsid w:val="00FB77D4"/>
    <w:rsid w:val="00FC0D22"/>
    <w:rsid w:val="00FC1A44"/>
    <w:rsid w:val="00FC1AA2"/>
    <w:rsid w:val="00FC212E"/>
    <w:rsid w:val="00FC2271"/>
    <w:rsid w:val="00FC2445"/>
    <w:rsid w:val="00FC250F"/>
    <w:rsid w:val="00FC2B73"/>
    <w:rsid w:val="00FC34C5"/>
    <w:rsid w:val="00FC4B1D"/>
    <w:rsid w:val="00FC4EFD"/>
    <w:rsid w:val="00FC4F94"/>
    <w:rsid w:val="00FC5217"/>
    <w:rsid w:val="00FC61FA"/>
    <w:rsid w:val="00FC6D26"/>
    <w:rsid w:val="00FC7622"/>
    <w:rsid w:val="00FC771E"/>
    <w:rsid w:val="00FC791F"/>
    <w:rsid w:val="00FC7C98"/>
    <w:rsid w:val="00FC7FFD"/>
    <w:rsid w:val="00FD008C"/>
    <w:rsid w:val="00FD02D5"/>
    <w:rsid w:val="00FD0E7C"/>
    <w:rsid w:val="00FD14D3"/>
    <w:rsid w:val="00FD1773"/>
    <w:rsid w:val="00FD194D"/>
    <w:rsid w:val="00FD1C46"/>
    <w:rsid w:val="00FD38CB"/>
    <w:rsid w:val="00FD397A"/>
    <w:rsid w:val="00FD3FE5"/>
    <w:rsid w:val="00FD45C0"/>
    <w:rsid w:val="00FD45EE"/>
    <w:rsid w:val="00FD4AAF"/>
    <w:rsid w:val="00FD564E"/>
    <w:rsid w:val="00FD5F78"/>
    <w:rsid w:val="00FD70F9"/>
    <w:rsid w:val="00FD77F5"/>
    <w:rsid w:val="00FD7B54"/>
    <w:rsid w:val="00FE0442"/>
    <w:rsid w:val="00FE0906"/>
    <w:rsid w:val="00FE0E12"/>
    <w:rsid w:val="00FE132B"/>
    <w:rsid w:val="00FE191B"/>
    <w:rsid w:val="00FE1A07"/>
    <w:rsid w:val="00FE1A8C"/>
    <w:rsid w:val="00FE1ADC"/>
    <w:rsid w:val="00FE1C4B"/>
    <w:rsid w:val="00FE1C6C"/>
    <w:rsid w:val="00FE2DE4"/>
    <w:rsid w:val="00FE2E72"/>
    <w:rsid w:val="00FE3D55"/>
    <w:rsid w:val="00FE453A"/>
    <w:rsid w:val="00FE46AD"/>
    <w:rsid w:val="00FE4F8F"/>
    <w:rsid w:val="00FE624B"/>
    <w:rsid w:val="00FE6327"/>
    <w:rsid w:val="00FE63C7"/>
    <w:rsid w:val="00FE7209"/>
    <w:rsid w:val="00FE722A"/>
    <w:rsid w:val="00FE79E3"/>
    <w:rsid w:val="00FE7A6C"/>
    <w:rsid w:val="00FE7F1B"/>
    <w:rsid w:val="00FF0472"/>
    <w:rsid w:val="00FF08C0"/>
    <w:rsid w:val="00FF0FB8"/>
    <w:rsid w:val="00FF155D"/>
    <w:rsid w:val="00FF2375"/>
    <w:rsid w:val="00FF3117"/>
    <w:rsid w:val="00FF3461"/>
    <w:rsid w:val="00FF36D7"/>
    <w:rsid w:val="00FF437E"/>
    <w:rsid w:val="00FF49B2"/>
    <w:rsid w:val="00FF6920"/>
    <w:rsid w:val="00FF6DA9"/>
    <w:rsid w:val="00FF7D12"/>
    <w:rsid w:val="01023533"/>
    <w:rsid w:val="0125257F"/>
    <w:rsid w:val="012B7CC1"/>
    <w:rsid w:val="018AB6F8"/>
    <w:rsid w:val="018D2213"/>
    <w:rsid w:val="019CC782"/>
    <w:rsid w:val="01C9C690"/>
    <w:rsid w:val="01CAB76C"/>
    <w:rsid w:val="01D95A33"/>
    <w:rsid w:val="01DA801A"/>
    <w:rsid w:val="0208F965"/>
    <w:rsid w:val="0242FA88"/>
    <w:rsid w:val="02486DE4"/>
    <w:rsid w:val="0251013E"/>
    <w:rsid w:val="025ABB6D"/>
    <w:rsid w:val="025C8967"/>
    <w:rsid w:val="0267F437"/>
    <w:rsid w:val="029C8EA3"/>
    <w:rsid w:val="02A0EDDA"/>
    <w:rsid w:val="02F7EBA8"/>
    <w:rsid w:val="03023613"/>
    <w:rsid w:val="031E493C"/>
    <w:rsid w:val="03A7AB62"/>
    <w:rsid w:val="03D6824D"/>
    <w:rsid w:val="03DD5200"/>
    <w:rsid w:val="04062395"/>
    <w:rsid w:val="0418142D"/>
    <w:rsid w:val="0421770E"/>
    <w:rsid w:val="0433AED7"/>
    <w:rsid w:val="045AC39F"/>
    <w:rsid w:val="0475D051"/>
    <w:rsid w:val="047C42F4"/>
    <w:rsid w:val="04928C0D"/>
    <w:rsid w:val="04AA0DB6"/>
    <w:rsid w:val="04AFCD86"/>
    <w:rsid w:val="04E3A9CB"/>
    <w:rsid w:val="0528B267"/>
    <w:rsid w:val="0534BAC8"/>
    <w:rsid w:val="054C6C96"/>
    <w:rsid w:val="056DE14D"/>
    <w:rsid w:val="0580B2E8"/>
    <w:rsid w:val="058CF8C6"/>
    <w:rsid w:val="0593ECE8"/>
    <w:rsid w:val="05B9A5F2"/>
    <w:rsid w:val="05EC39A2"/>
    <w:rsid w:val="05F6ABF0"/>
    <w:rsid w:val="060568FD"/>
    <w:rsid w:val="0615583E"/>
    <w:rsid w:val="063668C4"/>
    <w:rsid w:val="06735469"/>
    <w:rsid w:val="068BE750"/>
    <w:rsid w:val="06C84523"/>
    <w:rsid w:val="06D786AA"/>
    <w:rsid w:val="07173102"/>
    <w:rsid w:val="07309EF8"/>
    <w:rsid w:val="0739F50C"/>
    <w:rsid w:val="074CD0E2"/>
    <w:rsid w:val="07607316"/>
    <w:rsid w:val="07B5BC26"/>
    <w:rsid w:val="07C6669F"/>
    <w:rsid w:val="07DB5F3D"/>
    <w:rsid w:val="07DC09CF"/>
    <w:rsid w:val="07E90BE1"/>
    <w:rsid w:val="08067243"/>
    <w:rsid w:val="0843439B"/>
    <w:rsid w:val="087A637E"/>
    <w:rsid w:val="088A85CD"/>
    <w:rsid w:val="08A8C97E"/>
    <w:rsid w:val="08D79F84"/>
    <w:rsid w:val="08EB0CB4"/>
    <w:rsid w:val="08EF9FA0"/>
    <w:rsid w:val="08F09030"/>
    <w:rsid w:val="08F33E8F"/>
    <w:rsid w:val="08F40056"/>
    <w:rsid w:val="08F9AFDF"/>
    <w:rsid w:val="090C2269"/>
    <w:rsid w:val="0912295B"/>
    <w:rsid w:val="0926A161"/>
    <w:rsid w:val="09631CB5"/>
    <w:rsid w:val="096ADAD8"/>
    <w:rsid w:val="09AE1573"/>
    <w:rsid w:val="09D8260A"/>
    <w:rsid w:val="0A58B103"/>
    <w:rsid w:val="0A5AC7A6"/>
    <w:rsid w:val="0A844A22"/>
    <w:rsid w:val="0A9A741A"/>
    <w:rsid w:val="0ABE2304"/>
    <w:rsid w:val="0AC28E83"/>
    <w:rsid w:val="0AED2D41"/>
    <w:rsid w:val="0AFE4526"/>
    <w:rsid w:val="0BBA1AC3"/>
    <w:rsid w:val="0BC86BD5"/>
    <w:rsid w:val="0BD0F236"/>
    <w:rsid w:val="0BD80047"/>
    <w:rsid w:val="0C3476DD"/>
    <w:rsid w:val="0C59F365"/>
    <w:rsid w:val="0C73CE5F"/>
    <w:rsid w:val="0CB5F39D"/>
    <w:rsid w:val="0CB6266E"/>
    <w:rsid w:val="0CC72E74"/>
    <w:rsid w:val="0CD05324"/>
    <w:rsid w:val="0CFD58AF"/>
    <w:rsid w:val="0D56BEF7"/>
    <w:rsid w:val="0D6383BB"/>
    <w:rsid w:val="0D99B4BA"/>
    <w:rsid w:val="0DA10677"/>
    <w:rsid w:val="0DB3ECD1"/>
    <w:rsid w:val="0DBEDA05"/>
    <w:rsid w:val="0DCF403B"/>
    <w:rsid w:val="0E24CE03"/>
    <w:rsid w:val="0E42C843"/>
    <w:rsid w:val="0E5766BE"/>
    <w:rsid w:val="0E7F24C4"/>
    <w:rsid w:val="0E82FFCA"/>
    <w:rsid w:val="0E91CEAE"/>
    <w:rsid w:val="0EC81222"/>
    <w:rsid w:val="0ECC32B9"/>
    <w:rsid w:val="0ECD747E"/>
    <w:rsid w:val="0F09241B"/>
    <w:rsid w:val="0F36643B"/>
    <w:rsid w:val="0F3CD6D8"/>
    <w:rsid w:val="0F3E0B2A"/>
    <w:rsid w:val="0F5C40B9"/>
    <w:rsid w:val="0F61E94E"/>
    <w:rsid w:val="0F6B109C"/>
    <w:rsid w:val="0F954142"/>
    <w:rsid w:val="0F979835"/>
    <w:rsid w:val="0FAA3989"/>
    <w:rsid w:val="0FB3BD9B"/>
    <w:rsid w:val="0FC790BE"/>
    <w:rsid w:val="0FEDC730"/>
    <w:rsid w:val="10389320"/>
    <w:rsid w:val="104594C7"/>
    <w:rsid w:val="107E193C"/>
    <w:rsid w:val="10846F75"/>
    <w:rsid w:val="109ACF86"/>
    <w:rsid w:val="10A70318"/>
    <w:rsid w:val="10AE38F7"/>
    <w:rsid w:val="10AECA2A"/>
    <w:rsid w:val="10ECC430"/>
    <w:rsid w:val="10FD950F"/>
    <w:rsid w:val="112DE70B"/>
    <w:rsid w:val="113111A3"/>
    <w:rsid w:val="1151948D"/>
    <w:rsid w:val="117F6510"/>
    <w:rsid w:val="11A75BAF"/>
    <w:rsid w:val="11AA4197"/>
    <w:rsid w:val="11E14F5C"/>
    <w:rsid w:val="12034A7A"/>
    <w:rsid w:val="1218B8A8"/>
    <w:rsid w:val="122CDD44"/>
    <w:rsid w:val="128B0730"/>
    <w:rsid w:val="12998A10"/>
    <w:rsid w:val="129CD977"/>
    <w:rsid w:val="12B3EC35"/>
    <w:rsid w:val="12C323F6"/>
    <w:rsid w:val="12E0E221"/>
    <w:rsid w:val="13119966"/>
    <w:rsid w:val="1318AA74"/>
    <w:rsid w:val="134ED728"/>
    <w:rsid w:val="137A8BFB"/>
    <w:rsid w:val="13966BBB"/>
    <w:rsid w:val="13A04391"/>
    <w:rsid w:val="13E36BDB"/>
    <w:rsid w:val="13F6CC7B"/>
    <w:rsid w:val="141047FB"/>
    <w:rsid w:val="14499538"/>
    <w:rsid w:val="1466D566"/>
    <w:rsid w:val="1470406A"/>
    <w:rsid w:val="149B7465"/>
    <w:rsid w:val="14E26108"/>
    <w:rsid w:val="14ED125C"/>
    <w:rsid w:val="1556D26E"/>
    <w:rsid w:val="15A07996"/>
    <w:rsid w:val="15DA49FC"/>
    <w:rsid w:val="15FC5A91"/>
    <w:rsid w:val="16095E4E"/>
    <w:rsid w:val="16701C1C"/>
    <w:rsid w:val="16839B74"/>
    <w:rsid w:val="169E10E6"/>
    <w:rsid w:val="16A9DC86"/>
    <w:rsid w:val="16E21CC9"/>
    <w:rsid w:val="16F47FCC"/>
    <w:rsid w:val="170C4067"/>
    <w:rsid w:val="171E0BAE"/>
    <w:rsid w:val="17497599"/>
    <w:rsid w:val="178B4ECF"/>
    <w:rsid w:val="1792E658"/>
    <w:rsid w:val="17A6771B"/>
    <w:rsid w:val="17BE9822"/>
    <w:rsid w:val="17D50ADB"/>
    <w:rsid w:val="17E70DEF"/>
    <w:rsid w:val="17EC2A4B"/>
    <w:rsid w:val="18082D01"/>
    <w:rsid w:val="180ADF41"/>
    <w:rsid w:val="18415CE5"/>
    <w:rsid w:val="1869CF09"/>
    <w:rsid w:val="187DED2A"/>
    <w:rsid w:val="187FAB3C"/>
    <w:rsid w:val="18927308"/>
    <w:rsid w:val="18A93A73"/>
    <w:rsid w:val="18AE8254"/>
    <w:rsid w:val="18C36E20"/>
    <w:rsid w:val="18DE5412"/>
    <w:rsid w:val="18E5F08C"/>
    <w:rsid w:val="18FC1750"/>
    <w:rsid w:val="190E7A3E"/>
    <w:rsid w:val="194554AB"/>
    <w:rsid w:val="1969D703"/>
    <w:rsid w:val="197F86E0"/>
    <w:rsid w:val="19A0E5E4"/>
    <w:rsid w:val="19BC894B"/>
    <w:rsid w:val="19BE18AC"/>
    <w:rsid w:val="19D5D833"/>
    <w:rsid w:val="19EC84E2"/>
    <w:rsid w:val="19EE645D"/>
    <w:rsid w:val="1A059F6A"/>
    <w:rsid w:val="1A221E4D"/>
    <w:rsid w:val="1A63DD16"/>
    <w:rsid w:val="1A8EC2FF"/>
    <w:rsid w:val="1AA7D94E"/>
    <w:rsid w:val="1AC9B87F"/>
    <w:rsid w:val="1ACD5D1D"/>
    <w:rsid w:val="1AE1250C"/>
    <w:rsid w:val="1AE1F610"/>
    <w:rsid w:val="1AFEE670"/>
    <w:rsid w:val="1B178D80"/>
    <w:rsid w:val="1B20167B"/>
    <w:rsid w:val="1B27CB36"/>
    <w:rsid w:val="1B3A9250"/>
    <w:rsid w:val="1B447F6F"/>
    <w:rsid w:val="1B89241F"/>
    <w:rsid w:val="1B8B3470"/>
    <w:rsid w:val="1BCB2963"/>
    <w:rsid w:val="1BCCF927"/>
    <w:rsid w:val="1BFD02F2"/>
    <w:rsid w:val="1C0468F1"/>
    <w:rsid w:val="1C190C02"/>
    <w:rsid w:val="1C1D8769"/>
    <w:rsid w:val="1C3370F1"/>
    <w:rsid w:val="1C35DD0D"/>
    <w:rsid w:val="1C872078"/>
    <w:rsid w:val="1C8EEBA1"/>
    <w:rsid w:val="1CA2AB12"/>
    <w:rsid w:val="1CA70EF2"/>
    <w:rsid w:val="1CAFA90A"/>
    <w:rsid w:val="1CD42F5E"/>
    <w:rsid w:val="1CEA2106"/>
    <w:rsid w:val="1D376CA2"/>
    <w:rsid w:val="1DC74287"/>
    <w:rsid w:val="1DD412C3"/>
    <w:rsid w:val="1DD8FFEA"/>
    <w:rsid w:val="1E29692D"/>
    <w:rsid w:val="1E3E7B73"/>
    <w:rsid w:val="1E511E2A"/>
    <w:rsid w:val="1E70970E"/>
    <w:rsid w:val="1EAABC2B"/>
    <w:rsid w:val="1EB6CF0D"/>
    <w:rsid w:val="1EC96570"/>
    <w:rsid w:val="1F09F730"/>
    <w:rsid w:val="1F266683"/>
    <w:rsid w:val="1FA6A76D"/>
    <w:rsid w:val="1FD10109"/>
    <w:rsid w:val="1FEBE937"/>
    <w:rsid w:val="1FEEDEFF"/>
    <w:rsid w:val="2002FC6F"/>
    <w:rsid w:val="2009F354"/>
    <w:rsid w:val="2045B845"/>
    <w:rsid w:val="206F0D64"/>
    <w:rsid w:val="20737B50"/>
    <w:rsid w:val="2089003B"/>
    <w:rsid w:val="208A0D3C"/>
    <w:rsid w:val="20963541"/>
    <w:rsid w:val="20AEEECC"/>
    <w:rsid w:val="20C1C337"/>
    <w:rsid w:val="211489CA"/>
    <w:rsid w:val="2114AE1A"/>
    <w:rsid w:val="21175179"/>
    <w:rsid w:val="212B16BB"/>
    <w:rsid w:val="214079D3"/>
    <w:rsid w:val="215221CE"/>
    <w:rsid w:val="216636A1"/>
    <w:rsid w:val="2178279A"/>
    <w:rsid w:val="21946324"/>
    <w:rsid w:val="21C2C6E8"/>
    <w:rsid w:val="21DEC5F8"/>
    <w:rsid w:val="21F1A346"/>
    <w:rsid w:val="2216038C"/>
    <w:rsid w:val="2226FD1D"/>
    <w:rsid w:val="224D227F"/>
    <w:rsid w:val="22644151"/>
    <w:rsid w:val="2273B8FD"/>
    <w:rsid w:val="227B7EA6"/>
    <w:rsid w:val="229DF6E6"/>
    <w:rsid w:val="22B05A2B"/>
    <w:rsid w:val="22BB6316"/>
    <w:rsid w:val="22C8FE57"/>
    <w:rsid w:val="22CC8548"/>
    <w:rsid w:val="22F8C439"/>
    <w:rsid w:val="22F92483"/>
    <w:rsid w:val="22FC7B03"/>
    <w:rsid w:val="23034175"/>
    <w:rsid w:val="2306A575"/>
    <w:rsid w:val="23284E20"/>
    <w:rsid w:val="234ADFA8"/>
    <w:rsid w:val="2354CBCB"/>
    <w:rsid w:val="23577EDA"/>
    <w:rsid w:val="235D24A8"/>
    <w:rsid w:val="23624AD4"/>
    <w:rsid w:val="23642036"/>
    <w:rsid w:val="23B7FD7A"/>
    <w:rsid w:val="24252E50"/>
    <w:rsid w:val="2455F79A"/>
    <w:rsid w:val="2457CAF8"/>
    <w:rsid w:val="2474E96D"/>
    <w:rsid w:val="24C41E81"/>
    <w:rsid w:val="24E34C3E"/>
    <w:rsid w:val="250DDF19"/>
    <w:rsid w:val="2526AF96"/>
    <w:rsid w:val="25433C8A"/>
    <w:rsid w:val="255E23D9"/>
    <w:rsid w:val="259BE213"/>
    <w:rsid w:val="25A1F586"/>
    <w:rsid w:val="25BC2E30"/>
    <w:rsid w:val="260E6905"/>
    <w:rsid w:val="264EAAA9"/>
    <w:rsid w:val="26699A8E"/>
    <w:rsid w:val="267A5D88"/>
    <w:rsid w:val="267ACC32"/>
    <w:rsid w:val="2688263F"/>
    <w:rsid w:val="26B483AF"/>
    <w:rsid w:val="26DB5196"/>
    <w:rsid w:val="26F166E8"/>
    <w:rsid w:val="2778216F"/>
    <w:rsid w:val="27865C56"/>
    <w:rsid w:val="27A03C71"/>
    <w:rsid w:val="27A43608"/>
    <w:rsid w:val="27DC7096"/>
    <w:rsid w:val="27E86EBC"/>
    <w:rsid w:val="27EF3B77"/>
    <w:rsid w:val="2800176C"/>
    <w:rsid w:val="2826CCB0"/>
    <w:rsid w:val="28334211"/>
    <w:rsid w:val="285D7B6F"/>
    <w:rsid w:val="286F4FB6"/>
    <w:rsid w:val="28810FDC"/>
    <w:rsid w:val="28A211AF"/>
    <w:rsid w:val="28C63474"/>
    <w:rsid w:val="29075B93"/>
    <w:rsid w:val="291F1CC0"/>
    <w:rsid w:val="29315548"/>
    <w:rsid w:val="29413F09"/>
    <w:rsid w:val="29504C17"/>
    <w:rsid w:val="295656E5"/>
    <w:rsid w:val="29989A1B"/>
    <w:rsid w:val="29D2D3A0"/>
    <w:rsid w:val="29D770B8"/>
    <w:rsid w:val="29E5095B"/>
    <w:rsid w:val="29EE9BFA"/>
    <w:rsid w:val="2A17E0E5"/>
    <w:rsid w:val="2A31409C"/>
    <w:rsid w:val="2A3F2769"/>
    <w:rsid w:val="2A435EA9"/>
    <w:rsid w:val="2A4B5E41"/>
    <w:rsid w:val="2A7FDCA1"/>
    <w:rsid w:val="2AAB589A"/>
    <w:rsid w:val="2AD4AEDD"/>
    <w:rsid w:val="2AEC1C78"/>
    <w:rsid w:val="2B51B0A1"/>
    <w:rsid w:val="2B77FA5D"/>
    <w:rsid w:val="2B7EB755"/>
    <w:rsid w:val="2B813BD7"/>
    <w:rsid w:val="2BA66FB2"/>
    <w:rsid w:val="2BD8AADB"/>
    <w:rsid w:val="2BF8B947"/>
    <w:rsid w:val="2C0B89EC"/>
    <w:rsid w:val="2C49B480"/>
    <w:rsid w:val="2C56B840"/>
    <w:rsid w:val="2D0E4FAE"/>
    <w:rsid w:val="2D507208"/>
    <w:rsid w:val="2D5A9AE4"/>
    <w:rsid w:val="2D75F498"/>
    <w:rsid w:val="2D799865"/>
    <w:rsid w:val="2D934D2A"/>
    <w:rsid w:val="2DE4DC33"/>
    <w:rsid w:val="2E246EBA"/>
    <w:rsid w:val="2E5B5200"/>
    <w:rsid w:val="2E6D038C"/>
    <w:rsid w:val="2E70987D"/>
    <w:rsid w:val="2E9B9902"/>
    <w:rsid w:val="2EC4D123"/>
    <w:rsid w:val="2EC9FC09"/>
    <w:rsid w:val="2ECD13A0"/>
    <w:rsid w:val="2ED3B82E"/>
    <w:rsid w:val="2EDDF980"/>
    <w:rsid w:val="2EEBD21E"/>
    <w:rsid w:val="2F416D4B"/>
    <w:rsid w:val="2F7CEBB1"/>
    <w:rsid w:val="2FDD4950"/>
    <w:rsid w:val="2FF05EEB"/>
    <w:rsid w:val="2FF89110"/>
    <w:rsid w:val="2FF9A561"/>
    <w:rsid w:val="30638618"/>
    <w:rsid w:val="306C08D1"/>
    <w:rsid w:val="3079D7B6"/>
    <w:rsid w:val="30902E95"/>
    <w:rsid w:val="3093FB37"/>
    <w:rsid w:val="30CC34C4"/>
    <w:rsid w:val="30EEB944"/>
    <w:rsid w:val="3147DC31"/>
    <w:rsid w:val="3155AB39"/>
    <w:rsid w:val="319575C2"/>
    <w:rsid w:val="319A5197"/>
    <w:rsid w:val="31B43236"/>
    <w:rsid w:val="31D5B7D9"/>
    <w:rsid w:val="320831F8"/>
    <w:rsid w:val="3264695A"/>
    <w:rsid w:val="326DCFC0"/>
    <w:rsid w:val="329DD7E3"/>
    <w:rsid w:val="32ED4062"/>
    <w:rsid w:val="3332916A"/>
    <w:rsid w:val="3357FFA1"/>
    <w:rsid w:val="33611227"/>
    <w:rsid w:val="336C4EB8"/>
    <w:rsid w:val="33B2F611"/>
    <w:rsid w:val="33D4FE82"/>
    <w:rsid w:val="33D562CE"/>
    <w:rsid w:val="33F2919C"/>
    <w:rsid w:val="33F46BC3"/>
    <w:rsid w:val="34154DAD"/>
    <w:rsid w:val="3436ED45"/>
    <w:rsid w:val="3445FDD4"/>
    <w:rsid w:val="34461DA0"/>
    <w:rsid w:val="345734CC"/>
    <w:rsid w:val="34740AD6"/>
    <w:rsid w:val="347BF575"/>
    <w:rsid w:val="3493B728"/>
    <w:rsid w:val="3494C5F2"/>
    <w:rsid w:val="34D57DA1"/>
    <w:rsid w:val="350139A1"/>
    <w:rsid w:val="35054325"/>
    <w:rsid w:val="351C2550"/>
    <w:rsid w:val="351F063C"/>
    <w:rsid w:val="35241F89"/>
    <w:rsid w:val="35488958"/>
    <w:rsid w:val="3569298A"/>
    <w:rsid w:val="35FBEA62"/>
    <w:rsid w:val="36089D45"/>
    <w:rsid w:val="362A03C6"/>
    <w:rsid w:val="364346C2"/>
    <w:rsid w:val="3643F9F5"/>
    <w:rsid w:val="369D94C4"/>
    <w:rsid w:val="372A12C7"/>
    <w:rsid w:val="373A4D0D"/>
    <w:rsid w:val="373C5839"/>
    <w:rsid w:val="37438088"/>
    <w:rsid w:val="37617A10"/>
    <w:rsid w:val="37982825"/>
    <w:rsid w:val="37A23533"/>
    <w:rsid w:val="37A26A15"/>
    <w:rsid w:val="37DA364C"/>
    <w:rsid w:val="37F1AE91"/>
    <w:rsid w:val="381013E9"/>
    <w:rsid w:val="3826962E"/>
    <w:rsid w:val="38303D7E"/>
    <w:rsid w:val="3838FE50"/>
    <w:rsid w:val="3850F7D8"/>
    <w:rsid w:val="3854C057"/>
    <w:rsid w:val="3857ADD4"/>
    <w:rsid w:val="386BB369"/>
    <w:rsid w:val="386E6560"/>
    <w:rsid w:val="38798C07"/>
    <w:rsid w:val="3892534F"/>
    <w:rsid w:val="38A5AD4D"/>
    <w:rsid w:val="38ACD8F1"/>
    <w:rsid w:val="38CE27D8"/>
    <w:rsid w:val="38D69AC8"/>
    <w:rsid w:val="38D992BE"/>
    <w:rsid w:val="38F6F5F2"/>
    <w:rsid w:val="38F87A39"/>
    <w:rsid w:val="39086492"/>
    <w:rsid w:val="393ADC0D"/>
    <w:rsid w:val="393DACFF"/>
    <w:rsid w:val="393E3A76"/>
    <w:rsid w:val="394D94F7"/>
    <w:rsid w:val="39DEA1EA"/>
    <w:rsid w:val="3A094BD7"/>
    <w:rsid w:val="3A4049D1"/>
    <w:rsid w:val="3A4EC8DD"/>
    <w:rsid w:val="3A71EC7A"/>
    <w:rsid w:val="3A884E04"/>
    <w:rsid w:val="3A94696F"/>
    <w:rsid w:val="3AEEA952"/>
    <w:rsid w:val="3B0370B1"/>
    <w:rsid w:val="3B09356A"/>
    <w:rsid w:val="3B264B4E"/>
    <w:rsid w:val="3B3180AB"/>
    <w:rsid w:val="3B468F72"/>
    <w:rsid w:val="3B4888EC"/>
    <w:rsid w:val="3B4915C6"/>
    <w:rsid w:val="3BAAB0F5"/>
    <w:rsid w:val="3BDC831F"/>
    <w:rsid w:val="3BF8AA95"/>
    <w:rsid w:val="3C08F831"/>
    <w:rsid w:val="3C09FFFE"/>
    <w:rsid w:val="3C8470D5"/>
    <w:rsid w:val="3C86AF7A"/>
    <w:rsid w:val="3CAA2176"/>
    <w:rsid w:val="3D5490BB"/>
    <w:rsid w:val="3D57A4F9"/>
    <w:rsid w:val="3D74A70C"/>
    <w:rsid w:val="3D9B1D07"/>
    <w:rsid w:val="3DABF186"/>
    <w:rsid w:val="3DC7EF90"/>
    <w:rsid w:val="3E1AF8C4"/>
    <w:rsid w:val="3E3B1173"/>
    <w:rsid w:val="3E577729"/>
    <w:rsid w:val="3E60ECF3"/>
    <w:rsid w:val="3E6FE55F"/>
    <w:rsid w:val="3E868186"/>
    <w:rsid w:val="3E974E34"/>
    <w:rsid w:val="3EACB713"/>
    <w:rsid w:val="3EB1FC81"/>
    <w:rsid w:val="3EFF2A12"/>
    <w:rsid w:val="3F10776D"/>
    <w:rsid w:val="3F674F2E"/>
    <w:rsid w:val="3FA663A4"/>
    <w:rsid w:val="3FCEB7E0"/>
    <w:rsid w:val="3FDADD30"/>
    <w:rsid w:val="4011D142"/>
    <w:rsid w:val="4011F6B6"/>
    <w:rsid w:val="4026B26C"/>
    <w:rsid w:val="405401E2"/>
    <w:rsid w:val="40A1547A"/>
    <w:rsid w:val="40A23572"/>
    <w:rsid w:val="40CF1D42"/>
    <w:rsid w:val="40D1B98F"/>
    <w:rsid w:val="4116F1E6"/>
    <w:rsid w:val="41277DD2"/>
    <w:rsid w:val="41415020"/>
    <w:rsid w:val="41524AF0"/>
    <w:rsid w:val="417C16AC"/>
    <w:rsid w:val="41964EE6"/>
    <w:rsid w:val="419AEA5A"/>
    <w:rsid w:val="420DE403"/>
    <w:rsid w:val="42109E07"/>
    <w:rsid w:val="423739D6"/>
    <w:rsid w:val="427488D1"/>
    <w:rsid w:val="427951C7"/>
    <w:rsid w:val="4283B122"/>
    <w:rsid w:val="4298F79F"/>
    <w:rsid w:val="43003A9D"/>
    <w:rsid w:val="4313976A"/>
    <w:rsid w:val="43339F20"/>
    <w:rsid w:val="433878FA"/>
    <w:rsid w:val="436CACBA"/>
    <w:rsid w:val="437ADDAB"/>
    <w:rsid w:val="43EB07D9"/>
    <w:rsid w:val="440FAECC"/>
    <w:rsid w:val="4413F9E9"/>
    <w:rsid w:val="441F748D"/>
    <w:rsid w:val="4430ADBB"/>
    <w:rsid w:val="443305CE"/>
    <w:rsid w:val="4466B318"/>
    <w:rsid w:val="446A7446"/>
    <w:rsid w:val="44AFA157"/>
    <w:rsid w:val="44CB2220"/>
    <w:rsid w:val="44D97AD5"/>
    <w:rsid w:val="44EEF24E"/>
    <w:rsid w:val="4535A8ED"/>
    <w:rsid w:val="453CCCAC"/>
    <w:rsid w:val="45BC1C3F"/>
    <w:rsid w:val="4628FE68"/>
    <w:rsid w:val="462E5482"/>
    <w:rsid w:val="463077F6"/>
    <w:rsid w:val="4669410A"/>
    <w:rsid w:val="4677D7C2"/>
    <w:rsid w:val="46B18184"/>
    <w:rsid w:val="46CB634C"/>
    <w:rsid w:val="46D36926"/>
    <w:rsid w:val="46E04556"/>
    <w:rsid w:val="46F1DF24"/>
    <w:rsid w:val="47761146"/>
    <w:rsid w:val="47B091A4"/>
    <w:rsid w:val="47B695A1"/>
    <w:rsid w:val="47C46FE5"/>
    <w:rsid w:val="47C4CEC9"/>
    <w:rsid w:val="4805A46D"/>
    <w:rsid w:val="48301AF8"/>
    <w:rsid w:val="48352671"/>
    <w:rsid w:val="48358754"/>
    <w:rsid w:val="4855EB48"/>
    <w:rsid w:val="4890AD58"/>
    <w:rsid w:val="48EFABE5"/>
    <w:rsid w:val="49055ECE"/>
    <w:rsid w:val="493D3974"/>
    <w:rsid w:val="49506A57"/>
    <w:rsid w:val="497A89FE"/>
    <w:rsid w:val="497C1D95"/>
    <w:rsid w:val="49A8163B"/>
    <w:rsid w:val="49BC480D"/>
    <w:rsid w:val="49FC5CF9"/>
    <w:rsid w:val="4A1311FD"/>
    <w:rsid w:val="4A219FC6"/>
    <w:rsid w:val="4A4199BB"/>
    <w:rsid w:val="4A61E24B"/>
    <w:rsid w:val="4A71870D"/>
    <w:rsid w:val="4A7705C0"/>
    <w:rsid w:val="4AB056DE"/>
    <w:rsid w:val="4AFA774D"/>
    <w:rsid w:val="4B0AC002"/>
    <w:rsid w:val="4B435EB8"/>
    <w:rsid w:val="4B8D8C0A"/>
    <w:rsid w:val="4BA16D75"/>
    <w:rsid w:val="4BA57918"/>
    <w:rsid w:val="4C2C4CDA"/>
    <w:rsid w:val="4C742E76"/>
    <w:rsid w:val="4C7D4D26"/>
    <w:rsid w:val="4CB399AD"/>
    <w:rsid w:val="4CBD5262"/>
    <w:rsid w:val="4CD91590"/>
    <w:rsid w:val="4D08AF7B"/>
    <w:rsid w:val="4D22FD62"/>
    <w:rsid w:val="4D2ED77B"/>
    <w:rsid w:val="4D32C159"/>
    <w:rsid w:val="4D46AF72"/>
    <w:rsid w:val="4D6D7BC1"/>
    <w:rsid w:val="4D776732"/>
    <w:rsid w:val="4DD61D17"/>
    <w:rsid w:val="4DDA4143"/>
    <w:rsid w:val="4E3294E3"/>
    <w:rsid w:val="4E636B80"/>
    <w:rsid w:val="4E674A52"/>
    <w:rsid w:val="4EB6ED2B"/>
    <w:rsid w:val="4F06EA7F"/>
    <w:rsid w:val="4F2785D5"/>
    <w:rsid w:val="4F329D0B"/>
    <w:rsid w:val="4F38B4D4"/>
    <w:rsid w:val="4F4A1B63"/>
    <w:rsid w:val="4F611D67"/>
    <w:rsid w:val="4F64B72A"/>
    <w:rsid w:val="4F8DE599"/>
    <w:rsid w:val="4F9502D8"/>
    <w:rsid w:val="4FBC6986"/>
    <w:rsid w:val="4FD3F6A9"/>
    <w:rsid w:val="501D2B49"/>
    <w:rsid w:val="50EFD859"/>
    <w:rsid w:val="5111137F"/>
    <w:rsid w:val="51158D41"/>
    <w:rsid w:val="511BF285"/>
    <w:rsid w:val="514A5E5C"/>
    <w:rsid w:val="51937F0C"/>
    <w:rsid w:val="51CA58AE"/>
    <w:rsid w:val="51D1EC5E"/>
    <w:rsid w:val="51FC22FC"/>
    <w:rsid w:val="52028E3E"/>
    <w:rsid w:val="521DA5C0"/>
    <w:rsid w:val="5222E5EF"/>
    <w:rsid w:val="52411CE8"/>
    <w:rsid w:val="5253E2FA"/>
    <w:rsid w:val="526BAD92"/>
    <w:rsid w:val="5282CAA8"/>
    <w:rsid w:val="528CE0C3"/>
    <w:rsid w:val="52987D93"/>
    <w:rsid w:val="52A0E756"/>
    <w:rsid w:val="52E7836C"/>
    <w:rsid w:val="52ED5639"/>
    <w:rsid w:val="52FA92A3"/>
    <w:rsid w:val="530C2CA1"/>
    <w:rsid w:val="5326A010"/>
    <w:rsid w:val="5338D68F"/>
    <w:rsid w:val="539DD45F"/>
    <w:rsid w:val="53A42A83"/>
    <w:rsid w:val="53E21CE8"/>
    <w:rsid w:val="54098A0E"/>
    <w:rsid w:val="54104D34"/>
    <w:rsid w:val="541E9B09"/>
    <w:rsid w:val="542EFB1D"/>
    <w:rsid w:val="544D5F33"/>
    <w:rsid w:val="54B6770C"/>
    <w:rsid w:val="54D3A2A8"/>
    <w:rsid w:val="54D4509F"/>
    <w:rsid w:val="551760BC"/>
    <w:rsid w:val="55347CD8"/>
    <w:rsid w:val="55417062"/>
    <w:rsid w:val="554F802E"/>
    <w:rsid w:val="5558B0A1"/>
    <w:rsid w:val="555A6DD5"/>
    <w:rsid w:val="55962745"/>
    <w:rsid w:val="55A7357F"/>
    <w:rsid w:val="55C3497C"/>
    <w:rsid w:val="55CCB210"/>
    <w:rsid w:val="55F4584B"/>
    <w:rsid w:val="56355698"/>
    <w:rsid w:val="563B02A6"/>
    <w:rsid w:val="56769A92"/>
    <w:rsid w:val="56D04D39"/>
    <w:rsid w:val="56D8403F"/>
    <w:rsid w:val="56DA7F1E"/>
    <w:rsid w:val="571406B0"/>
    <w:rsid w:val="574544D8"/>
    <w:rsid w:val="575F1E8B"/>
    <w:rsid w:val="576BB5EF"/>
    <w:rsid w:val="57740B7C"/>
    <w:rsid w:val="5784FFF5"/>
    <w:rsid w:val="5787BD48"/>
    <w:rsid w:val="578D6719"/>
    <w:rsid w:val="58034262"/>
    <w:rsid w:val="58048F11"/>
    <w:rsid w:val="58104CDA"/>
    <w:rsid w:val="5819CFF9"/>
    <w:rsid w:val="586C1D9A"/>
    <w:rsid w:val="5898CC01"/>
    <w:rsid w:val="58B059F3"/>
    <w:rsid w:val="58B3C2C0"/>
    <w:rsid w:val="58C982F8"/>
    <w:rsid w:val="58D64813"/>
    <w:rsid w:val="58DC1690"/>
    <w:rsid w:val="58E58CC4"/>
    <w:rsid w:val="58FC7F10"/>
    <w:rsid w:val="591103F6"/>
    <w:rsid w:val="5924B510"/>
    <w:rsid w:val="59632BBC"/>
    <w:rsid w:val="5996AF10"/>
    <w:rsid w:val="599D4F27"/>
    <w:rsid w:val="599E703B"/>
    <w:rsid w:val="59EEC59E"/>
    <w:rsid w:val="5A0F8F48"/>
    <w:rsid w:val="5A3BCF4F"/>
    <w:rsid w:val="5A4FD705"/>
    <w:rsid w:val="5A55E7DF"/>
    <w:rsid w:val="5A63C07A"/>
    <w:rsid w:val="5A6CE6A9"/>
    <w:rsid w:val="5A6EAA9A"/>
    <w:rsid w:val="5ACA2C1D"/>
    <w:rsid w:val="5B138F74"/>
    <w:rsid w:val="5B21BAC7"/>
    <w:rsid w:val="5B62C755"/>
    <w:rsid w:val="5B87B073"/>
    <w:rsid w:val="5B9A5C2C"/>
    <w:rsid w:val="5BB4D116"/>
    <w:rsid w:val="5BD3CA86"/>
    <w:rsid w:val="5BE88337"/>
    <w:rsid w:val="5BEBA766"/>
    <w:rsid w:val="5C31C1F2"/>
    <w:rsid w:val="5C34EB04"/>
    <w:rsid w:val="5C397AB9"/>
    <w:rsid w:val="5C43C0DB"/>
    <w:rsid w:val="5C7747F0"/>
    <w:rsid w:val="5C829496"/>
    <w:rsid w:val="5C86304D"/>
    <w:rsid w:val="5CBFFC79"/>
    <w:rsid w:val="5CD93629"/>
    <w:rsid w:val="5CE157B9"/>
    <w:rsid w:val="5CEE651B"/>
    <w:rsid w:val="5D0E7DC3"/>
    <w:rsid w:val="5D3D3058"/>
    <w:rsid w:val="5D43AF4A"/>
    <w:rsid w:val="5D557F9D"/>
    <w:rsid w:val="5D74C127"/>
    <w:rsid w:val="5D83C87C"/>
    <w:rsid w:val="5D9D1E31"/>
    <w:rsid w:val="5E2200AE"/>
    <w:rsid w:val="5E2ADEED"/>
    <w:rsid w:val="5E40453A"/>
    <w:rsid w:val="5E5BCCDA"/>
    <w:rsid w:val="5E5D7277"/>
    <w:rsid w:val="5E6B4559"/>
    <w:rsid w:val="5E7FE409"/>
    <w:rsid w:val="5E8172EB"/>
    <w:rsid w:val="5E896482"/>
    <w:rsid w:val="5E90D9A4"/>
    <w:rsid w:val="5E923F3D"/>
    <w:rsid w:val="5E92A747"/>
    <w:rsid w:val="5E9C70FF"/>
    <w:rsid w:val="5F0168F7"/>
    <w:rsid w:val="5F1F41C5"/>
    <w:rsid w:val="5F459595"/>
    <w:rsid w:val="5F797840"/>
    <w:rsid w:val="5F995111"/>
    <w:rsid w:val="5FBB663C"/>
    <w:rsid w:val="5FCD9E70"/>
    <w:rsid w:val="5FFF681A"/>
    <w:rsid w:val="6013159D"/>
    <w:rsid w:val="60324384"/>
    <w:rsid w:val="6053F10B"/>
    <w:rsid w:val="605B6289"/>
    <w:rsid w:val="60835165"/>
    <w:rsid w:val="60DC1D79"/>
    <w:rsid w:val="611FAAA0"/>
    <w:rsid w:val="613DADCF"/>
    <w:rsid w:val="614C5BF5"/>
    <w:rsid w:val="6156D596"/>
    <w:rsid w:val="61AAA594"/>
    <w:rsid w:val="61AB8AA6"/>
    <w:rsid w:val="61CBBC03"/>
    <w:rsid w:val="61DC6755"/>
    <w:rsid w:val="61ED9218"/>
    <w:rsid w:val="6210C8DB"/>
    <w:rsid w:val="62145E5C"/>
    <w:rsid w:val="621974B9"/>
    <w:rsid w:val="625CA240"/>
    <w:rsid w:val="628F1DF9"/>
    <w:rsid w:val="629B1C1F"/>
    <w:rsid w:val="62C99FE9"/>
    <w:rsid w:val="62E5EF74"/>
    <w:rsid w:val="62F7E081"/>
    <w:rsid w:val="6310FDBB"/>
    <w:rsid w:val="636370DB"/>
    <w:rsid w:val="636929D4"/>
    <w:rsid w:val="6387912E"/>
    <w:rsid w:val="638B1227"/>
    <w:rsid w:val="638FFF6E"/>
    <w:rsid w:val="63DCC7A0"/>
    <w:rsid w:val="63E53578"/>
    <w:rsid w:val="640BC350"/>
    <w:rsid w:val="64391574"/>
    <w:rsid w:val="645110A0"/>
    <w:rsid w:val="645D50EE"/>
    <w:rsid w:val="64BBBE44"/>
    <w:rsid w:val="64CB0E5E"/>
    <w:rsid w:val="6508A633"/>
    <w:rsid w:val="6527F9D7"/>
    <w:rsid w:val="65593DEE"/>
    <w:rsid w:val="657B3EEB"/>
    <w:rsid w:val="65E9BE2B"/>
    <w:rsid w:val="660CD3BA"/>
    <w:rsid w:val="66253B38"/>
    <w:rsid w:val="6636554D"/>
    <w:rsid w:val="668C67A4"/>
    <w:rsid w:val="66B3BFD3"/>
    <w:rsid w:val="66C5C73D"/>
    <w:rsid w:val="66F1A45F"/>
    <w:rsid w:val="66F684D3"/>
    <w:rsid w:val="67115329"/>
    <w:rsid w:val="6714EDCC"/>
    <w:rsid w:val="672390F3"/>
    <w:rsid w:val="672F08FE"/>
    <w:rsid w:val="675D8568"/>
    <w:rsid w:val="67850943"/>
    <w:rsid w:val="67BAF34C"/>
    <w:rsid w:val="680F64F3"/>
    <w:rsid w:val="68382078"/>
    <w:rsid w:val="68391B4E"/>
    <w:rsid w:val="6863A312"/>
    <w:rsid w:val="687BF269"/>
    <w:rsid w:val="687E1669"/>
    <w:rsid w:val="688E4650"/>
    <w:rsid w:val="68A4D176"/>
    <w:rsid w:val="68A53240"/>
    <w:rsid w:val="68C2B43E"/>
    <w:rsid w:val="690C03B6"/>
    <w:rsid w:val="692F933A"/>
    <w:rsid w:val="695F9EE2"/>
    <w:rsid w:val="69616234"/>
    <w:rsid w:val="69624882"/>
    <w:rsid w:val="69768113"/>
    <w:rsid w:val="6987D3F9"/>
    <w:rsid w:val="6990A6E3"/>
    <w:rsid w:val="699E7F81"/>
    <w:rsid w:val="69EE2792"/>
    <w:rsid w:val="6A210957"/>
    <w:rsid w:val="6A780D25"/>
    <w:rsid w:val="6A945452"/>
    <w:rsid w:val="6AB1F414"/>
    <w:rsid w:val="6ACC51EB"/>
    <w:rsid w:val="6AF65187"/>
    <w:rsid w:val="6B007204"/>
    <w:rsid w:val="6B328B86"/>
    <w:rsid w:val="6B35ECBC"/>
    <w:rsid w:val="6B46A89A"/>
    <w:rsid w:val="6B81CDAE"/>
    <w:rsid w:val="6B821B77"/>
    <w:rsid w:val="6B8E6A66"/>
    <w:rsid w:val="6BB6A0DD"/>
    <w:rsid w:val="6BB6ED2A"/>
    <w:rsid w:val="6BC5F4ED"/>
    <w:rsid w:val="6BE4C44C"/>
    <w:rsid w:val="6BE4D206"/>
    <w:rsid w:val="6C1E7DB4"/>
    <w:rsid w:val="6C38325B"/>
    <w:rsid w:val="6C43EA4F"/>
    <w:rsid w:val="6C4D1F30"/>
    <w:rsid w:val="6C662855"/>
    <w:rsid w:val="6C79956D"/>
    <w:rsid w:val="6C844CA1"/>
    <w:rsid w:val="6C9F2C2A"/>
    <w:rsid w:val="6CB16B1A"/>
    <w:rsid w:val="6CFCE41E"/>
    <w:rsid w:val="6D3508C1"/>
    <w:rsid w:val="6D4AA8C7"/>
    <w:rsid w:val="6D58EA20"/>
    <w:rsid w:val="6DD47C5D"/>
    <w:rsid w:val="6DDD9675"/>
    <w:rsid w:val="6DFF5E80"/>
    <w:rsid w:val="6E0B03B4"/>
    <w:rsid w:val="6E0D4D9D"/>
    <w:rsid w:val="6E0F3ECC"/>
    <w:rsid w:val="6E2FEAF9"/>
    <w:rsid w:val="6E4F1D0A"/>
    <w:rsid w:val="6E65EA89"/>
    <w:rsid w:val="6E8AD753"/>
    <w:rsid w:val="6E9ADCF8"/>
    <w:rsid w:val="6EFEF144"/>
    <w:rsid w:val="6F0D7F86"/>
    <w:rsid w:val="6F0E56F2"/>
    <w:rsid w:val="6F1E87EA"/>
    <w:rsid w:val="6F23554F"/>
    <w:rsid w:val="6F3FF701"/>
    <w:rsid w:val="6F5831C2"/>
    <w:rsid w:val="6F586543"/>
    <w:rsid w:val="6F68381D"/>
    <w:rsid w:val="6F704CBE"/>
    <w:rsid w:val="6FB32EE0"/>
    <w:rsid w:val="6FEE6A5D"/>
    <w:rsid w:val="6FF00600"/>
    <w:rsid w:val="703E7621"/>
    <w:rsid w:val="70594667"/>
    <w:rsid w:val="709F0D12"/>
    <w:rsid w:val="70A51379"/>
    <w:rsid w:val="70AF567B"/>
    <w:rsid w:val="70C1413F"/>
    <w:rsid w:val="70E5EA4A"/>
    <w:rsid w:val="7121E4A6"/>
    <w:rsid w:val="712D89B8"/>
    <w:rsid w:val="712E108D"/>
    <w:rsid w:val="717AD197"/>
    <w:rsid w:val="719921EA"/>
    <w:rsid w:val="71ABB5DE"/>
    <w:rsid w:val="71CAE581"/>
    <w:rsid w:val="71DE4DFA"/>
    <w:rsid w:val="71E57A5B"/>
    <w:rsid w:val="71EF4E1F"/>
    <w:rsid w:val="7202371B"/>
    <w:rsid w:val="720A029B"/>
    <w:rsid w:val="720F7610"/>
    <w:rsid w:val="72164B50"/>
    <w:rsid w:val="723B9802"/>
    <w:rsid w:val="724C88F9"/>
    <w:rsid w:val="7279215C"/>
    <w:rsid w:val="727F1605"/>
    <w:rsid w:val="729077C1"/>
    <w:rsid w:val="72B9B855"/>
    <w:rsid w:val="72BC48CA"/>
    <w:rsid w:val="72FC3CD7"/>
    <w:rsid w:val="731B6148"/>
    <w:rsid w:val="731F836E"/>
    <w:rsid w:val="733017B0"/>
    <w:rsid w:val="73A8A49C"/>
    <w:rsid w:val="73C182CF"/>
    <w:rsid w:val="73DD032C"/>
    <w:rsid w:val="73E63031"/>
    <w:rsid w:val="73E7841D"/>
    <w:rsid w:val="7458192B"/>
    <w:rsid w:val="7472191F"/>
    <w:rsid w:val="74B60DE0"/>
    <w:rsid w:val="74E92046"/>
    <w:rsid w:val="7511B38B"/>
    <w:rsid w:val="751C1CF4"/>
    <w:rsid w:val="752067AC"/>
    <w:rsid w:val="7574A149"/>
    <w:rsid w:val="75776B48"/>
    <w:rsid w:val="75935CC3"/>
    <w:rsid w:val="75C48134"/>
    <w:rsid w:val="75E26A78"/>
    <w:rsid w:val="75E6C7D7"/>
    <w:rsid w:val="75E73788"/>
    <w:rsid w:val="75FC4F1E"/>
    <w:rsid w:val="763F62B4"/>
    <w:rsid w:val="7656018E"/>
    <w:rsid w:val="7658EE90"/>
    <w:rsid w:val="76BE0EA4"/>
    <w:rsid w:val="76C5F587"/>
    <w:rsid w:val="76E2E8F5"/>
    <w:rsid w:val="770CBD82"/>
    <w:rsid w:val="772909A8"/>
    <w:rsid w:val="7748EA9E"/>
    <w:rsid w:val="774BB1F9"/>
    <w:rsid w:val="7782B68A"/>
    <w:rsid w:val="77E35149"/>
    <w:rsid w:val="781799BD"/>
    <w:rsid w:val="781F67CB"/>
    <w:rsid w:val="782CD882"/>
    <w:rsid w:val="78A1A88F"/>
    <w:rsid w:val="78ADE025"/>
    <w:rsid w:val="78B64394"/>
    <w:rsid w:val="78C627B9"/>
    <w:rsid w:val="78F95D50"/>
    <w:rsid w:val="79046215"/>
    <w:rsid w:val="7905A260"/>
    <w:rsid w:val="791159FD"/>
    <w:rsid w:val="7912466B"/>
    <w:rsid w:val="79382354"/>
    <w:rsid w:val="79415730"/>
    <w:rsid w:val="7963D569"/>
    <w:rsid w:val="798C8C98"/>
    <w:rsid w:val="7996788D"/>
    <w:rsid w:val="79A89AFA"/>
    <w:rsid w:val="79CBEBAE"/>
    <w:rsid w:val="79ECE515"/>
    <w:rsid w:val="79F1FE2A"/>
    <w:rsid w:val="7A140440"/>
    <w:rsid w:val="7A1EFB63"/>
    <w:rsid w:val="7A2C1F64"/>
    <w:rsid w:val="7A3CDECE"/>
    <w:rsid w:val="7A66C2B7"/>
    <w:rsid w:val="7A697FFE"/>
    <w:rsid w:val="7A8F3DE1"/>
    <w:rsid w:val="7A937E30"/>
    <w:rsid w:val="7A95F6DB"/>
    <w:rsid w:val="7A9F70EC"/>
    <w:rsid w:val="7AE835F0"/>
    <w:rsid w:val="7B160491"/>
    <w:rsid w:val="7B23B135"/>
    <w:rsid w:val="7BBEB2AC"/>
    <w:rsid w:val="7BC66C66"/>
    <w:rsid w:val="7BD1DAC6"/>
    <w:rsid w:val="7BDD0230"/>
    <w:rsid w:val="7C2A1239"/>
    <w:rsid w:val="7C45F06A"/>
    <w:rsid w:val="7C6C854B"/>
    <w:rsid w:val="7C8DB13A"/>
    <w:rsid w:val="7C985123"/>
    <w:rsid w:val="7CCA6C92"/>
    <w:rsid w:val="7D31FB71"/>
    <w:rsid w:val="7D3DF35E"/>
    <w:rsid w:val="7D903273"/>
    <w:rsid w:val="7DA2F661"/>
    <w:rsid w:val="7DD70146"/>
    <w:rsid w:val="7DE57DC6"/>
    <w:rsid w:val="7DF2FFE9"/>
    <w:rsid w:val="7E27D295"/>
    <w:rsid w:val="7E548F84"/>
    <w:rsid w:val="7E54ADD1"/>
    <w:rsid w:val="7E54C890"/>
    <w:rsid w:val="7E78D632"/>
    <w:rsid w:val="7E8FE076"/>
    <w:rsid w:val="7EEDDA43"/>
    <w:rsid w:val="7F5D287A"/>
    <w:rsid w:val="7F66ADF6"/>
    <w:rsid w:val="7F7E262A"/>
    <w:rsid w:val="7F8A58E6"/>
    <w:rsid w:val="7FF7104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87425"/>
    <o:shapelayout v:ext="edit">
      <o:idmap v:ext="edit" data="1"/>
    </o:shapelayout>
  </w:shapeDefaults>
  <w:decimalSymbol w:val=","/>
  <w:listSeparator w:val=";"/>
  <w14:docId w14:val="74ED3E3F"/>
  <w15:docId w15:val="{ADFAD254-0C2A-4728-ADB3-936689DA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44B"/>
    <w:rPr>
      <w:rFonts w:ascii="Times New Roman" w:hAnsi="Times New Roman"/>
      <w:sz w:val="24"/>
    </w:rPr>
  </w:style>
  <w:style w:type="paragraph" w:styleId="Heading1">
    <w:name w:val="heading 1"/>
    <w:aliases w:val="Heading - Chapter,(Section),MOVE-it 1,Heading 11,Hoofdstuk,Επικεφαλίδα 1 ΌΧΙ,Heading 1 - Main Heading of Document,F3 Heading 1 - Section,Numbered - 1,Section,Chapter Hdg,h1,CH TITLE 1,Chapter Heading,AChapter,Sub code header,Chapter,NEA1,1,l1"/>
    <w:basedOn w:val="Normal"/>
    <w:next w:val="Text1"/>
    <w:link w:val="Heading1Char"/>
    <w:uiPriority w:val="9"/>
    <w:qFormat/>
    <w:rsid w:val="00EC7621"/>
    <w:pPr>
      <w:keepNext/>
      <w:numPr>
        <w:numId w:val="124"/>
      </w:numPr>
      <w:spacing w:before="240" w:after="240" w:line="240" w:lineRule="auto"/>
      <w:jc w:val="both"/>
      <w:outlineLvl w:val="0"/>
    </w:pPr>
    <w:rPr>
      <w:rFonts w:eastAsia="Times New Roman" w:cs="Times New Roman"/>
      <w:b/>
      <w:smallCaps/>
      <w:szCs w:val="20"/>
    </w:rPr>
  </w:style>
  <w:style w:type="paragraph" w:styleId="Heading2">
    <w:name w:val="heading 2"/>
    <w:aliases w:val="Heading 2 - Paragrapf,2,Paragraaf,NEA2,14,H2,Se,Section1,Section2,Section3,NEA21,subhead 1,h2,subhead 11,h21,subhead 12,h22,subhead 13,h23,subhead 14,h24,subhead 15,h25,subhead 111,h211,subhead 121,h221,subhead 131,h231,subhead 141,h241,h26"/>
    <w:basedOn w:val="Normal"/>
    <w:next w:val="Text2"/>
    <w:link w:val="Heading2Char"/>
    <w:uiPriority w:val="9"/>
    <w:qFormat/>
    <w:rsid w:val="00EC7621"/>
    <w:pPr>
      <w:keepNext/>
      <w:numPr>
        <w:ilvl w:val="1"/>
        <w:numId w:val="124"/>
      </w:numPr>
      <w:spacing w:before="60" w:line="240" w:lineRule="auto"/>
      <w:jc w:val="both"/>
      <w:outlineLvl w:val="1"/>
    </w:pPr>
    <w:rPr>
      <w:rFonts w:eastAsia="Times New Roman" w:cs="Times New Roman"/>
      <w:b/>
      <w:szCs w:val="20"/>
    </w:rPr>
  </w:style>
  <w:style w:type="paragraph" w:styleId="Heading3">
    <w:name w:val="heading 3"/>
    <w:aliases w:val="Heading 3 - Subparagraph,Heading 31,Heading 32,Heading 33,Heading 34,Heading 35,Heading 36,Heading 311,Heading 321,Heading 331,Heading 341,Heading 351,Heading 37,Heading 312,Heading 322,Heading 332,Heading 342,Heading 352,Heading 313,Outline3"/>
    <w:basedOn w:val="Normal"/>
    <w:next w:val="Normal"/>
    <w:link w:val="Heading3Char"/>
    <w:uiPriority w:val="9"/>
    <w:qFormat/>
    <w:rsid w:val="001C57D1"/>
    <w:pPr>
      <w:keepNext/>
      <w:numPr>
        <w:ilvl w:val="2"/>
        <w:numId w:val="124"/>
      </w:numPr>
      <w:spacing w:before="60" w:after="120" w:line="240" w:lineRule="auto"/>
      <w:jc w:val="both"/>
      <w:outlineLvl w:val="2"/>
    </w:pPr>
    <w:rPr>
      <w:rFonts w:eastAsia="Times New Roman" w:cs="Times New Roman"/>
      <w:i/>
      <w:szCs w:val="20"/>
      <w:u w:val="single"/>
    </w:rPr>
  </w:style>
  <w:style w:type="paragraph" w:styleId="Heading4">
    <w:name w:val="heading 4"/>
    <w:aliases w:val="Lev 4"/>
    <w:basedOn w:val="Normal"/>
    <w:next w:val="Normal"/>
    <w:link w:val="Heading4Char"/>
    <w:qFormat/>
    <w:rsid w:val="00244E6A"/>
    <w:pPr>
      <w:keepNext/>
      <w:numPr>
        <w:ilvl w:val="3"/>
        <w:numId w:val="124"/>
      </w:numPr>
      <w:tabs>
        <w:tab w:val="num" w:pos="1920"/>
      </w:tabs>
      <w:spacing w:after="240" w:line="240" w:lineRule="auto"/>
      <w:jc w:val="both"/>
      <w:outlineLvl w:val="3"/>
    </w:pPr>
    <w:rPr>
      <w:rFonts w:eastAsia="Times New Roman" w:cs="Times New Roman"/>
      <w:szCs w:val="20"/>
    </w:rPr>
  </w:style>
  <w:style w:type="paragraph" w:styleId="Heading5">
    <w:name w:val="heading 5"/>
    <w:aliases w:val="Lev 5"/>
    <w:basedOn w:val="Normal"/>
    <w:next w:val="Normal"/>
    <w:link w:val="Heading5Char"/>
    <w:uiPriority w:val="9"/>
    <w:unhideWhenUsed/>
    <w:qFormat/>
    <w:rsid w:val="009B236A"/>
    <w:pPr>
      <w:keepNext/>
      <w:keepLines/>
      <w:numPr>
        <w:ilvl w:val="4"/>
        <w:numId w:val="124"/>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aliases w:val="Lev 6"/>
    <w:basedOn w:val="Heading5"/>
    <w:next w:val="WDBody"/>
    <w:link w:val="Heading6Char"/>
    <w:uiPriority w:val="9"/>
    <w:qFormat/>
    <w:rsid w:val="009B236A"/>
    <w:pPr>
      <w:numPr>
        <w:ilvl w:val="5"/>
      </w:numPr>
      <w:spacing w:before="360" w:after="120" w:line="240" w:lineRule="auto"/>
      <w:outlineLvl w:val="5"/>
    </w:pPr>
    <w:rPr>
      <w:rFonts w:ascii="Segoe UI" w:hAnsi="Segoe UI"/>
      <w:i/>
      <w:iCs/>
      <w:color w:val="8064A2" w:themeColor="accent4"/>
      <w:sz w:val="20"/>
      <w:szCs w:val="26"/>
    </w:rPr>
  </w:style>
  <w:style w:type="paragraph" w:styleId="Heading7">
    <w:name w:val="heading 7"/>
    <w:basedOn w:val="Normal"/>
    <w:next w:val="Normal"/>
    <w:link w:val="Heading7Char"/>
    <w:uiPriority w:val="9"/>
    <w:semiHidden/>
    <w:rsid w:val="00A34516"/>
    <w:pPr>
      <w:keepNext/>
      <w:keepLines/>
      <w:numPr>
        <w:ilvl w:val="6"/>
        <w:numId w:val="124"/>
      </w:numPr>
      <w:spacing w:before="200" w:after="0" w:line="240" w:lineRule="auto"/>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A34516"/>
    <w:pPr>
      <w:keepNext/>
      <w:keepLines/>
      <w:numPr>
        <w:ilvl w:val="7"/>
        <w:numId w:val="124"/>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34516"/>
    <w:pPr>
      <w:keepNext/>
      <w:keepLines/>
      <w:numPr>
        <w:ilvl w:val="8"/>
        <w:numId w:val="124"/>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21058A"/>
    <w:rPr>
      <w:color w:val="0000FF"/>
      <w:shd w:val="clear" w:color="auto" w:fill="auto"/>
    </w:rPr>
  </w:style>
  <w:style w:type="paragraph" w:customStyle="1" w:styleId="Pagedecouverture">
    <w:name w:val="Page de couverture"/>
    <w:basedOn w:val="Normal"/>
    <w:next w:val="Normal"/>
    <w:rsid w:val="0021058A"/>
    <w:pPr>
      <w:spacing w:after="0" w:line="240" w:lineRule="auto"/>
      <w:jc w:val="both"/>
    </w:pPr>
    <w:rPr>
      <w:rFonts w:cs="Times New Roman"/>
    </w:rPr>
  </w:style>
  <w:style w:type="paragraph" w:styleId="Header">
    <w:name w:val="header"/>
    <w:basedOn w:val="Normal"/>
    <w:link w:val="HeaderChar"/>
    <w:uiPriority w:val="99"/>
    <w:unhideWhenUsed/>
    <w:rsid w:val="002876B4"/>
    <w:pPr>
      <w:tabs>
        <w:tab w:val="center" w:pos="4535"/>
        <w:tab w:val="right" w:pos="9071"/>
      </w:tabs>
      <w:spacing w:after="120" w:line="240" w:lineRule="auto"/>
      <w:jc w:val="both"/>
    </w:pPr>
    <w:rPr>
      <w:rFonts w:cs="Times New Roman"/>
    </w:rPr>
  </w:style>
  <w:style w:type="character" w:customStyle="1" w:styleId="HeaderChar">
    <w:name w:val="Header Char"/>
    <w:basedOn w:val="DefaultParagraphFont"/>
    <w:link w:val="Header"/>
    <w:uiPriority w:val="99"/>
    <w:rsid w:val="002876B4"/>
    <w:rPr>
      <w:rFonts w:ascii="Times New Roman" w:hAnsi="Times New Roman" w:cs="Times New Roman"/>
      <w:sz w:val="24"/>
    </w:rPr>
  </w:style>
  <w:style w:type="paragraph" w:styleId="Footer">
    <w:name w:val="footer"/>
    <w:basedOn w:val="Normal"/>
    <w:link w:val="FooterChar"/>
    <w:uiPriority w:val="99"/>
    <w:unhideWhenUsed/>
    <w:rsid w:val="002876B4"/>
    <w:pPr>
      <w:tabs>
        <w:tab w:val="center" w:pos="4535"/>
        <w:tab w:val="right" w:pos="9071"/>
        <w:tab w:val="right" w:pos="9921"/>
      </w:tabs>
      <w:spacing w:before="360" w:after="0" w:line="240" w:lineRule="auto"/>
      <w:ind w:left="-850" w:right="-850"/>
    </w:pPr>
    <w:rPr>
      <w:rFonts w:cs="Times New Roman"/>
    </w:rPr>
  </w:style>
  <w:style w:type="character" w:customStyle="1" w:styleId="FooterChar">
    <w:name w:val="Footer Char"/>
    <w:basedOn w:val="DefaultParagraphFont"/>
    <w:link w:val="Footer"/>
    <w:uiPriority w:val="99"/>
    <w:rsid w:val="002876B4"/>
    <w:rPr>
      <w:rFonts w:ascii="Times New Roman" w:hAnsi="Times New Roman" w:cs="Times New Roman"/>
      <w:sz w:val="24"/>
    </w:rPr>
  </w:style>
  <w:style w:type="paragraph" w:customStyle="1" w:styleId="FooterCoverPage">
    <w:name w:val="Footer Cover Page"/>
    <w:basedOn w:val="Normal"/>
    <w:link w:val="FooterCoverPageChar"/>
    <w:rsid w:val="0021058A"/>
    <w:pPr>
      <w:tabs>
        <w:tab w:val="center" w:pos="4535"/>
        <w:tab w:val="right" w:pos="9071"/>
        <w:tab w:val="right" w:pos="9921"/>
      </w:tabs>
      <w:spacing w:before="360" w:after="0" w:line="240" w:lineRule="auto"/>
      <w:ind w:left="-850" w:right="-850"/>
    </w:pPr>
  </w:style>
  <w:style w:type="character" w:customStyle="1" w:styleId="FooterCoverPageChar">
    <w:name w:val="Footer Cover Page Char"/>
    <w:basedOn w:val="DefaultParagraphFont"/>
    <w:link w:val="FooterCoverPage"/>
    <w:rsid w:val="0021058A"/>
    <w:rPr>
      <w:rFonts w:ascii="Times New Roman" w:hAnsi="Times New Roman"/>
      <w:sz w:val="24"/>
    </w:rPr>
  </w:style>
  <w:style w:type="paragraph" w:customStyle="1" w:styleId="HeaderCoverPage">
    <w:name w:val="Header Cover Page"/>
    <w:basedOn w:val="Normal"/>
    <w:link w:val="HeaderCoverPageChar"/>
    <w:rsid w:val="0021058A"/>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21058A"/>
    <w:rPr>
      <w:rFonts w:ascii="Times New Roman" w:hAnsi="Times New Roman"/>
      <w:sz w:val="24"/>
    </w:rPr>
  </w:style>
  <w:style w:type="character" w:customStyle="1" w:styleId="Heading1Char">
    <w:name w:val="Heading 1 Char"/>
    <w:aliases w:val="Heading - Chapter Char,(Section) Char,MOVE-it 1 Char,Heading 11 Char,Hoofdstuk Char,Επικεφαλίδα 1 ΌΧΙ Char,Heading 1 - Main Heading of Document Char,F3 Heading 1 - Section Char,Numbered - 1 Char,Section Char,Chapter Hdg Char,h1 Char"/>
    <w:basedOn w:val="DefaultParagraphFont"/>
    <w:link w:val="Heading1"/>
    <w:uiPriority w:val="9"/>
    <w:rsid w:val="00EC7621"/>
    <w:rPr>
      <w:rFonts w:ascii="Times New Roman" w:eastAsia="Times New Roman" w:hAnsi="Times New Roman" w:cs="Times New Roman"/>
      <w:b/>
      <w:smallCaps/>
      <w:sz w:val="24"/>
      <w:szCs w:val="20"/>
    </w:rPr>
  </w:style>
  <w:style w:type="character" w:customStyle="1" w:styleId="Heading2Char">
    <w:name w:val="Heading 2 Char"/>
    <w:aliases w:val="Heading 2 - Paragrapf Char,2 Char,Paragraaf Char,NEA2 Char,14 Char,H2 Char,Se Char,Section1 Char,Section2 Char,Section3 Char,NEA21 Char,subhead 1 Char,h2 Char,subhead 11 Char,h21 Char,subhead 12 Char,h22 Char,subhead 13 Char,h23 Char"/>
    <w:basedOn w:val="DefaultParagraphFont"/>
    <w:link w:val="Heading2"/>
    <w:uiPriority w:val="9"/>
    <w:rsid w:val="00EC7621"/>
    <w:rPr>
      <w:rFonts w:ascii="Times New Roman" w:eastAsia="Times New Roman" w:hAnsi="Times New Roman" w:cs="Times New Roman"/>
      <w:b/>
      <w:sz w:val="24"/>
      <w:szCs w:val="20"/>
    </w:rPr>
  </w:style>
  <w:style w:type="character" w:customStyle="1" w:styleId="Heading3Char">
    <w:name w:val="Heading 3 Char"/>
    <w:aliases w:val="Heading 3 - Subparagraph Char,Heading 31 Char,Heading 32 Char,Heading 33 Char,Heading 34 Char,Heading 35 Char,Heading 36 Char,Heading 311 Char,Heading 321 Char,Heading 331 Char,Heading 341 Char,Heading 351 Char,Heading 37 Char"/>
    <w:basedOn w:val="DefaultParagraphFont"/>
    <w:link w:val="Heading3"/>
    <w:uiPriority w:val="9"/>
    <w:rsid w:val="001C57D1"/>
    <w:rPr>
      <w:rFonts w:ascii="Times New Roman" w:eastAsia="Times New Roman" w:hAnsi="Times New Roman" w:cs="Times New Roman"/>
      <w:i/>
      <w:sz w:val="24"/>
      <w:szCs w:val="20"/>
      <w:u w:val="single"/>
    </w:rPr>
  </w:style>
  <w:style w:type="character" w:customStyle="1" w:styleId="Heading4Char">
    <w:name w:val="Heading 4 Char"/>
    <w:aliases w:val="Lev 4 Char"/>
    <w:basedOn w:val="DefaultParagraphFont"/>
    <w:link w:val="Heading4"/>
    <w:rsid w:val="00244E6A"/>
    <w:rPr>
      <w:rFonts w:ascii="Times New Roman" w:eastAsia="Times New Roman" w:hAnsi="Times New Roman" w:cs="Times New Roman"/>
      <w:sz w:val="24"/>
      <w:szCs w:val="20"/>
    </w:rPr>
  </w:style>
  <w:style w:type="paragraph" w:customStyle="1" w:styleId="Text1">
    <w:name w:val="Text 1"/>
    <w:basedOn w:val="Normal"/>
    <w:rsid w:val="00244E6A"/>
    <w:pPr>
      <w:spacing w:after="240" w:line="240" w:lineRule="auto"/>
      <w:ind w:left="482"/>
      <w:jc w:val="both"/>
    </w:pPr>
    <w:rPr>
      <w:rFonts w:eastAsia="Times New Roman" w:cs="Times New Roman"/>
      <w:szCs w:val="20"/>
    </w:rPr>
  </w:style>
  <w:style w:type="paragraph" w:customStyle="1" w:styleId="Text2">
    <w:name w:val="Text 2"/>
    <w:basedOn w:val="Normal"/>
    <w:rsid w:val="00244E6A"/>
    <w:pPr>
      <w:tabs>
        <w:tab w:val="left" w:pos="2302"/>
      </w:tabs>
      <w:spacing w:after="240" w:line="240" w:lineRule="auto"/>
      <w:ind w:left="1202"/>
      <w:jc w:val="both"/>
    </w:pPr>
    <w:rPr>
      <w:rFonts w:eastAsia="Times New Roman" w:cs="Times New Roman"/>
      <w:szCs w:val="20"/>
    </w:rPr>
  </w:style>
  <w:style w:type="paragraph" w:styleId="ListBullet">
    <w:name w:val="List Bullet"/>
    <w:basedOn w:val="Normal"/>
    <w:rsid w:val="00244E6A"/>
    <w:pPr>
      <w:numPr>
        <w:numId w:val="9"/>
      </w:numPr>
      <w:spacing w:after="240" w:line="240" w:lineRule="auto"/>
      <w:jc w:val="both"/>
    </w:pPr>
    <w:rPr>
      <w:rFonts w:eastAsia="Times New Roman" w:cs="Times New Roman"/>
      <w:szCs w:val="20"/>
    </w:rPr>
  </w:style>
  <w:style w:type="paragraph" w:customStyle="1" w:styleId="ListDash1">
    <w:name w:val="List Dash 1"/>
    <w:basedOn w:val="Text1"/>
    <w:rsid w:val="00244E6A"/>
    <w:pPr>
      <w:numPr>
        <w:numId w:val="10"/>
      </w:numPr>
    </w:pPr>
  </w:style>
  <w:style w:type="table" w:styleId="TableGrid">
    <w:name w:val="Table Grid"/>
    <w:aliases w:val="Document Table,CV1,TabelEcorys,CV table,Deloitte,Table Grid IDEA,Table EY,none"/>
    <w:basedOn w:val="TableNormal"/>
    <w:uiPriority w:val="39"/>
    <w:rsid w:val="00244E6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
    <w:name w:val="Annex Title"/>
    <w:basedOn w:val="Normal"/>
    <w:next w:val="Normal"/>
    <w:link w:val="AnnexTitleChar"/>
    <w:qFormat/>
    <w:rsid w:val="00AE71E2"/>
    <w:pPr>
      <w:keepNext/>
      <w:spacing w:after="480" w:line="240" w:lineRule="auto"/>
      <w:ind w:left="360" w:hanging="360"/>
      <w:jc w:val="center"/>
    </w:pPr>
    <w:rPr>
      <w:rFonts w:eastAsia="Times New Roman" w:cs="Times New Roman"/>
      <w:b/>
      <w:sz w:val="32"/>
      <w:szCs w:val="20"/>
    </w:rPr>
  </w:style>
  <w:style w:type="character" w:customStyle="1" w:styleId="AnnexTitleChar">
    <w:name w:val="Annex Title Char"/>
    <w:basedOn w:val="DefaultParagraphFont"/>
    <w:link w:val="AnnexTitle"/>
    <w:rsid w:val="00AE71E2"/>
    <w:rPr>
      <w:rFonts w:ascii="Times New Roman" w:eastAsia="Times New Roman" w:hAnsi="Times New Roman" w:cs="Times New Roman"/>
      <w:b/>
      <w:sz w:val="32"/>
      <w:szCs w:val="20"/>
    </w:rPr>
  </w:style>
  <w:style w:type="table" w:customStyle="1" w:styleId="CV11">
    <w:name w:val="CV11"/>
    <w:basedOn w:val="TableNormal"/>
    <w:next w:val="TableGrid"/>
    <w:uiPriority w:val="39"/>
    <w:rsid w:val="00244E6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
    <w:name w:val="CV12"/>
    <w:basedOn w:val="TableNormal"/>
    <w:next w:val="TableGrid"/>
    <w:uiPriority w:val="39"/>
    <w:rsid w:val="00244E6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3">
    <w:name w:val="CV13"/>
    <w:basedOn w:val="TableNormal"/>
    <w:next w:val="TableGrid"/>
    <w:uiPriority w:val="39"/>
    <w:rsid w:val="00244E6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44E6A"/>
    <w:pPr>
      <w:tabs>
        <w:tab w:val="right" w:leader="dot" w:pos="8640"/>
      </w:tabs>
      <w:spacing w:before="120" w:after="120" w:line="240" w:lineRule="auto"/>
      <w:ind w:left="482" w:right="720" w:hanging="482"/>
      <w:jc w:val="both"/>
    </w:pPr>
    <w:rPr>
      <w:rFonts w:eastAsia="Times New Roman" w:cs="Times New Roman"/>
      <w:caps/>
      <w:sz w:val="20"/>
      <w:szCs w:val="20"/>
    </w:rPr>
  </w:style>
  <w:style w:type="paragraph" w:styleId="TOC2">
    <w:name w:val="toc 2"/>
    <w:basedOn w:val="Normal"/>
    <w:next w:val="Normal"/>
    <w:uiPriority w:val="39"/>
    <w:rsid w:val="00244E6A"/>
    <w:pPr>
      <w:tabs>
        <w:tab w:val="right" w:leader="dot" w:pos="8640"/>
      </w:tabs>
      <w:spacing w:before="60" w:after="60" w:line="240" w:lineRule="auto"/>
      <w:ind w:left="1077" w:right="720" w:hanging="595"/>
      <w:jc w:val="both"/>
    </w:pPr>
    <w:rPr>
      <w:rFonts w:eastAsia="Times New Roman" w:cs="Times New Roman"/>
      <w:szCs w:val="20"/>
    </w:rPr>
  </w:style>
  <w:style w:type="paragraph" w:styleId="TOCHeading">
    <w:name w:val="TOC Heading"/>
    <w:basedOn w:val="Normal"/>
    <w:next w:val="Normal"/>
    <w:qFormat/>
    <w:rsid w:val="00244E6A"/>
    <w:pPr>
      <w:keepNext/>
      <w:spacing w:before="240" w:after="240" w:line="240" w:lineRule="auto"/>
      <w:jc w:val="center"/>
    </w:pPr>
    <w:rPr>
      <w:rFonts w:eastAsia="Times New Roman" w:cs="Times New Roman"/>
      <w:b/>
      <w:szCs w:val="20"/>
    </w:rPr>
  </w:style>
  <w:style w:type="character" w:styleId="Hyperlink">
    <w:name w:val="Hyperlink"/>
    <w:basedOn w:val="DefaultParagraphFont"/>
    <w:uiPriority w:val="99"/>
    <w:unhideWhenUsed/>
    <w:rsid w:val="00244E6A"/>
    <w:rPr>
      <w:color w:val="0000FF" w:themeColor="hyperlink"/>
      <w:u w:val="single"/>
    </w:rPr>
  </w:style>
  <w:style w:type="paragraph" w:styleId="BalloonText">
    <w:name w:val="Balloon Text"/>
    <w:basedOn w:val="Normal"/>
    <w:link w:val="BalloonTextChar"/>
    <w:uiPriority w:val="99"/>
    <w:semiHidden/>
    <w:unhideWhenUsed/>
    <w:rsid w:val="000B4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04B"/>
    <w:rPr>
      <w:rFonts w:ascii="Tahoma" w:hAnsi="Tahoma" w:cs="Tahoma"/>
      <w:sz w:val="16"/>
      <w:szCs w:val="16"/>
    </w:rPr>
  </w:style>
  <w:style w:type="paragraph" w:customStyle="1" w:styleId="Declassification">
    <w:name w:val="Declassification"/>
    <w:basedOn w:val="Normal"/>
    <w:next w:val="Normal"/>
    <w:rsid w:val="002876B4"/>
    <w:pPr>
      <w:spacing w:after="0" w:line="240" w:lineRule="auto"/>
      <w:jc w:val="both"/>
    </w:pPr>
    <w:rPr>
      <w:rFonts w:cs="Times New Roman"/>
    </w:rPr>
  </w:style>
  <w:style w:type="paragraph" w:customStyle="1" w:styleId="HeaderLandscape">
    <w:name w:val="HeaderLandscape"/>
    <w:basedOn w:val="Normal"/>
    <w:rsid w:val="002876B4"/>
    <w:pPr>
      <w:tabs>
        <w:tab w:val="center" w:pos="7285"/>
        <w:tab w:val="right" w:pos="14003"/>
      </w:tabs>
      <w:spacing w:after="120" w:line="240" w:lineRule="auto"/>
      <w:jc w:val="both"/>
    </w:pPr>
    <w:rPr>
      <w:rFonts w:cs="Times New Roman"/>
    </w:rPr>
  </w:style>
  <w:style w:type="paragraph" w:customStyle="1" w:styleId="HeaderSensitivity">
    <w:name w:val="Header Sensitivity"/>
    <w:basedOn w:val="Normal"/>
    <w:rsid w:val="002876B4"/>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paragraph" w:customStyle="1" w:styleId="FooterLandscape">
    <w:name w:val="FooterLandscape"/>
    <w:basedOn w:val="Normal"/>
    <w:rsid w:val="002876B4"/>
    <w:pPr>
      <w:tabs>
        <w:tab w:val="center" w:pos="7285"/>
        <w:tab w:val="center" w:pos="10913"/>
        <w:tab w:val="right" w:pos="15137"/>
      </w:tabs>
      <w:spacing w:before="360" w:after="0" w:line="240" w:lineRule="auto"/>
      <w:ind w:left="-567" w:right="-567"/>
    </w:pPr>
    <w:rPr>
      <w:rFonts w:cs="Times New Roman"/>
    </w:rPr>
  </w:style>
  <w:style w:type="paragraph" w:customStyle="1" w:styleId="FooterSensitivity">
    <w:name w:val="Footer Sensitivity"/>
    <w:basedOn w:val="Normal"/>
    <w:rsid w:val="002876B4"/>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paragraph" w:styleId="ListParagraph">
    <w:name w:val="List Paragraph"/>
    <w:aliases w:val="Paragraph,Paragraphe de liste PBLH,Normal bullet 2,Bullet list,Figure_name,Equipment,Numbered Indented Text,List Paragraph1,lp1,List Paragraph11,List Paragraph Char Char Char,List Paragraph Char Char,Citation List,Lettre d'introduction,EC"/>
    <w:basedOn w:val="Normal"/>
    <w:link w:val="ListParagraphChar"/>
    <w:uiPriority w:val="34"/>
    <w:qFormat/>
    <w:pPr>
      <w:ind w:left="720"/>
      <w:contextualSpacing/>
    </w:pPr>
  </w:style>
  <w:style w:type="character" w:styleId="FootnoteReference">
    <w:name w:val="footnote reference"/>
    <w:aliases w:val="SUPERS,Odwołanie przypisu,Times 10 Point,Exposant 3 Point,Footnote symbol,Footnote reference number,number,Footnote Reference Superscript,stylish,Знак сноски-FN,Ciae niinee-FN,Знак сноски 1,(Footnote Reference),FR,R, Exposant 3 Point"/>
    <w:basedOn w:val="DefaultParagraphFont"/>
    <w:link w:val="SUPERSCharCharCharCharCharCharCharChar"/>
    <w:uiPriority w:val="99"/>
    <w:unhideWhenUsed/>
    <w:qFormat/>
    <w:rPr>
      <w:vertAlign w:val="superscript"/>
    </w:rPr>
  </w:style>
  <w:style w:type="character" w:customStyle="1" w:styleId="FootnoteTextChar">
    <w:name w:val="Footnote Text Char"/>
    <w:aliases w:val="Fußnotentextf Char,Fußnotentextr Char,stile 1 Char,Footnote Char,Footnote1 Char,Footnote2 Char,Footnote3 Char,Footnote4 Char,Footnote5 Char,Footnote6 Char,Footnote7 Char,Footnote8 Char,Footnote9 Char,Footnote10 Char,Footnote11 Char"/>
    <w:basedOn w:val="DefaultParagraphFont"/>
    <w:link w:val="FootnoteText"/>
    <w:uiPriority w:val="99"/>
    <w:qFormat/>
    <w:rsid w:val="00096CB5"/>
    <w:rPr>
      <w:rFonts w:ascii="Times New Roman" w:hAnsi="Times New Roman"/>
      <w:sz w:val="16"/>
      <w:szCs w:val="20"/>
    </w:rPr>
  </w:style>
  <w:style w:type="paragraph" w:styleId="FootnoteText">
    <w:name w:val="footnote text"/>
    <w:aliases w:val="Fußnotentextf,Fußnotentextr,stile 1,Footnote,Footnote1,Footnote2,Footnote3,Footnote4,Footnote5,Footnote6,Footnote7,Footnote8,Footnote9,Footnote10,Footnote11,Footnote21,Footnote31,Footnote41,Footnote51,Footnote61,Footnote71,RSK-FT,RSK-FT1,f"/>
    <w:basedOn w:val="Normal"/>
    <w:link w:val="FootnoteTextChar"/>
    <w:uiPriority w:val="99"/>
    <w:unhideWhenUsed/>
    <w:qFormat/>
    <w:rsid w:val="00096CB5"/>
    <w:pPr>
      <w:spacing w:after="0" w:line="240" w:lineRule="auto"/>
    </w:pPr>
    <w:rPr>
      <w:sz w:val="16"/>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customStyle="1" w:styleId="Disclaimer">
    <w:name w:val="Disclaimer"/>
    <w:basedOn w:val="Normal"/>
    <w:rsid w:val="00432D42"/>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cs="Times New Roman"/>
    </w:rPr>
  </w:style>
  <w:style w:type="paragraph" w:customStyle="1" w:styleId="SecurityMarking">
    <w:name w:val="SecurityMarking"/>
    <w:basedOn w:val="Normal"/>
    <w:rsid w:val="00432D42"/>
    <w:pPr>
      <w:spacing w:after="0"/>
      <w:ind w:left="5103"/>
    </w:pPr>
    <w:rPr>
      <w:rFonts w:cs="Times New Roman"/>
      <w:sz w:val="28"/>
    </w:rPr>
  </w:style>
  <w:style w:type="paragraph" w:customStyle="1" w:styleId="DateMarking">
    <w:name w:val="DateMarking"/>
    <w:basedOn w:val="Normal"/>
    <w:rsid w:val="00432D42"/>
    <w:pPr>
      <w:spacing w:after="0"/>
      <w:ind w:left="5103"/>
    </w:pPr>
    <w:rPr>
      <w:rFonts w:cs="Times New Roman"/>
      <w:i/>
      <w:sz w:val="28"/>
    </w:rPr>
  </w:style>
  <w:style w:type="paragraph" w:customStyle="1" w:styleId="ReleasableTo">
    <w:name w:val="ReleasableTo"/>
    <w:basedOn w:val="Normal"/>
    <w:rsid w:val="00432D42"/>
    <w:pPr>
      <w:spacing w:after="0"/>
      <w:ind w:left="5103"/>
    </w:pPr>
    <w:rPr>
      <w:rFonts w:cs="Times New Roman"/>
      <w:i/>
      <w:sz w:val="28"/>
    </w:rPr>
  </w:style>
  <w:style w:type="paragraph" w:customStyle="1" w:styleId="HeaderSensitivityRight">
    <w:name w:val="Header Sensitivity Right"/>
    <w:basedOn w:val="Normal"/>
    <w:rsid w:val="00432D42"/>
    <w:pPr>
      <w:spacing w:after="120" w:line="240" w:lineRule="auto"/>
      <w:jc w:val="right"/>
    </w:pPr>
    <w:rPr>
      <w:sz w:val="28"/>
    </w:rPr>
  </w:style>
  <w:style w:type="paragraph" w:styleId="CommentSubject">
    <w:name w:val="annotation subject"/>
    <w:basedOn w:val="CommentText"/>
    <w:next w:val="CommentText"/>
    <w:link w:val="CommentSubjectChar"/>
    <w:uiPriority w:val="99"/>
    <w:semiHidden/>
    <w:unhideWhenUsed/>
    <w:rsid w:val="00C649DE"/>
    <w:rPr>
      <w:b/>
      <w:bCs/>
    </w:rPr>
  </w:style>
  <w:style w:type="character" w:customStyle="1" w:styleId="CommentSubjectChar">
    <w:name w:val="Comment Subject Char"/>
    <w:basedOn w:val="CommentTextChar"/>
    <w:link w:val="CommentSubject"/>
    <w:uiPriority w:val="99"/>
    <w:semiHidden/>
    <w:rsid w:val="00C649DE"/>
    <w:rPr>
      <w:b/>
      <w:bCs/>
      <w:sz w:val="20"/>
      <w:szCs w:val="20"/>
    </w:rPr>
  </w:style>
  <w:style w:type="paragraph" w:customStyle="1" w:styleId="WDBody">
    <w:name w:val="WD Body"/>
    <w:aliases w:val="Body,AFW Body,Normal Arial,AFW Memo Body,AFW Mins,NuGen Body Numbered,AMEC Body,Body (IACC),NG Body Numbered,Infin Body Numbered,Vat Body Numbered,Body (DIO PSP),38058 11pt Body,AFW Capability Body 9pt,AFW Profile Body 9pt,36380  Body,WD Mins"/>
    <w:link w:val="AFWBodyChar"/>
    <w:qFormat/>
    <w:rsid w:val="00F234AF"/>
    <w:pPr>
      <w:spacing w:after="160" w:line="240" w:lineRule="atLeast"/>
    </w:pPr>
    <w:rPr>
      <w:rFonts w:ascii="Segoe UI" w:hAnsi="Segoe UI"/>
      <w:color w:val="000000"/>
      <w:sz w:val="20"/>
    </w:rPr>
  </w:style>
  <w:style w:type="paragraph" w:customStyle="1" w:styleId="WDFigureTitle">
    <w:name w:val="WD Figure Title"/>
    <w:basedOn w:val="Normal"/>
    <w:next w:val="WDBody"/>
    <w:rsid w:val="00F234AF"/>
    <w:pPr>
      <w:keepNext/>
      <w:keepLines/>
      <w:tabs>
        <w:tab w:val="left" w:pos="1134"/>
      </w:tabs>
      <w:spacing w:before="360" w:after="160" w:line="240" w:lineRule="auto"/>
      <w:outlineLvl w:val="3"/>
    </w:pPr>
    <w:rPr>
      <w:rFonts w:ascii="Segoe UI" w:eastAsia="Times New Roman" w:hAnsi="Segoe UI" w:cstheme="majorBidi"/>
      <w:iCs/>
      <w:color w:val="884C91"/>
      <w:sz w:val="20"/>
      <w:szCs w:val="26"/>
      <w:lang w:eastAsia="en-GB"/>
    </w:rPr>
  </w:style>
  <w:style w:type="paragraph" w:customStyle="1" w:styleId="WDBodySmall">
    <w:name w:val="WD Body Small"/>
    <w:aliases w:val="Body Small,AFW Body Small"/>
    <w:basedOn w:val="WDBody"/>
    <w:qFormat/>
    <w:rsid w:val="00F234AF"/>
    <w:pPr>
      <w:spacing w:after="0" w:line="240" w:lineRule="auto"/>
    </w:pPr>
    <w:rPr>
      <w:sz w:val="16"/>
    </w:rPr>
  </w:style>
  <w:style w:type="character" w:customStyle="1" w:styleId="AFWBodyChar">
    <w:name w:val="AFW Body Char"/>
    <w:aliases w:val="Body Char"/>
    <w:link w:val="WDBody"/>
    <w:locked/>
    <w:rsid w:val="00F234AF"/>
    <w:rPr>
      <w:rFonts w:ascii="Segoe UI" w:hAnsi="Segoe UI"/>
      <w:color w:val="000000"/>
      <w:sz w:val="20"/>
    </w:rPr>
  </w:style>
  <w:style w:type="paragraph" w:styleId="EndnoteText">
    <w:name w:val="endnote text"/>
    <w:basedOn w:val="Normal"/>
    <w:link w:val="EndnoteTextChar"/>
    <w:uiPriority w:val="99"/>
    <w:semiHidden/>
    <w:unhideWhenUsed/>
    <w:rsid w:val="00F234A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34AF"/>
    <w:rPr>
      <w:sz w:val="20"/>
      <w:szCs w:val="20"/>
    </w:rPr>
  </w:style>
  <w:style w:type="character" w:styleId="EndnoteReference">
    <w:name w:val="endnote reference"/>
    <w:basedOn w:val="DefaultParagraphFont"/>
    <w:uiPriority w:val="99"/>
    <w:unhideWhenUsed/>
    <w:rsid w:val="00F234AF"/>
    <w:rPr>
      <w:vertAlign w:val="superscript"/>
    </w:rPr>
  </w:style>
  <w:style w:type="table" w:customStyle="1" w:styleId="WoodEISUKReportTable">
    <w:name w:val="Wood E&amp;IS UK Report Table"/>
    <w:basedOn w:val="TableNormal"/>
    <w:uiPriority w:val="99"/>
    <w:qFormat/>
    <w:rsid w:val="00FE7A6C"/>
    <w:pPr>
      <w:spacing w:after="0" w:line="240" w:lineRule="auto"/>
    </w:pPr>
    <w:rPr>
      <w:rFonts w:ascii="Arial" w:hAnsi="Arial"/>
      <w:color w:val="28272F"/>
      <w:sz w:val="20"/>
    </w:rPr>
    <w:tblPr>
      <w:tblStyleRowBandSize w:val="1"/>
      <w:tblStyleColBandSize w:val="1"/>
      <w:tblBorders>
        <w:bottom w:val="single" w:sz="2" w:space="0" w:color="36353F"/>
      </w:tblBorders>
      <w:tblCellMar>
        <w:top w:w="113" w:type="dxa"/>
        <w:bottom w:w="113" w:type="dxa"/>
      </w:tblCellMar>
    </w:tblPr>
    <w:tblStylePr w:type="firstRow">
      <w:pPr>
        <w:spacing w:before="0" w:after="0" w:line="240" w:lineRule="auto"/>
      </w:pPr>
      <w:rPr>
        <w:rFonts w:ascii="Arial" w:hAnsi="Arial"/>
        <w:b/>
        <w:bCs/>
        <w:color w:val="51505E"/>
        <w:sz w:val="20"/>
      </w:rPr>
      <w:tblPr/>
      <w:tcPr>
        <w:tcBorders>
          <w:top w:val="single" w:sz="2" w:space="0" w:color="36353F"/>
          <w:left w:val="nil"/>
          <w:bottom w:val="single" w:sz="2" w:space="0" w:color="36353F"/>
          <w:right w:val="nil"/>
          <w:insideH w:val="nil"/>
          <w:insideV w:val="nil"/>
          <w:tl2br w:val="nil"/>
          <w:tr2bl w:val="nil"/>
        </w:tcBorders>
      </w:tcPr>
    </w:tblStylePr>
    <w:tblStylePr w:type="lastRow">
      <w:pPr>
        <w:spacing w:before="0" w:after="0" w:line="240" w:lineRule="auto"/>
      </w:pPr>
      <w:rPr>
        <w:b/>
        <w:bCs/>
      </w:rPr>
      <w:tblPr/>
      <w:tcPr>
        <w:tcBorders>
          <w:top w:val="single" w:sz="8" w:space="0" w:color="36353F"/>
          <w:left w:val="nil"/>
          <w:bottom w:val="single" w:sz="8" w:space="0" w:color="3635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D2"/>
      </w:tcPr>
    </w:tblStylePr>
    <w:tblStylePr w:type="band2Vert">
      <w:tblPr/>
      <w:tcPr>
        <w:shd w:val="clear" w:color="auto" w:fill="FFFFFF"/>
      </w:tcPr>
    </w:tblStylePr>
    <w:tblStylePr w:type="band1Horz">
      <w:tblPr/>
      <w:tcPr>
        <w:tcBorders>
          <w:left w:val="nil"/>
          <w:right w:val="nil"/>
          <w:insideH w:val="nil"/>
          <w:insideV w:val="nil"/>
        </w:tcBorders>
        <w:shd w:val="clear" w:color="auto" w:fill="E7E7E8"/>
      </w:tcPr>
    </w:tblStylePr>
    <w:tblStylePr w:type="band2Horz">
      <w:tblPr/>
      <w:tcPr>
        <w:shd w:val="clear" w:color="auto" w:fill="F8F8F8"/>
      </w:tcPr>
    </w:tblStylePr>
  </w:style>
  <w:style w:type="paragraph" w:customStyle="1" w:styleId="WDTable">
    <w:name w:val="WD Table"/>
    <w:aliases w:val="Table Content"/>
    <w:basedOn w:val="Normal"/>
    <w:qFormat/>
    <w:rsid w:val="005529C4"/>
    <w:pPr>
      <w:spacing w:after="0" w:line="240" w:lineRule="auto"/>
    </w:pPr>
    <w:rPr>
      <w:color w:val="000000"/>
      <w:sz w:val="16"/>
    </w:rPr>
  </w:style>
  <w:style w:type="paragraph" w:customStyle="1" w:styleId="WDTableTitle">
    <w:name w:val="WD Table Title"/>
    <w:basedOn w:val="Heading4"/>
    <w:rsid w:val="0052595E"/>
    <w:pPr>
      <w:keepLines/>
      <w:tabs>
        <w:tab w:val="clear" w:pos="1920"/>
        <w:tab w:val="left" w:pos="1134"/>
      </w:tabs>
      <w:spacing w:before="360" w:after="160"/>
      <w:ind w:left="0" w:firstLine="0"/>
      <w:jc w:val="left"/>
    </w:pPr>
    <w:rPr>
      <w:rFonts w:ascii="Segoe UI" w:hAnsi="Segoe UI" w:cstheme="majorBidi"/>
      <w:iCs/>
      <w:color w:val="884C91"/>
      <w:sz w:val="20"/>
      <w:szCs w:val="26"/>
      <w:lang w:eastAsia="en-GB"/>
    </w:rPr>
  </w:style>
  <w:style w:type="paragraph" w:customStyle="1" w:styleId="WDBullets">
    <w:name w:val="WD Bullets"/>
    <w:aliases w:val="Bullets 1,AFW Bullets,AFW Memo Bullets,WD Bullet Ps"/>
    <w:basedOn w:val="Normal"/>
    <w:qFormat/>
    <w:rsid w:val="005529C4"/>
    <w:pPr>
      <w:numPr>
        <w:numId w:val="19"/>
      </w:numPr>
      <w:spacing w:after="160" w:line="240" w:lineRule="atLeast"/>
    </w:pPr>
    <w:rPr>
      <w:color w:val="000000"/>
      <w:sz w:val="20"/>
    </w:rPr>
  </w:style>
  <w:style w:type="paragraph" w:customStyle="1" w:styleId="WDRoman">
    <w:name w:val="WD Roman"/>
    <w:aliases w:val="Roman"/>
    <w:basedOn w:val="WDBullets"/>
    <w:qFormat/>
    <w:rsid w:val="000E1E41"/>
    <w:pPr>
      <w:numPr>
        <w:numId w:val="24"/>
      </w:numPr>
    </w:pPr>
  </w:style>
  <w:style w:type="character" w:customStyle="1" w:styleId="Heading5Char">
    <w:name w:val="Heading 5 Char"/>
    <w:aliases w:val="Lev 5 Char"/>
    <w:basedOn w:val="DefaultParagraphFont"/>
    <w:link w:val="Heading5"/>
    <w:uiPriority w:val="9"/>
    <w:rsid w:val="009B236A"/>
    <w:rPr>
      <w:rFonts w:asciiTheme="majorHAnsi" w:eastAsiaTheme="majorEastAsia" w:hAnsiTheme="majorHAnsi" w:cstheme="majorBidi"/>
      <w:color w:val="365F91" w:themeColor="accent1" w:themeShade="BF"/>
      <w:sz w:val="24"/>
    </w:rPr>
  </w:style>
  <w:style w:type="character" w:customStyle="1" w:styleId="Heading6Char">
    <w:name w:val="Heading 6 Char"/>
    <w:aliases w:val="Lev 6 Char"/>
    <w:basedOn w:val="DefaultParagraphFont"/>
    <w:link w:val="Heading6"/>
    <w:uiPriority w:val="9"/>
    <w:rsid w:val="009B236A"/>
    <w:rPr>
      <w:rFonts w:ascii="Segoe UI" w:eastAsiaTheme="majorEastAsia" w:hAnsi="Segoe UI" w:cstheme="majorBidi"/>
      <w:i/>
      <w:iCs/>
      <w:color w:val="8064A2" w:themeColor="accent4"/>
      <w:sz w:val="20"/>
      <w:szCs w:val="26"/>
    </w:rPr>
  </w:style>
  <w:style w:type="numbering" w:customStyle="1" w:styleId="AMECHeadings4Levels">
    <w:name w:val="AMEC_Headings_4Levels"/>
    <w:uiPriority w:val="99"/>
    <w:rsid w:val="009B236A"/>
    <w:pPr>
      <w:numPr>
        <w:numId w:val="25"/>
      </w:numPr>
    </w:pPr>
  </w:style>
  <w:style w:type="paragraph" w:customStyle="1" w:styleId="WDBodyNumbered">
    <w:name w:val="WD Body Numbered"/>
    <w:aliases w:val="Paranums"/>
    <w:basedOn w:val="WDBody"/>
    <w:qFormat/>
    <w:rsid w:val="009B236A"/>
    <w:pPr>
      <w:ind w:left="851" w:hanging="851"/>
    </w:pPr>
  </w:style>
  <w:style w:type="table" w:customStyle="1" w:styleId="WoodEISUKReportTable1">
    <w:name w:val="Wood E&amp;IS UK Report Table1"/>
    <w:basedOn w:val="TableNormal"/>
    <w:uiPriority w:val="99"/>
    <w:qFormat/>
    <w:rsid w:val="00686BC1"/>
    <w:pPr>
      <w:spacing w:after="0" w:line="240" w:lineRule="auto"/>
    </w:pPr>
    <w:rPr>
      <w:rFonts w:ascii="Arial" w:hAnsi="Arial"/>
      <w:color w:val="000000" w:themeColor="text1" w:themeShade="BF"/>
      <w:sz w:val="20"/>
    </w:rPr>
    <w:tblPr>
      <w:tblStyleRowBandSize w:val="1"/>
      <w:tblStyleColBandSize w:val="1"/>
      <w:tblInd w:w="0" w:type="nil"/>
      <w:tblBorders>
        <w:bottom w:val="single" w:sz="2" w:space="0" w:color="000000" w:themeColor="text1"/>
      </w:tblBorders>
      <w:tblCellMar>
        <w:top w:w="113" w:type="dxa"/>
        <w:bottom w:w="113" w:type="dxa"/>
      </w:tblCellMar>
    </w:tblPr>
    <w:tblStylePr w:type="firstRow">
      <w:pPr>
        <w:spacing w:beforeLines="0" w:before="0" w:beforeAutospacing="0" w:afterLines="0" w:after="0" w:afterAutospacing="0" w:line="240" w:lineRule="auto"/>
      </w:pPr>
      <w:rPr>
        <w:rFonts w:ascii="Arial" w:hAnsi="Arial" w:cs="Arial" w:hint="default"/>
        <w:b/>
        <w:bCs/>
        <w:color w:val="262626" w:themeColor="text1" w:themeTint="D9"/>
        <w:sz w:val="20"/>
        <w:szCs w:val="20"/>
      </w:rPr>
      <w:tblPr/>
      <w:tcPr>
        <w:tcBorders>
          <w:top w:val="single" w:sz="2" w:space="0" w:color="000000" w:themeColor="text1"/>
          <w:left w:val="nil"/>
          <w:bottom w:val="single" w:sz="2" w:space="0" w:color="000000" w:themeColor="text1"/>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2Vert">
      <w:tblPr/>
      <w:tcPr>
        <w:shd w:val="clear" w:color="auto" w:fill="FFFFFF" w:themeFill="background1"/>
      </w:tcPr>
    </w:tblStylePr>
    <w:tblStylePr w:type="band1Horz">
      <w:tblPr/>
      <w:tcPr>
        <w:tcBorders>
          <w:left w:val="nil"/>
          <w:right w:val="nil"/>
          <w:insideH w:val="nil"/>
          <w:insideV w:val="nil"/>
        </w:tcBorders>
        <w:shd w:val="clear" w:color="auto" w:fill="E5DFEC" w:themeFill="accent4" w:themeFillTint="33"/>
      </w:tcPr>
    </w:tblStylePr>
    <w:tblStylePr w:type="band2Horz">
      <w:tblPr/>
      <w:tcPr>
        <w:shd w:val="clear" w:color="auto" w:fill="F8F8F8"/>
      </w:tcPr>
    </w:tblStylePr>
  </w:style>
  <w:style w:type="paragraph" w:styleId="Revision">
    <w:name w:val="Revision"/>
    <w:hidden/>
    <w:uiPriority w:val="99"/>
    <w:semiHidden/>
    <w:rsid w:val="0093425C"/>
    <w:pPr>
      <w:spacing w:after="0" w:line="240" w:lineRule="auto"/>
    </w:pPr>
  </w:style>
  <w:style w:type="paragraph" w:customStyle="1" w:styleId="WDCoverClient">
    <w:name w:val="WD Cover Client"/>
    <w:basedOn w:val="WDBody"/>
    <w:next w:val="Normal"/>
    <w:rsid w:val="007865BF"/>
    <w:pPr>
      <w:spacing w:after="240" w:line="240" w:lineRule="auto"/>
    </w:pPr>
    <w:rPr>
      <w:color w:val="233845"/>
      <w:sz w:val="28"/>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3018E1"/>
    <w:pPr>
      <w:spacing w:after="160" w:line="240" w:lineRule="exact"/>
    </w:pPr>
    <w:rPr>
      <w:vertAlign w:val="superscript"/>
    </w:rPr>
  </w:style>
  <w:style w:type="paragraph" w:customStyle="1" w:styleId="Heading1Annex">
    <w:name w:val="Heading 1 Annex"/>
    <w:basedOn w:val="Heading1"/>
    <w:next w:val="Normal"/>
    <w:rsid w:val="003D3CA5"/>
    <w:pPr>
      <w:pageBreakBefore/>
      <w:numPr>
        <w:numId w:val="28"/>
      </w:numPr>
      <w:overflowPunct w:val="0"/>
      <w:autoSpaceDE w:val="0"/>
      <w:autoSpaceDN w:val="0"/>
      <w:adjustRightInd w:val="0"/>
      <w:jc w:val="left"/>
      <w:textAlignment w:val="baseline"/>
    </w:pPr>
    <w:rPr>
      <w:noProof/>
      <w:sz w:val="36"/>
    </w:rPr>
  </w:style>
  <w:style w:type="paragraph" w:styleId="TOC3">
    <w:name w:val="toc 3"/>
    <w:basedOn w:val="Normal"/>
    <w:next w:val="Normal"/>
    <w:autoRedefine/>
    <w:uiPriority w:val="39"/>
    <w:unhideWhenUsed/>
    <w:rsid w:val="00D72AFD"/>
    <w:pPr>
      <w:tabs>
        <w:tab w:val="left" w:pos="1320"/>
        <w:tab w:val="right" w:leader="dot" w:pos="8608"/>
      </w:tabs>
      <w:spacing w:after="100"/>
      <w:ind w:left="1077"/>
    </w:pPr>
  </w:style>
  <w:style w:type="paragraph" w:customStyle="1" w:styleId="Annexes">
    <w:name w:val="Annexes"/>
    <w:basedOn w:val="Heading1"/>
    <w:link w:val="AnnexesChar"/>
    <w:qFormat/>
    <w:rsid w:val="00476B39"/>
    <w:pPr>
      <w:ind w:left="720" w:hanging="720"/>
    </w:pPr>
  </w:style>
  <w:style w:type="paragraph" w:styleId="NormalWeb">
    <w:name w:val="Normal (Web)"/>
    <w:basedOn w:val="Normal"/>
    <w:uiPriority w:val="99"/>
    <w:unhideWhenUsed/>
    <w:rsid w:val="008B6B63"/>
    <w:rPr>
      <w:rFonts w:cs="Times New Roman"/>
      <w:szCs w:val="24"/>
    </w:rPr>
  </w:style>
  <w:style w:type="character" w:customStyle="1" w:styleId="AnnexesChar">
    <w:name w:val="Annexes Char"/>
    <w:basedOn w:val="Heading1Char"/>
    <w:link w:val="Annexes"/>
    <w:rsid w:val="00476B39"/>
    <w:rPr>
      <w:rFonts w:ascii="Times New Roman" w:eastAsia="Times New Roman" w:hAnsi="Times New Roman" w:cs="Times New Roman"/>
      <w:b/>
      <w:smallCaps/>
      <w:sz w:val="24"/>
      <w:szCs w:val="20"/>
    </w:rPr>
  </w:style>
  <w:style w:type="table" w:customStyle="1" w:styleId="WoodEISUKReportTable11">
    <w:name w:val="Wood E&amp;IS UK Report Table11"/>
    <w:basedOn w:val="TableNormal"/>
    <w:uiPriority w:val="99"/>
    <w:qFormat/>
    <w:rsid w:val="00E44E68"/>
    <w:pPr>
      <w:spacing w:after="0" w:line="240" w:lineRule="auto"/>
    </w:pPr>
    <w:rPr>
      <w:rFonts w:ascii="Arial" w:eastAsia="Calibri" w:hAnsi="Arial" w:cs="Times New Roman"/>
      <w:color w:val="000000" w:themeColor="text1" w:themeShade="BF"/>
      <w:sz w:val="20"/>
    </w:rPr>
    <w:tblPr>
      <w:tblStyleRowBandSize w:val="1"/>
      <w:tblStyleColBandSize w:val="1"/>
      <w:tblInd w:w="0" w:type="nil"/>
      <w:tblBorders>
        <w:bottom w:val="single" w:sz="2" w:space="0" w:color="000000" w:themeColor="text1"/>
      </w:tblBorders>
      <w:tblCellMar>
        <w:top w:w="113" w:type="dxa"/>
        <w:bottom w:w="113" w:type="dxa"/>
      </w:tblCellMar>
    </w:tblPr>
    <w:tblStylePr w:type="firstRow">
      <w:pPr>
        <w:spacing w:beforeLines="0" w:before="100" w:beforeAutospacing="1" w:afterLines="0" w:after="100" w:afterAutospacing="1" w:line="240" w:lineRule="auto"/>
      </w:pPr>
      <w:rPr>
        <w:rFonts w:ascii="Arial" w:hAnsi="Arial" w:cs="Arial" w:hint="default"/>
        <w:b/>
        <w:bCs/>
        <w:color w:val="262626" w:themeColor="text1" w:themeTint="D9"/>
        <w:sz w:val="20"/>
        <w:szCs w:val="20"/>
      </w:rPr>
      <w:tblPr/>
      <w:tcPr>
        <w:tcBorders>
          <w:top w:val="single" w:sz="2" w:space="0" w:color="000000" w:themeColor="text1"/>
          <w:left w:val="nil"/>
          <w:bottom w:val="single" w:sz="2" w:space="0" w:color="000000" w:themeColor="text1"/>
          <w:right w:val="nil"/>
          <w:insideH w:val="nil"/>
          <w:insideV w:val="nil"/>
          <w:tl2br w:val="nil"/>
          <w:tr2bl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2Vert">
      <w:tblPr/>
      <w:tcPr>
        <w:shd w:val="clear" w:color="auto" w:fill="FFFFFF" w:themeFill="background1"/>
      </w:tcPr>
    </w:tblStylePr>
    <w:tblStylePr w:type="band1Horz">
      <w:tblPr/>
      <w:tcPr>
        <w:tcBorders>
          <w:left w:val="nil"/>
          <w:right w:val="nil"/>
          <w:insideH w:val="nil"/>
          <w:insideV w:val="nil"/>
        </w:tcBorders>
        <w:shd w:val="clear" w:color="auto" w:fill="E5DFEC" w:themeFill="accent4" w:themeFillTint="33"/>
      </w:tcPr>
    </w:tblStylePr>
    <w:tblStylePr w:type="band2Horz">
      <w:tblPr/>
      <w:tcPr>
        <w:shd w:val="clear" w:color="auto" w:fill="F8F8F8"/>
      </w:tcPr>
    </w:tblStylePr>
  </w:style>
  <w:style w:type="paragraph" w:customStyle="1" w:styleId="WDBullets2">
    <w:name w:val="WD Bullets 2"/>
    <w:aliases w:val="Bullets 2"/>
    <w:basedOn w:val="WDBullets"/>
    <w:qFormat/>
    <w:rsid w:val="00B71EDE"/>
    <w:pPr>
      <w:numPr>
        <w:numId w:val="33"/>
      </w:numPr>
      <w:tabs>
        <w:tab w:val="num" w:pos="360"/>
      </w:tabs>
      <w:ind w:left="0" w:firstLine="0"/>
    </w:pPr>
    <w:rPr>
      <w:rFonts w:ascii="Segoe UI" w:hAnsi="Segoe UI"/>
    </w:rPr>
  </w:style>
  <w:style w:type="character" w:styleId="FollowedHyperlink">
    <w:name w:val="FollowedHyperlink"/>
    <w:basedOn w:val="DefaultParagraphFont"/>
    <w:uiPriority w:val="99"/>
    <w:semiHidden/>
    <w:unhideWhenUsed/>
    <w:rsid w:val="00A01C66"/>
    <w:rPr>
      <w:color w:val="800080" w:themeColor="followedHyperlink"/>
      <w:u w:val="single"/>
    </w:rPr>
  </w:style>
  <w:style w:type="character" w:customStyle="1" w:styleId="Hyperlink1">
    <w:name w:val="Hyperlink1"/>
    <w:basedOn w:val="DefaultParagraphFont"/>
    <w:uiPriority w:val="99"/>
    <w:unhideWhenUsed/>
    <w:rsid w:val="00D1198F"/>
    <w:rPr>
      <w:color w:val="0000FF"/>
      <w:u w:val="single"/>
    </w:rPr>
  </w:style>
  <w:style w:type="table" w:customStyle="1" w:styleId="TableGrid1">
    <w:name w:val="Table Grid1"/>
    <w:basedOn w:val="TableNormal"/>
    <w:next w:val="TableGrid"/>
    <w:uiPriority w:val="39"/>
    <w:rsid w:val="007D27B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23B46"/>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odEISUKReportTable2">
    <w:name w:val="Wood E&amp;IS UK Report Table2"/>
    <w:basedOn w:val="TableNormal"/>
    <w:uiPriority w:val="99"/>
    <w:qFormat/>
    <w:rsid w:val="00385CD7"/>
    <w:pPr>
      <w:spacing w:after="0" w:line="240" w:lineRule="auto"/>
    </w:pPr>
    <w:rPr>
      <w:rFonts w:ascii="Arial" w:hAnsi="Arial"/>
      <w:color w:val="28272F"/>
      <w:sz w:val="20"/>
    </w:rPr>
    <w:tblPr>
      <w:tblStyleRowBandSize w:val="1"/>
      <w:tblStyleColBandSize w:val="1"/>
      <w:tblBorders>
        <w:bottom w:val="single" w:sz="2" w:space="0" w:color="36353F"/>
      </w:tblBorders>
      <w:tblCellMar>
        <w:top w:w="113" w:type="dxa"/>
        <w:bottom w:w="113" w:type="dxa"/>
      </w:tblCellMar>
    </w:tblPr>
    <w:tblStylePr w:type="firstRow">
      <w:pPr>
        <w:spacing w:before="0" w:after="0" w:line="240" w:lineRule="auto"/>
      </w:pPr>
      <w:rPr>
        <w:rFonts w:ascii="Arial" w:hAnsi="Arial"/>
        <w:b/>
        <w:bCs/>
        <w:color w:val="FFFFFF"/>
        <w:sz w:val="20"/>
      </w:rPr>
      <w:tblPr/>
      <w:tcPr>
        <w:tcBorders>
          <w:top w:val="single" w:sz="2" w:space="0" w:color="36353F"/>
          <w:left w:val="nil"/>
          <w:bottom w:val="single" w:sz="2" w:space="0" w:color="36353F"/>
          <w:right w:val="nil"/>
          <w:insideH w:val="nil"/>
          <w:insideV w:val="nil"/>
          <w:tl2br w:val="nil"/>
          <w:tr2bl w:val="nil"/>
        </w:tcBorders>
      </w:tcPr>
    </w:tblStylePr>
    <w:tblStylePr w:type="lastRow">
      <w:pPr>
        <w:spacing w:before="0" w:after="0" w:line="240" w:lineRule="auto"/>
      </w:pPr>
      <w:rPr>
        <w:b/>
        <w:bCs/>
      </w:rPr>
      <w:tblPr/>
      <w:tcPr>
        <w:tcBorders>
          <w:top w:val="single" w:sz="8" w:space="0" w:color="36353F"/>
          <w:left w:val="nil"/>
          <w:bottom w:val="single" w:sz="8" w:space="0" w:color="3635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D2"/>
      </w:tcPr>
    </w:tblStylePr>
    <w:tblStylePr w:type="band2Vert">
      <w:tblPr/>
      <w:tcPr>
        <w:shd w:val="clear" w:color="auto" w:fill="FFFFFF"/>
      </w:tcPr>
    </w:tblStylePr>
    <w:tblStylePr w:type="band1Horz">
      <w:tblPr/>
      <w:tcPr>
        <w:tcBorders>
          <w:left w:val="nil"/>
          <w:right w:val="nil"/>
          <w:insideH w:val="nil"/>
          <w:insideV w:val="nil"/>
        </w:tcBorders>
        <w:shd w:val="clear" w:color="auto" w:fill="E7E7E8"/>
      </w:tcPr>
    </w:tblStylePr>
    <w:tblStylePr w:type="band2Horz">
      <w:tblPr/>
      <w:tcPr>
        <w:shd w:val="clear" w:color="auto" w:fill="F8F8F8"/>
      </w:tcPr>
    </w:tblStylePr>
  </w:style>
  <w:style w:type="table" w:customStyle="1" w:styleId="TableGrid3">
    <w:name w:val="Table Grid3"/>
    <w:basedOn w:val="TableNormal"/>
    <w:next w:val="TableGrid"/>
    <w:uiPriority w:val="39"/>
    <w:rsid w:val="00071AF5"/>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 Char,Paragraphe de liste PBLH Char,Normal bullet 2 Char,Bullet list Char,Figure_name Char,Equipment Char,Numbered Indented Text Char,List Paragraph1 Char,lp1 Char,List Paragraph11 Char,List Paragraph Char Char Char Char"/>
    <w:basedOn w:val="DefaultParagraphFont"/>
    <w:link w:val="ListParagraph"/>
    <w:uiPriority w:val="34"/>
    <w:qFormat/>
    <w:locked/>
    <w:rsid w:val="00010624"/>
    <w:rPr>
      <w:rFonts w:ascii="Times New Roman" w:hAnsi="Times New Roman"/>
    </w:rPr>
  </w:style>
  <w:style w:type="paragraph" w:customStyle="1" w:styleId="Default">
    <w:name w:val="Default"/>
    <w:rsid w:val="006661D9"/>
    <w:pPr>
      <w:spacing w:before="160" w:after="0" w:line="240" w:lineRule="auto"/>
    </w:pPr>
    <w:rPr>
      <w:rFonts w:ascii="Helvetica Neue" w:eastAsia="Helvetica Neue" w:hAnsi="Helvetica Neue" w:cs="Helvetica Neue"/>
      <w:color w:val="000000"/>
      <w:sz w:val="24"/>
      <w:szCs w:val="24"/>
      <w:lang w:val="en-IE" w:eastAsia="en-IE"/>
      <w14:textOutline w14:w="0" w14:cap="flat" w14:cmpd="sng" w14:algn="ctr">
        <w14:noFill/>
        <w14:prstDash w14:val="solid"/>
        <w14:bevel/>
      </w14:textOutline>
    </w:rPr>
  </w:style>
  <w:style w:type="character" w:customStyle="1" w:styleId="Hyperlink2">
    <w:name w:val="Hyperlink.2"/>
    <w:basedOn w:val="DefaultParagraphFont"/>
    <w:rsid w:val="006B70EC"/>
  </w:style>
  <w:style w:type="character" w:customStyle="1" w:styleId="Heading7Char">
    <w:name w:val="Heading 7 Char"/>
    <w:basedOn w:val="DefaultParagraphFont"/>
    <w:link w:val="Heading7"/>
    <w:uiPriority w:val="9"/>
    <w:semiHidden/>
    <w:rsid w:val="00A345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345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34516"/>
    <w:rPr>
      <w:rFonts w:asciiTheme="majorHAnsi" w:eastAsiaTheme="majorEastAsia" w:hAnsiTheme="majorHAnsi" w:cstheme="majorBidi"/>
      <w:i/>
      <w:iCs/>
      <w:color w:val="404040" w:themeColor="text1" w:themeTint="BF"/>
      <w:sz w:val="20"/>
      <w:szCs w:val="20"/>
    </w:rPr>
  </w:style>
  <w:style w:type="paragraph" w:styleId="NoSpacing">
    <w:name w:val="No Spacing"/>
    <w:uiPriority w:val="1"/>
    <w:rsid w:val="00A34516"/>
    <w:pPr>
      <w:spacing w:after="0" w:line="240" w:lineRule="auto"/>
    </w:pPr>
  </w:style>
  <w:style w:type="numbering" w:customStyle="1" w:styleId="AMECHeadings">
    <w:name w:val="AMEC_Headings"/>
    <w:uiPriority w:val="99"/>
    <w:rsid w:val="00A34516"/>
    <w:pPr>
      <w:numPr>
        <w:numId w:val="3"/>
      </w:numPr>
    </w:pPr>
  </w:style>
  <w:style w:type="paragraph" w:customStyle="1" w:styleId="WDIntro">
    <w:name w:val="WD Intro"/>
    <w:aliases w:val="Intro"/>
    <w:basedOn w:val="WDBody"/>
    <w:next w:val="WDBody"/>
    <w:qFormat/>
    <w:rsid w:val="00A34516"/>
    <w:pPr>
      <w:spacing w:after="240" w:line="320" w:lineRule="atLeast"/>
    </w:pPr>
    <w:rPr>
      <w:color w:val="2DBDB6"/>
      <w:sz w:val="24"/>
    </w:rPr>
  </w:style>
  <w:style w:type="table" w:styleId="LightList-Accent2">
    <w:name w:val="Light List Accent 2"/>
    <w:basedOn w:val="TableNormal"/>
    <w:uiPriority w:val="61"/>
    <w:rsid w:val="00A3451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WDReleaseHeadings">
    <w:name w:val="WD Release Headings"/>
    <w:basedOn w:val="WDBody"/>
    <w:next w:val="WDBodySmall"/>
    <w:rsid w:val="00A34516"/>
    <w:pPr>
      <w:pBdr>
        <w:top w:val="single" w:sz="2" w:space="1" w:color="000000" w:themeColor="text1"/>
      </w:pBdr>
      <w:spacing w:before="480" w:after="80" w:line="240" w:lineRule="auto"/>
    </w:pPr>
    <w:rPr>
      <w:b/>
      <w:color w:val="1F497D" w:themeColor="text2"/>
    </w:rPr>
  </w:style>
  <w:style w:type="paragraph" w:customStyle="1" w:styleId="Heading1NoNumber">
    <w:name w:val="Heading 1 No Number"/>
    <w:next w:val="WDBody"/>
    <w:rsid w:val="00A34516"/>
    <w:pPr>
      <w:pageBreakBefore/>
      <w:spacing w:after="480" w:line="240" w:lineRule="auto"/>
    </w:pPr>
    <w:rPr>
      <w:rFonts w:ascii="Segoe UI" w:eastAsiaTheme="majorEastAsia" w:hAnsi="Segoe UI" w:cstheme="majorBidi"/>
      <w:b/>
      <w:bCs/>
      <w:color w:val="884C91"/>
      <w:sz w:val="40"/>
      <w:szCs w:val="28"/>
    </w:rPr>
  </w:style>
  <w:style w:type="paragraph" w:customStyle="1" w:styleId="WDAppendixTitle">
    <w:name w:val="WD Appendix Title"/>
    <w:basedOn w:val="WDBody"/>
    <w:next w:val="WDBody"/>
    <w:rsid w:val="00A34516"/>
    <w:pPr>
      <w:keepNext/>
      <w:pageBreakBefore/>
      <w:numPr>
        <w:numId w:val="64"/>
      </w:numPr>
      <w:spacing w:after="520" w:line="240" w:lineRule="auto"/>
      <w:outlineLvl w:val="0"/>
    </w:pPr>
    <w:rPr>
      <w:rFonts w:eastAsia="Times New Roman" w:cs="Arial"/>
      <w:b/>
      <w:bCs/>
      <w:color w:val="884C91"/>
      <w:kern w:val="32"/>
      <w:sz w:val="40"/>
      <w:szCs w:val="40"/>
      <w:lang w:eastAsia="en-GB"/>
    </w:rPr>
  </w:style>
  <w:style w:type="paragraph" w:customStyle="1" w:styleId="WDCoverDate">
    <w:name w:val="WD Cover Date"/>
    <w:basedOn w:val="Normal"/>
    <w:rsid w:val="00A34516"/>
    <w:pPr>
      <w:spacing w:after="0" w:line="240" w:lineRule="auto"/>
    </w:pPr>
    <w:rPr>
      <w:rFonts w:ascii="Segoe UI" w:hAnsi="Segoe UI"/>
      <w:color w:val="393C71"/>
      <w:sz w:val="20"/>
    </w:rPr>
  </w:style>
  <w:style w:type="paragraph" w:customStyle="1" w:styleId="WDCoverProject">
    <w:name w:val="WD Cover Project"/>
    <w:basedOn w:val="WDBody"/>
    <w:next w:val="WDDocTitle"/>
    <w:rsid w:val="00A34516"/>
    <w:pPr>
      <w:spacing w:after="240" w:line="240" w:lineRule="auto"/>
    </w:pPr>
    <w:rPr>
      <w:b/>
      <w:color w:val="1F497D" w:themeColor="text2"/>
      <w:sz w:val="40"/>
      <w:szCs w:val="40"/>
    </w:rPr>
  </w:style>
  <w:style w:type="paragraph" w:customStyle="1" w:styleId="WDDocTitle">
    <w:name w:val="WD Doc Title"/>
    <w:basedOn w:val="WDBody"/>
    <w:next w:val="WDBody"/>
    <w:rsid w:val="00A34516"/>
    <w:pPr>
      <w:spacing w:line="240" w:lineRule="auto"/>
      <w:ind w:left="5670"/>
    </w:pPr>
    <w:rPr>
      <w:color w:val="233845"/>
      <w:sz w:val="28"/>
    </w:rPr>
  </w:style>
  <w:style w:type="paragraph" w:styleId="TableofFigures">
    <w:name w:val="table of figures"/>
    <w:basedOn w:val="WDBody"/>
    <w:next w:val="Normal"/>
    <w:uiPriority w:val="99"/>
    <w:unhideWhenUsed/>
    <w:rsid w:val="00A34516"/>
    <w:pPr>
      <w:tabs>
        <w:tab w:val="left" w:pos="1985"/>
        <w:tab w:val="right" w:pos="9639"/>
      </w:tabs>
      <w:spacing w:after="0" w:line="240" w:lineRule="auto"/>
      <w:ind w:left="851"/>
    </w:pPr>
    <w:rPr>
      <w:sz w:val="16"/>
    </w:rPr>
  </w:style>
  <w:style w:type="character" w:styleId="PageNumber">
    <w:name w:val="page number"/>
    <w:basedOn w:val="DefaultParagraphFont"/>
    <w:rsid w:val="00A34516"/>
    <w:rPr>
      <w:rFonts w:ascii="Segoe UI" w:hAnsi="Segoe UI"/>
      <w:b/>
      <w:color w:val="FFFFFF" w:themeColor="background1"/>
      <w:sz w:val="20"/>
    </w:rPr>
  </w:style>
  <w:style w:type="paragraph" w:customStyle="1" w:styleId="WDDocRef">
    <w:name w:val="WD Doc Ref"/>
    <w:basedOn w:val="WDBodySmall"/>
    <w:rsid w:val="00A34516"/>
  </w:style>
  <w:style w:type="table" w:styleId="TableGridLight">
    <w:name w:val="Grid Table Light"/>
    <w:aliases w:val="Wood E&amp;IS UK Table Simple"/>
    <w:basedOn w:val="TableNormal"/>
    <w:uiPriority w:val="40"/>
    <w:rsid w:val="00A34516"/>
    <w:pPr>
      <w:spacing w:after="0" w:line="240" w:lineRule="auto"/>
    </w:pPr>
    <w:tblPr>
      <w:tblBorders>
        <w:bottom w:val="single" w:sz="2" w:space="0" w:color="auto"/>
      </w:tblBorders>
      <w:tblCellMar>
        <w:top w:w="113" w:type="dxa"/>
        <w:bottom w:w="113" w:type="dxa"/>
      </w:tblCellMar>
    </w:tblPr>
    <w:tblStylePr w:type="firstRow">
      <w:tblPr/>
      <w:tcPr>
        <w:tcBorders>
          <w:top w:val="single" w:sz="2" w:space="0" w:color="000000" w:themeColor="text1"/>
          <w:bottom w:val="single" w:sz="2" w:space="0" w:color="000000" w:themeColor="text1"/>
        </w:tcBorders>
      </w:tcPr>
    </w:tblStylePr>
  </w:style>
  <w:style w:type="paragraph" w:customStyle="1" w:styleId="WDBiblioTitle">
    <w:name w:val="WD Biblio Title"/>
    <w:rsid w:val="00A34516"/>
    <w:pPr>
      <w:spacing w:after="520" w:line="240" w:lineRule="auto"/>
    </w:pPr>
    <w:rPr>
      <w:rFonts w:ascii="Segoe UI" w:eastAsia="Times New Roman" w:hAnsi="Segoe UI" w:cs="Arial"/>
      <w:b/>
      <w:bCs/>
      <w:color w:val="884C91"/>
      <w:kern w:val="32"/>
      <w:sz w:val="40"/>
      <w:szCs w:val="40"/>
      <w:lang w:eastAsia="en-GB"/>
    </w:rPr>
  </w:style>
  <w:style w:type="character" w:customStyle="1" w:styleId="apple-converted-space">
    <w:name w:val="apple-converted-space"/>
    <w:basedOn w:val="DefaultParagraphFont"/>
    <w:rsid w:val="00A34516"/>
  </w:style>
  <w:style w:type="character" w:styleId="Emphasis">
    <w:name w:val="Emphasis"/>
    <w:basedOn w:val="DefaultParagraphFont"/>
    <w:uiPriority w:val="20"/>
    <w:qFormat/>
    <w:rsid w:val="00A34516"/>
    <w:rPr>
      <w:i/>
      <w:iCs/>
    </w:rPr>
  </w:style>
  <w:style w:type="paragraph" w:customStyle="1" w:styleId="WDBiblioSubtitle">
    <w:name w:val="WD Biblio Subtitle"/>
    <w:rsid w:val="00A34516"/>
    <w:pPr>
      <w:spacing w:before="360" w:after="120" w:line="240" w:lineRule="auto"/>
    </w:pPr>
    <w:rPr>
      <w:rFonts w:ascii="Segoe UI" w:eastAsiaTheme="majorEastAsia" w:hAnsi="Segoe UI" w:cstheme="majorBidi"/>
      <w:b/>
      <w:bCs/>
      <w:color w:val="884C91"/>
      <w:szCs w:val="26"/>
    </w:rPr>
  </w:style>
  <w:style w:type="table" w:styleId="PlainTable1">
    <w:name w:val="Plain Table 1"/>
    <w:basedOn w:val="TableNormal"/>
    <w:uiPriority w:val="41"/>
    <w:rsid w:val="00A345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4">
    <w:name w:val="toc 4"/>
    <w:basedOn w:val="Normal"/>
    <w:next w:val="Normal"/>
    <w:autoRedefine/>
    <w:uiPriority w:val="39"/>
    <w:unhideWhenUsed/>
    <w:rsid w:val="00A34516"/>
    <w:pPr>
      <w:spacing w:after="100" w:line="259" w:lineRule="auto"/>
      <w:ind w:left="660"/>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A34516"/>
    <w:pPr>
      <w:spacing w:after="100" w:line="259" w:lineRule="auto"/>
      <w:ind w:left="880"/>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A34516"/>
    <w:pPr>
      <w:spacing w:after="100" w:line="259" w:lineRule="auto"/>
      <w:ind w:left="1100"/>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A34516"/>
    <w:pPr>
      <w:spacing w:after="100" w:line="259" w:lineRule="auto"/>
      <w:ind w:left="1320"/>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A34516"/>
    <w:pPr>
      <w:spacing w:after="100" w:line="259" w:lineRule="auto"/>
      <w:ind w:left="1540"/>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A34516"/>
    <w:pPr>
      <w:spacing w:after="100" w:line="259" w:lineRule="auto"/>
      <w:ind w:left="1760"/>
    </w:pPr>
    <w:rPr>
      <w:rFonts w:asciiTheme="minorHAnsi" w:eastAsiaTheme="minorEastAsia" w:hAnsiTheme="minorHAnsi"/>
      <w:sz w:val="22"/>
      <w:lang w:eastAsia="en-GB"/>
    </w:rPr>
  </w:style>
  <w:style w:type="character" w:customStyle="1" w:styleId="UnresolvedMention1">
    <w:name w:val="Unresolved Mention1"/>
    <w:basedOn w:val="DefaultParagraphFont"/>
    <w:uiPriority w:val="99"/>
    <w:semiHidden/>
    <w:unhideWhenUsed/>
    <w:rsid w:val="00A34516"/>
    <w:rPr>
      <w:color w:val="605E5C"/>
      <w:shd w:val="clear" w:color="auto" w:fill="E1DFDD"/>
    </w:rPr>
  </w:style>
  <w:style w:type="paragraph" w:styleId="Caption">
    <w:name w:val="caption"/>
    <w:aliases w:val="Caption-tables,Tasks,Beschriftung Char2,Beschriftung Char1 Char1,Beschriftung Char Char Char1,Beschriftung Char1 Char Char,Beschriftung Char Char Char Char,Beschriftung Char Char1 Char,Beschriftung Char Char2,Beschriftung Char1 Cha...,Eco,Legend"/>
    <w:basedOn w:val="Normal"/>
    <w:next w:val="Normal"/>
    <w:link w:val="CaptionChar"/>
    <w:unhideWhenUsed/>
    <w:qFormat/>
    <w:rsid w:val="00A34516"/>
    <w:pPr>
      <w:spacing w:line="240" w:lineRule="auto"/>
    </w:pPr>
    <w:rPr>
      <w:rFonts w:asciiTheme="minorHAnsi" w:hAnsiTheme="minorHAnsi"/>
      <w:i/>
      <w:iCs/>
      <w:color w:val="1F497D" w:themeColor="text2"/>
      <w:sz w:val="18"/>
      <w:szCs w:val="18"/>
    </w:rPr>
  </w:style>
  <w:style w:type="numbering" w:customStyle="1" w:styleId="NoList1">
    <w:name w:val="No List1"/>
    <w:next w:val="NoList"/>
    <w:uiPriority w:val="99"/>
    <w:semiHidden/>
    <w:unhideWhenUsed/>
    <w:rsid w:val="00A34516"/>
  </w:style>
  <w:style w:type="table" w:customStyle="1" w:styleId="LightList-Accent21">
    <w:name w:val="Light List - Accent 21"/>
    <w:basedOn w:val="TableNormal"/>
    <w:next w:val="LightList-Accent2"/>
    <w:uiPriority w:val="61"/>
    <w:rsid w:val="00A3451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WoodEISUKTableSimple1">
    <w:name w:val="Wood E&amp;IS UK Table Simple1"/>
    <w:basedOn w:val="TableNormal"/>
    <w:next w:val="TableGridLight"/>
    <w:uiPriority w:val="40"/>
    <w:rsid w:val="00A34516"/>
    <w:pPr>
      <w:spacing w:after="0" w:line="240" w:lineRule="auto"/>
    </w:pPr>
    <w:tblPr>
      <w:tblBorders>
        <w:bottom w:val="single" w:sz="2" w:space="0" w:color="auto"/>
      </w:tblBorders>
      <w:tblCellMar>
        <w:top w:w="113" w:type="dxa"/>
        <w:bottom w:w="113" w:type="dxa"/>
      </w:tblCellMar>
    </w:tblPr>
    <w:tblStylePr w:type="firstRow">
      <w:tblPr/>
      <w:tcPr>
        <w:tcBorders>
          <w:top w:val="single" w:sz="2" w:space="0" w:color="000000" w:themeColor="text1"/>
          <w:bottom w:val="single" w:sz="2" w:space="0" w:color="000000" w:themeColor="text1"/>
        </w:tcBorders>
      </w:tcPr>
    </w:tblStylePr>
  </w:style>
  <w:style w:type="numbering" w:customStyle="1" w:styleId="AMECHeadings4Levels1">
    <w:name w:val="AMEC_Headings_4Levels1"/>
    <w:uiPriority w:val="99"/>
    <w:rsid w:val="00A34516"/>
  </w:style>
  <w:style w:type="paragraph" w:customStyle="1" w:styleId="table-text">
    <w:name w:val="table-text"/>
    <w:basedOn w:val="Normal"/>
    <w:uiPriority w:val="99"/>
    <w:rsid w:val="00A34516"/>
    <w:pPr>
      <w:spacing w:after="0" w:line="280" w:lineRule="atLeast"/>
    </w:pPr>
    <w:rPr>
      <w:rFonts w:ascii="Arial" w:eastAsia="Times New Roman" w:hAnsi="Arial" w:cs="Times New Roman"/>
      <w:sz w:val="16"/>
      <w:szCs w:val="24"/>
      <w:lang w:val="nl-NL" w:eastAsia="nl-NL"/>
    </w:rPr>
  </w:style>
  <w:style w:type="character" w:customStyle="1" w:styleId="UnresolvedMention10">
    <w:name w:val="Unresolved Mention10"/>
    <w:basedOn w:val="DefaultParagraphFont"/>
    <w:uiPriority w:val="99"/>
    <w:semiHidden/>
    <w:unhideWhenUsed/>
    <w:rsid w:val="00A34516"/>
    <w:rPr>
      <w:color w:val="605E5C"/>
      <w:shd w:val="clear" w:color="auto" w:fill="E1DFDD"/>
    </w:rPr>
  </w:style>
  <w:style w:type="paragraph" w:customStyle="1" w:styleId="foonote">
    <w:name w:val="foonote"/>
    <w:basedOn w:val="FootnoteText"/>
    <w:link w:val="foonoteChar"/>
    <w:qFormat/>
    <w:rsid w:val="00A34516"/>
    <w:pPr>
      <w:ind w:left="567"/>
    </w:pPr>
    <w:rPr>
      <w:rFonts w:ascii="Arial" w:hAnsi="Arial" w:cs="Arial"/>
      <w:szCs w:val="16"/>
    </w:rPr>
  </w:style>
  <w:style w:type="character" w:customStyle="1" w:styleId="foonoteChar">
    <w:name w:val="foonote Char"/>
    <w:basedOn w:val="DefaultParagraphFont"/>
    <w:link w:val="foonote"/>
    <w:rsid w:val="00A34516"/>
    <w:rPr>
      <w:rFonts w:ascii="Arial" w:hAnsi="Arial" w:cs="Arial"/>
      <w:sz w:val="16"/>
      <w:szCs w:val="16"/>
    </w:rPr>
  </w:style>
  <w:style w:type="character" w:customStyle="1" w:styleId="endnotereference0">
    <w:name w:val="endnotereference"/>
    <w:basedOn w:val="DefaultParagraphFont"/>
    <w:rsid w:val="00A34516"/>
  </w:style>
  <w:style w:type="character" w:styleId="Strong">
    <w:name w:val="Strong"/>
    <w:basedOn w:val="DefaultParagraphFont"/>
    <w:uiPriority w:val="22"/>
    <w:qFormat/>
    <w:rsid w:val="00A34516"/>
    <w:rPr>
      <w:b/>
      <w:bCs/>
    </w:rPr>
  </w:style>
  <w:style w:type="paragraph" w:customStyle="1" w:styleId="cc74c">
    <w:name w:val="cc74c"/>
    <w:basedOn w:val="Normal"/>
    <w:rsid w:val="00A34516"/>
    <w:pPr>
      <w:spacing w:before="100" w:beforeAutospacing="1" w:after="100" w:afterAutospacing="1" w:line="240" w:lineRule="auto"/>
    </w:pPr>
    <w:rPr>
      <w:rFonts w:eastAsia="Times New Roman" w:cs="Times New Roman"/>
      <w:szCs w:val="24"/>
      <w:lang w:val="en-US"/>
    </w:rPr>
  </w:style>
  <w:style w:type="character" w:customStyle="1" w:styleId="messagebody">
    <w:name w:val="message_body"/>
    <w:basedOn w:val="DefaultParagraphFont"/>
    <w:rsid w:val="00A34516"/>
  </w:style>
  <w:style w:type="paragraph" w:customStyle="1" w:styleId="fy">
    <w:name w:val="fy"/>
    <w:basedOn w:val="Normal"/>
    <w:rsid w:val="00A34516"/>
    <w:pPr>
      <w:spacing w:before="100" w:beforeAutospacing="1" w:after="100" w:afterAutospacing="1" w:line="240" w:lineRule="auto"/>
    </w:pPr>
    <w:rPr>
      <w:rFonts w:eastAsia="Times New Roman" w:cs="Times New Roman"/>
      <w:szCs w:val="24"/>
    </w:rPr>
  </w:style>
  <w:style w:type="paragraph" w:customStyle="1" w:styleId="rteindent2">
    <w:name w:val="rteindent2"/>
    <w:basedOn w:val="Normal"/>
    <w:uiPriority w:val="99"/>
    <w:semiHidden/>
    <w:rsid w:val="00A34516"/>
    <w:pPr>
      <w:spacing w:before="100" w:beforeAutospacing="1" w:after="100" w:afterAutospacing="1" w:line="240" w:lineRule="auto"/>
    </w:pPr>
    <w:rPr>
      <w:rFonts w:ascii="Calibri" w:hAnsi="Calibri" w:cs="Calibri"/>
      <w:sz w:val="22"/>
      <w:lang w:eastAsia="en-GB"/>
    </w:rPr>
  </w:style>
  <w:style w:type="paragraph" w:customStyle="1" w:styleId="Details">
    <w:name w:val="Details"/>
    <w:basedOn w:val="WDBody"/>
    <w:rsid w:val="00A34516"/>
    <w:pPr>
      <w:widowControl w:val="0"/>
      <w:spacing w:after="0" w:line="240" w:lineRule="auto"/>
    </w:pPr>
    <w:rPr>
      <w:rFonts w:eastAsia="Times New Roman" w:cs="Times New Roman"/>
      <w:color w:val="auto"/>
      <w:szCs w:val="20"/>
      <w:lang w:eastAsia="en-GB"/>
    </w:rPr>
  </w:style>
  <w:style w:type="paragraph" w:customStyle="1" w:styleId="Page1Date">
    <w:name w:val="Page1Date"/>
    <w:basedOn w:val="Details"/>
    <w:rsid w:val="00A34516"/>
  </w:style>
  <w:style w:type="table" w:styleId="GridTable1Light-Accent5">
    <w:name w:val="Grid Table 1 Light Accent 5"/>
    <w:basedOn w:val="TableNormal"/>
    <w:uiPriority w:val="46"/>
    <w:rsid w:val="00A3451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11">
    <w:name w:val="Plain Table 11"/>
    <w:basedOn w:val="TableNormal"/>
    <w:next w:val="PlainTable1"/>
    <w:uiPriority w:val="41"/>
    <w:rsid w:val="00A34516"/>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unhideWhenUsed/>
    <w:rsid w:val="00A34516"/>
    <w:rPr>
      <w:color w:val="605E5C"/>
      <w:shd w:val="clear" w:color="auto" w:fill="E1DFDD"/>
    </w:rPr>
  </w:style>
  <w:style w:type="character" w:customStyle="1" w:styleId="Mention1">
    <w:name w:val="Mention1"/>
    <w:basedOn w:val="DefaultParagraphFont"/>
    <w:uiPriority w:val="99"/>
    <w:unhideWhenUsed/>
    <w:rsid w:val="00A34516"/>
    <w:rPr>
      <w:color w:val="2B579A"/>
      <w:shd w:val="clear" w:color="auto" w:fill="E1DFDD"/>
    </w:rPr>
  </w:style>
  <w:style w:type="paragraph" w:customStyle="1" w:styleId="paragraph-paragraph-2bgue">
    <w:name w:val="paragraph-paragraph-2bgue"/>
    <w:basedOn w:val="Normal"/>
    <w:rsid w:val="00A34516"/>
    <w:pPr>
      <w:spacing w:before="100" w:beforeAutospacing="1" w:after="100" w:afterAutospacing="1" w:line="240" w:lineRule="auto"/>
    </w:pPr>
    <w:rPr>
      <w:rFonts w:eastAsia="Times New Roman" w:cs="Times New Roman"/>
      <w:szCs w:val="24"/>
    </w:rPr>
  </w:style>
  <w:style w:type="paragraph" w:customStyle="1" w:styleId="paragraph">
    <w:name w:val="paragraph"/>
    <w:basedOn w:val="Normal"/>
    <w:rsid w:val="00A34516"/>
    <w:pPr>
      <w:spacing w:before="100" w:beforeAutospacing="1" w:after="100" w:afterAutospacing="1" w:line="240" w:lineRule="auto"/>
    </w:pPr>
    <w:rPr>
      <w:rFonts w:eastAsia="Times New Roman" w:cs="Times New Roman"/>
      <w:szCs w:val="24"/>
      <w:lang w:eastAsia="en-GB"/>
    </w:rPr>
  </w:style>
  <w:style w:type="character" w:customStyle="1" w:styleId="UnresolvedMention3">
    <w:name w:val="Unresolved Mention3"/>
    <w:basedOn w:val="DefaultParagraphFont"/>
    <w:uiPriority w:val="99"/>
    <w:semiHidden/>
    <w:unhideWhenUsed/>
    <w:rsid w:val="00A34516"/>
    <w:rPr>
      <w:color w:val="605E5C"/>
      <w:shd w:val="clear" w:color="auto" w:fill="E1DFDD"/>
    </w:rPr>
  </w:style>
  <w:style w:type="character" w:customStyle="1" w:styleId="UnresolvedMention4">
    <w:name w:val="Unresolved Mention4"/>
    <w:basedOn w:val="DefaultParagraphFont"/>
    <w:uiPriority w:val="99"/>
    <w:semiHidden/>
    <w:unhideWhenUsed/>
    <w:rsid w:val="00A34516"/>
    <w:rPr>
      <w:color w:val="605E5C"/>
      <w:shd w:val="clear" w:color="auto" w:fill="E1DFDD"/>
    </w:rPr>
  </w:style>
  <w:style w:type="character" w:customStyle="1" w:styleId="normaltextrun">
    <w:name w:val="normaltextrun"/>
    <w:basedOn w:val="DefaultParagraphFont"/>
    <w:rsid w:val="00A34516"/>
  </w:style>
  <w:style w:type="character" w:customStyle="1" w:styleId="eop">
    <w:name w:val="eop"/>
    <w:basedOn w:val="DefaultParagraphFont"/>
    <w:rsid w:val="00A34516"/>
  </w:style>
  <w:style w:type="character" w:customStyle="1" w:styleId="superscript">
    <w:name w:val="superscript"/>
    <w:basedOn w:val="DefaultParagraphFont"/>
    <w:rsid w:val="00A34516"/>
  </w:style>
  <w:style w:type="character" w:customStyle="1" w:styleId="highlight">
    <w:name w:val="highlight"/>
    <w:basedOn w:val="DefaultParagraphFont"/>
    <w:rsid w:val="00A34516"/>
  </w:style>
  <w:style w:type="paragraph" w:styleId="PlainText">
    <w:name w:val="Plain Text"/>
    <w:basedOn w:val="Normal"/>
    <w:link w:val="PlainTextChar"/>
    <w:uiPriority w:val="99"/>
    <w:rsid w:val="00A34516"/>
    <w:pPr>
      <w:spacing w:after="0" w:line="240" w:lineRule="auto"/>
    </w:pPr>
    <w:rPr>
      <w:rFonts w:ascii="Verdana" w:eastAsia="Times New Roman" w:hAnsi="Verdana" w:cs="Times New Roman"/>
      <w:sz w:val="20"/>
      <w:szCs w:val="21"/>
      <w:lang w:eastAsia="en-GB"/>
    </w:rPr>
  </w:style>
  <w:style w:type="character" w:customStyle="1" w:styleId="PlainTextChar">
    <w:name w:val="Plain Text Char"/>
    <w:basedOn w:val="DefaultParagraphFont"/>
    <w:link w:val="PlainText"/>
    <w:uiPriority w:val="99"/>
    <w:rsid w:val="00A34516"/>
    <w:rPr>
      <w:rFonts w:ascii="Verdana" w:eastAsia="Times New Roman" w:hAnsi="Verdana" w:cs="Times New Roman"/>
      <w:sz w:val="20"/>
      <w:szCs w:val="21"/>
      <w:lang w:eastAsia="en-GB"/>
    </w:rPr>
  </w:style>
  <w:style w:type="paragraph" w:customStyle="1" w:styleId="t4TekstvoorReferaat">
    <w:name w:val="t4 Tekst voor Referaat"/>
    <w:basedOn w:val="Normal"/>
    <w:uiPriority w:val="99"/>
    <w:rsid w:val="00A34516"/>
    <w:pPr>
      <w:spacing w:after="0" w:line="240" w:lineRule="auto"/>
      <w:jc w:val="both"/>
    </w:pPr>
    <w:rPr>
      <w:rFonts w:ascii="News Gothic" w:eastAsia="Times New Roman" w:hAnsi="News Gothic" w:cs="Times New Roman"/>
      <w:sz w:val="18"/>
      <w:szCs w:val="18"/>
      <w:lang w:val="en-US"/>
    </w:rPr>
  </w:style>
  <w:style w:type="character" w:customStyle="1" w:styleId="Mention2">
    <w:name w:val="Mention2"/>
    <w:basedOn w:val="DefaultParagraphFont"/>
    <w:uiPriority w:val="99"/>
    <w:unhideWhenUsed/>
    <w:rsid w:val="00A34516"/>
    <w:rPr>
      <w:color w:val="2B579A"/>
      <w:shd w:val="clear" w:color="auto" w:fill="E1DFDD"/>
    </w:rPr>
  </w:style>
  <w:style w:type="character" w:customStyle="1" w:styleId="CaptionChar">
    <w:name w:val="Caption Char"/>
    <w:aliases w:val="Caption-tables Char,Tasks Char,Beschriftung Char2 Char,Beschriftung Char1 Char1 Char,Beschriftung Char Char Char1 Char,Beschriftung Char1 Char Char Char,Beschriftung Char Char Char Char Char,Beschriftung Char Char1 Char Char,Eco Char"/>
    <w:link w:val="Caption"/>
    <w:locked/>
    <w:rsid w:val="00A34516"/>
    <w:rPr>
      <w:i/>
      <w:iCs/>
      <w:color w:val="1F497D" w:themeColor="text2"/>
      <w:sz w:val="18"/>
      <w:szCs w:val="18"/>
    </w:rPr>
  </w:style>
  <w:style w:type="table" w:customStyle="1" w:styleId="Table1">
    <w:name w:val="Table 1"/>
    <w:basedOn w:val="TableNormal"/>
    <w:uiPriority w:val="99"/>
    <w:rsid w:val="00A34516"/>
    <w:pPr>
      <w:spacing w:after="0" w:line="240" w:lineRule="auto"/>
      <w:jc w:val="center"/>
    </w:pPr>
    <w:rPr>
      <w:rFonts w:ascii="Trebuchet MS" w:hAnsi="Trebuchet MS"/>
      <w:sz w:val="16"/>
    </w:rPr>
    <w:tblPr>
      <w:tblInd w:w="0" w:type="nil"/>
      <w:tblBorders>
        <w:top w:val="single" w:sz="4" w:space="0" w:color="005962"/>
        <w:left w:val="single" w:sz="4" w:space="0" w:color="005962"/>
        <w:bottom w:val="single" w:sz="4" w:space="0" w:color="005962"/>
        <w:right w:val="single" w:sz="4" w:space="0" w:color="005962"/>
        <w:insideH w:val="single" w:sz="4" w:space="0" w:color="005962"/>
        <w:insideV w:val="single" w:sz="4" w:space="0" w:color="005962"/>
      </w:tblBorders>
    </w:tblPr>
    <w:tcPr>
      <w:vAlign w:val="center"/>
    </w:tcPr>
    <w:tblStylePr w:type="firstRow">
      <w:pPr>
        <w:wordWrap/>
        <w:spacing w:beforeLines="0" w:before="100" w:beforeAutospacing="1" w:afterLines="0" w:after="100" w:afterAutospacing="1" w:line="300" w:lineRule="atLeast"/>
        <w:ind w:leftChars="0" w:left="0" w:rightChars="0" w:right="0" w:firstLineChars="0" w:firstLine="0"/>
        <w:jc w:val="center"/>
      </w:pPr>
      <w:rPr>
        <w:rFonts w:ascii="Segoe UI Emoji" w:hAnsi="Segoe UI Emoji" w:hint="default"/>
        <w:b/>
        <w:color w:val="FFFFFF" w:themeColor="background1"/>
        <w:sz w:val="16"/>
        <w:szCs w:val="16"/>
      </w:rPr>
      <w:tblPr/>
      <w:tcPr>
        <w:shd w:val="clear" w:color="auto" w:fill="005962"/>
      </w:tcPr>
    </w:tblStylePr>
  </w:style>
  <w:style w:type="character" w:customStyle="1" w:styleId="EndNoteBibliographyChar">
    <w:name w:val="EndNote Bibliography Char"/>
    <w:basedOn w:val="DefaultParagraphFont"/>
    <w:link w:val="EndNoteBibliography"/>
    <w:locked/>
    <w:rsid w:val="00A34516"/>
    <w:rPr>
      <w:noProof/>
      <w:sz w:val="16"/>
      <w:lang w:val="en-US"/>
    </w:rPr>
  </w:style>
  <w:style w:type="paragraph" w:customStyle="1" w:styleId="EndNoteBibliography">
    <w:name w:val="EndNote Bibliography"/>
    <w:basedOn w:val="Normal"/>
    <w:link w:val="EndNoteBibliographyChar"/>
    <w:rsid w:val="00A34516"/>
    <w:pPr>
      <w:spacing w:line="240" w:lineRule="auto"/>
    </w:pPr>
    <w:rPr>
      <w:rFonts w:asciiTheme="minorHAnsi" w:hAnsiTheme="minorHAnsi"/>
      <w:noProof/>
      <w:sz w:val="16"/>
      <w:lang w:val="en-US"/>
    </w:rPr>
  </w:style>
  <w:style w:type="character" w:customStyle="1" w:styleId="jlqj4b">
    <w:name w:val="jlqj4b"/>
    <w:basedOn w:val="DefaultParagraphFont"/>
    <w:rsid w:val="00A34516"/>
  </w:style>
  <w:style w:type="character" w:customStyle="1" w:styleId="UnresolvedMention">
    <w:name w:val="Unresolved Mention"/>
    <w:basedOn w:val="DefaultParagraphFont"/>
    <w:uiPriority w:val="99"/>
    <w:unhideWhenUsed/>
    <w:rsid w:val="00A34516"/>
    <w:rPr>
      <w:color w:val="605E5C"/>
      <w:shd w:val="clear" w:color="auto" w:fill="E1DFDD"/>
    </w:rPr>
  </w:style>
  <w:style w:type="character" w:customStyle="1" w:styleId="Mention">
    <w:name w:val="Mention"/>
    <w:basedOn w:val="DefaultParagraphFont"/>
    <w:uiPriority w:val="99"/>
    <w:unhideWhenUsed/>
    <w:rsid w:val="00A34516"/>
    <w:rPr>
      <w:color w:val="2B579A"/>
      <w:shd w:val="clear" w:color="auto" w:fill="E1DFDD"/>
    </w:rPr>
  </w:style>
  <w:style w:type="table" w:styleId="PlainTable3">
    <w:name w:val="Plain Table 3"/>
    <w:basedOn w:val="TableNormal"/>
    <w:uiPriority w:val="43"/>
    <w:rsid w:val="00A3451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WoodEISUKReportTable12">
    <w:name w:val="Wood E&amp;IS UK Report Table12"/>
    <w:basedOn w:val="TableNormal"/>
    <w:uiPriority w:val="99"/>
    <w:qFormat/>
    <w:rsid w:val="00A34516"/>
    <w:pPr>
      <w:spacing w:after="0" w:line="240" w:lineRule="auto"/>
    </w:pPr>
    <w:rPr>
      <w:rFonts w:ascii="Arial" w:hAnsi="Arial"/>
      <w:color w:val="000000" w:themeColor="text1" w:themeShade="BF"/>
      <w:sz w:val="20"/>
    </w:rPr>
    <w:tblPr>
      <w:tblStyleRowBandSize w:val="1"/>
      <w:tblStyleColBandSize w:val="1"/>
      <w:tblBorders>
        <w:bottom w:val="single" w:sz="2" w:space="0" w:color="000000" w:themeColor="text1"/>
      </w:tblBorders>
      <w:tblCellMar>
        <w:top w:w="113" w:type="dxa"/>
        <w:bottom w:w="113" w:type="dxa"/>
      </w:tblCellMar>
    </w:tblPr>
    <w:tblStylePr w:type="firstRow">
      <w:pPr>
        <w:spacing w:before="0" w:after="0" w:line="240" w:lineRule="auto"/>
      </w:pPr>
      <w:rPr>
        <w:rFonts w:ascii="Arial" w:hAnsi="Arial"/>
        <w:b/>
        <w:bCs/>
        <w:color w:val="262626" w:themeColor="text1" w:themeTint="D9"/>
        <w:sz w:val="20"/>
      </w:rPr>
      <w:tblPr/>
      <w:tcPr>
        <w:tcBorders>
          <w:top w:val="single" w:sz="2" w:space="0" w:color="000000" w:themeColor="text1"/>
          <w:left w:val="nil"/>
          <w:bottom w:val="single" w:sz="2" w:space="0" w:color="000000"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2Vert">
      <w:tblPr/>
      <w:tcPr>
        <w:shd w:val="clear" w:color="auto" w:fill="FFFFFF" w:themeFill="background1"/>
      </w:tcPr>
    </w:tblStylePr>
    <w:tblStylePr w:type="band1Horz">
      <w:tblPr/>
      <w:tcPr>
        <w:tcBorders>
          <w:left w:val="nil"/>
          <w:right w:val="nil"/>
          <w:insideH w:val="nil"/>
          <w:insideV w:val="nil"/>
        </w:tcBorders>
        <w:shd w:val="clear" w:color="auto" w:fill="E5DFEC" w:themeFill="accent4" w:themeFillTint="33"/>
      </w:tcPr>
    </w:tblStylePr>
    <w:tblStylePr w:type="band2Horz">
      <w:tblPr/>
      <w:tcPr>
        <w:shd w:val="clear" w:color="auto" w:fill="F8F8F8"/>
      </w:tcPr>
    </w:tblStylePr>
  </w:style>
  <w:style w:type="character" w:customStyle="1" w:styleId="UnresolvedMention100">
    <w:name w:val="Unresolved Mention100"/>
    <w:basedOn w:val="DefaultParagraphFont"/>
    <w:uiPriority w:val="99"/>
    <w:semiHidden/>
    <w:unhideWhenUsed/>
    <w:rsid w:val="00A34516"/>
    <w:rPr>
      <w:color w:val="605E5C"/>
      <w:shd w:val="clear" w:color="auto" w:fill="E1DFDD"/>
    </w:rPr>
  </w:style>
  <w:style w:type="character" w:customStyle="1" w:styleId="UnresolvedMention1000">
    <w:name w:val="Unresolved Mention1000"/>
    <w:basedOn w:val="DefaultParagraphFont"/>
    <w:uiPriority w:val="99"/>
    <w:semiHidden/>
    <w:unhideWhenUsed/>
    <w:rsid w:val="00A34516"/>
    <w:rPr>
      <w:color w:val="605E5C"/>
      <w:shd w:val="clear" w:color="auto" w:fill="E1DFDD"/>
    </w:rPr>
  </w:style>
  <w:style w:type="table" w:customStyle="1" w:styleId="WoodEISUKTableSimple11">
    <w:name w:val="Wood E&amp;IS UK Table Simple11"/>
    <w:basedOn w:val="TableNormal"/>
    <w:next w:val="TableGridLight"/>
    <w:uiPriority w:val="40"/>
    <w:rsid w:val="00A34516"/>
    <w:pPr>
      <w:spacing w:after="0" w:line="240" w:lineRule="auto"/>
    </w:pPr>
    <w:tblPr>
      <w:tblBorders>
        <w:bottom w:val="single" w:sz="2" w:space="0" w:color="auto"/>
      </w:tblBorders>
      <w:tblCellMar>
        <w:top w:w="113" w:type="dxa"/>
        <w:bottom w:w="113" w:type="dxa"/>
      </w:tblCellMar>
    </w:tblPr>
    <w:tblStylePr w:type="firstRow">
      <w:tblPr/>
      <w:tcPr>
        <w:tcBorders>
          <w:top w:val="single" w:sz="2" w:space="0" w:color="000000" w:themeColor="text1"/>
          <w:bottom w:val="single" w:sz="2" w:space="0" w:color="000000" w:themeColor="text1"/>
        </w:tcBorders>
      </w:tcPr>
    </w:tblStylePr>
  </w:style>
  <w:style w:type="table" w:customStyle="1" w:styleId="Table11">
    <w:name w:val="Table 11"/>
    <w:basedOn w:val="TableNormal"/>
    <w:uiPriority w:val="99"/>
    <w:rsid w:val="00A34516"/>
    <w:pPr>
      <w:spacing w:after="0" w:line="240" w:lineRule="auto"/>
      <w:jc w:val="center"/>
    </w:pPr>
    <w:rPr>
      <w:rFonts w:ascii="Trebuchet MS" w:hAnsi="Trebuchet MS"/>
      <w:sz w:val="16"/>
    </w:rPr>
    <w:tblPr>
      <w:tblInd w:w="0" w:type="nil"/>
      <w:tblBorders>
        <w:top w:val="single" w:sz="4" w:space="0" w:color="005962"/>
        <w:left w:val="single" w:sz="4" w:space="0" w:color="005962"/>
        <w:bottom w:val="single" w:sz="4" w:space="0" w:color="005962"/>
        <w:right w:val="single" w:sz="4" w:space="0" w:color="005962"/>
        <w:insideH w:val="single" w:sz="4" w:space="0" w:color="005962"/>
        <w:insideV w:val="single" w:sz="4" w:space="0" w:color="005962"/>
      </w:tblBorders>
    </w:tblPr>
    <w:tcPr>
      <w:vAlign w:val="center"/>
    </w:tcPr>
    <w:tblStylePr w:type="firstRow">
      <w:pPr>
        <w:wordWrap/>
        <w:spacing w:beforeLines="0" w:before="100" w:beforeAutospacing="1" w:afterLines="0" w:after="100" w:afterAutospacing="1" w:line="300" w:lineRule="atLeast"/>
        <w:ind w:leftChars="0" w:left="0" w:rightChars="0" w:right="0" w:firstLineChars="0" w:firstLine="0"/>
        <w:jc w:val="center"/>
      </w:pPr>
      <w:rPr>
        <w:rFonts w:ascii="Sakamoto Medium" w:hAnsi="Sakamoto Medium" w:hint="default"/>
        <w:b/>
        <w:color w:val="FFFFFF" w:themeColor="background1"/>
        <w:sz w:val="16"/>
        <w:szCs w:val="16"/>
      </w:rPr>
      <w:tblPr/>
      <w:tcPr>
        <w:shd w:val="clear" w:color="auto" w:fill="005962"/>
      </w:tcPr>
    </w:tblStylePr>
  </w:style>
  <w:style w:type="numbering" w:customStyle="1" w:styleId="Style2">
    <w:name w:val="Style2"/>
    <w:uiPriority w:val="99"/>
    <w:rsid w:val="00A34516"/>
    <w:pPr>
      <w:numPr>
        <w:numId w:val="82"/>
      </w:numPr>
    </w:pPr>
  </w:style>
  <w:style w:type="paragraph" w:customStyle="1" w:styleId="TableParagraph">
    <w:name w:val="Table Paragraph"/>
    <w:basedOn w:val="Normal"/>
    <w:uiPriority w:val="1"/>
    <w:qFormat/>
    <w:rsid w:val="00A34516"/>
    <w:pPr>
      <w:widowControl w:val="0"/>
      <w:autoSpaceDE w:val="0"/>
      <w:autoSpaceDN w:val="0"/>
      <w:spacing w:before="58" w:after="0" w:line="240" w:lineRule="auto"/>
      <w:ind w:left="96"/>
      <w:jc w:val="both"/>
    </w:pPr>
    <w:rPr>
      <w:rFonts w:ascii="Calibri" w:eastAsia="Calibri" w:hAnsi="Calibri" w:cs="Calibri"/>
      <w:sz w:val="22"/>
      <w:lang w:val="en-US"/>
    </w:rPr>
  </w:style>
  <w:style w:type="paragraph" w:customStyle="1" w:styleId="2ndlevelbulletpoint">
    <w:name w:val="2nd level bulletpoint"/>
    <w:basedOn w:val="ListParagraph"/>
    <w:next w:val="3rdlevelbulletpoint"/>
    <w:rsid w:val="00A34516"/>
    <w:pPr>
      <w:tabs>
        <w:tab w:val="left" w:pos="851"/>
      </w:tabs>
      <w:spacing w:after="0" w:line="300" w:lineRule="atLeast"/>
      <w:ind w:left="1661" w:hanging="357"/>
    </w:pPr>
    <w:rPr>
      <w:rFonts w:ascii="Trebuchet MS" w:hAnsi="Trebuchet MS"/>
      <w:sz w:val="18"/>
    </w:rPr>
  </w:style>
  <w:style w:type="paragraph" w:customStyle="1" w:styleId="3rdlevelbulletpoint">
    <w:name w:val="3rd level bulletpoint"/>
    <w:basedOn w:val="2ndlevelbulletpoint"/>
    <w:rsid w:val="00A34516"/>
    <w:pPr>
      <w:ind w:left="2001"/>
    </w:pPr>
  </w:style>
  <w:style w:type="table" w:styleId="GridTable4-Accent5">
    <w:name w:val="Grid Table 4 Accent 5"/>
    <w:basedOn w:val="TableNormal"/>
    <w:uiPriority w:val="49"/>
    <w:rsid w:val="004D6BA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2">
    <w:name w:val="No List2"/>
    <w:next w:val="NoList"/>
    <w:uiPriority w:val="99"/>
    <w:semiHidden/>
    <w:unhideWhenUsed/>
    <w:rsid w:val="000F6F3E"/>
  </w:style>
  <w:style w:type="table" w:customStyle="1" w:styleId="TableGrid4">
    <w:name w:val="Table Grid4"/>
    <w:basedOn w:val="TableNormal"/>
    <w:next w:val="TableGrid"/>
    <w:uiPriority w:val="39"/>
    <w:rsid w:val="000F6F3E"/>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24458"/>
    <w:rPr>
      <w:color w:val="605E5C"/>
      <w:shd w:val="clear" w:color="auto" w:fill="E1DFDD"/>
    </w:rPr>
  </w:style>
  <w:style w:type="character" w:customStyle="1" w:styleId="Mention3">
    <w:name w:val="Mention3"/>
    <w:basedOn w:val="DefaultParagraphFont"/>
    <w:uiPriority w:val="99"/>
    <w:unhideWhenUsed/>
    <w:rsid w:val="008244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2807">
      <w:bodyDiv w:val="1"/>
      <w:marLeft w:val="0"/>
      <w:marRight w:val="0"/>
      <w:marTop w:val="0"/>
      <w:marBottom w:val="0"/>
      <w:divBdr>
        <w:top w:val="none" w:sz="0" w:space="0" w:color="auto"/>
        <w:left w:val="none" w:sz="0" w:space="0" w:color="auto"/>
        <w:bottom w:val="none" w:sz="0" w:space="0" w:color="auto"/>
        <w:right w:val="none" w:sz="0" w:space="0" w:color="auto"/>
      </w:divBdr>
    </w:div>
    <w:div w:id="92559713">
      <w:bodyDiv w:val="1"/>
      <w:marLeft w:val="0"/>
      <w:marRight w:val="0"/>
      <w:marTop w:val="0"/>
      <w:marBottom w:val="0"/>
      <w:divBdr>
        <w:top w:val="none" w:sz="0" w:space="0" w:color="auto"/>
        <w:left w:val="none" w:sz="0" w:space="0" w:color="auto"/>
        <w:bottom w:val="none" w:sz="0" w:space="0" w:color="auto"/>
        <w:right w:val="none" w:sz="0" w:space="0" w:color="auto"/>
      </w:divBdr>
    </w:div>
    <w:div w:id="102044579">
      <w:bodyDiv w:val="1"/>
      <w:marLeft w:val="0"/>
      <w:marRight w:val="0"/>
      <w:marTop w:val="0"/>
      <w:marBottom w:val="0"/>
      <w:divBdr>
        <w:top w:val="none" w:sz="0" w:space="0" w:color="auto"/>
        <w:left w:val="none" w:sz="0" w:space="0" w:color="auto"/>
        <w:bottom w:val="none" w:sz="0" w:space="0" w:color="auto"/>
        <w:right w:val="none" w:sz="0" w:space="0" w:color="auto"/>
      </w:divBdr>
    </w:div>
    <w:div w:id="122432729">
      <w:bodyDiv w:val="1"/>
      <w:marLeft w:val="0"/>
      <w:marRight w:val="0"/>
      <w:marTop w:val="0"/>
      <w:marBottom w:val="0"/>
      <w:divBdr>
        <w:top w:val="none" w:sz="0" w:space="0" w:color="auto"/>
        <w:left w:val="none" w:sz="0" w:space="0" w:color="auto"/>
        <w:bottom w:val="none" w:sz="0" w:space="0" w:color="auto"/>
        <w:right w:val="none" w:sz="0" w:space="0" w:color="auto"/>
      </w:divBdr>
    </w:div>
    <w:div w:id="132017486">
      <w:bodyDiv w:val="1"/>
      <w:marLeft w:val="0"/>
      <w:marRight w:val="0"/>
      <w:marTop w:val="0"/>
      <w:marBottom w:val="0"/>
      <w:divBdr>
        <w:top w:val="none" w:sz="0" w:space="0" w:color="auto"/>
        <w:left w:val="none" w:sz="0" w:space="0" w:color="auto"/>
        <w:bottom w:val="none" w:sz="0" w:space="0" w:color="auto"/>
        <w:right w:val="none" w:sz="0" w:space="0" w:color="auto"/>
      </w:divBdr>
    </w:div>
    <w:div w:id="140657815">
      <w:bodyDiv w:val="1"/>
      <w:marLeft w:val="0"/>
      <w:marRight w:val="0"/>
      <w:marTop w:val="0"/>
      <w:marBottom w:val="0"/>
      <w:divBdr>
        <w:top w:val="none" w:sz="0" w:space="0" w:color="auto"/>
        <w:left w:val="none" w:sz="0" w:space="0" w:color="auto"/>
        <w:bottom w:val="none" w:sz="0" w:space="0" w:color="auto"/>
        <w:right w:val="none" w:sz="0" w:space="0" w:color="auto"/>
      </w:divBdr>
    </w:div>
    <w:div w:id="157160428">
      <w:bodyDiv w:val="1"/>
      <w:marLeft w:val="0"/>
      <w:marRight w:val="0"/>
      <w:marTop w:val="0"/>
      <w:marBottom w:val="0"/>
      <w:divBdr>
        <w:top w:val="none" w:sz="0" w:space="0" w:color="auto"/>
        <w:left w:val="none" w:sz="0" w:space="0" w:color="auto"/>
        <w:bottom w:val="none" w:sz="0" w:space="0" w:color="auto"/>
        <w:right w:val="none" w:sz="0" w:space="0" w:color="auto"/>
      </w:divBdr>
    </w:div>
    <w:div w:id="211384557">
      <w:bodyDiv w:val="1"/>
      <w:marLeft w:val="0"/>
      <w:marRight w:val="0"/>
      <w:marTop w:val="0"/>
      <w:marBottom w:val="0"/>
      <w:divBdr>
        <w:top w:val="none" w:sz="0" w:space="0" w:color="auto"/>
        <w:left w:val="none" w:sz="0" w:space="0" w:color="auto"/>
        <w:bottom w:val="none" w:sz="0" w:space="0" w:color="auto"/>
        <w:right w:val="none" w:sz="0" w:space="0" w:color="auto"/>
      </w:divBdr>
    </w:div>
    <w:div w:id="268392293">
      <w:bodyDiv w:val="1"/>
      <w:marLeft w:val="0"/>
      <w:marRight w:val="0"/>
      <w:marTop w:val="0"/>
      <w:marBottom w:val="0"/>
      <w:divBdr>
        <w:top w:val="none" w:sz="0" w:space="0" w:color="auto"/>
        <w:left w:val="none" w:sz="0" w:space="0" w:color="auto"/>
        <w:bottom w:val="none" w:sz="0" w:space="0" w:color="auto"/>
        <w:right w:val="none" w:sz="0" w:space="0" w:color="auto"/>
      </w:divBdr>
    </w:div>
    <w:div w:id="325328914">
      <w:bodyDiv w:val="1"/>
      <w:marLeft w:val="0"/>
      <w:marRight w:val="0"/>
      <w:marTop w:val="0"/>
      <w:marBottom w:val="0"/>
      <w:divBdr>
        <w:top w:val="none" w:sz="0" w:space="0" w:color="auto"/>
        <w:left w:val="none" w:sz="0" w:space="0" w:color="auto"/>
        <w:bottom w:val="none" w:sz="0" w:space="0" w:color="auto"/>
        <w:right w:val="none" w:sz="0" w:space="0" w:color="auto"/>
      </w:divBdr>
    </w:div>
    <w:div w:id="336084312">
      <w:bodyDiv w:val="1"/>
      <w:marLeft w:val="0"/>
      <w:marRight w:val="0"/>
      <w:marTop w:val="0"/>
      <w:marBottom w:val="0"/>
      <w:divBdr>
        <w:top w:val="none" w:sz="0" w:space="0" w:color="auto"/>
        <w:left w:val="none" w:sz="0" w:space="0" w:color="auto"/>
        <w:bottom w:val="none" w:sz="0" w:space="0" w:color="auto"/>
        <w:right w:val="none" w:sz="0" w:space="0" w:color="auto"/>
      </w:divBdr>
    </w:div>
    <w:div w:id="386607122">
      <w:bodyDiv w:val="1"/>
      <w:marLeft w:val="0"/>
      <w:marRight w:val="0"/>
      <w:marTop w:val="0"/>
      <w:marBottom w:val="0"/>
      <w:divBdr>
        <w:top w:val="none" w:sz="0" w:space="0" w:color="auto"/>
        <w:left w:val="none" w:sz="0" w:space="0" w:color="auto"/>
        <w:bottom w:val="none" w:sz="0" w:space="0" w:color="auto"/>
        <w:right w:val="none" w:sz="0" w:space="0" w:color="auto"/>
      </w:divBdr>
    </w:div>
    <w:div w:id="393507881">
      <w:bodyDiv w:val="1"/>
      <w:marLeft w:val="0"/>
      <w:marRight w:val="0"/>
      <w:marTop w:val="0"/>
      <w:marBottom w:val="0"/>
      <w:divBdr>
        <w:top w:val="none" w:sz="0" w:space="0" w:color="auto"/>
        <w:left w:val="none" w:sz="0" w:space="0" w:color="auto"/>
        <w:bottom w:val="none" w:sz="0" w:space="0" w:color="auto"/>
        <w:right w:val="none" w:sz="0" w:space="0" w:color="auto"/>
      </w:divBdr>
    </w:div>
    <w:div w:id="430469549">
      <w:bodyDiv w:val="1"/>
      <w:marLeft w:val="0"/>
      <w:marRight w:val="0"/>
      <w:marTop w:val="0"/>
      <w:marBottom w:val="0"/>
      <w:divBdr>
        <w:top w:val="none" w:sz="0" w:space="0" w:color="auto"/>
        <w:left w:val="none" w:sz="0" w:space="0" w:color="auto"/>
        <w:bottom w:val="none" w:sz="0" w:space="0" w:color="auto"/>
        <w:right w:val="none" w:sz="0" w:space="0" w:color="auto"/>
      </w:divBdr>
    </w:div>
    <w:div w:id="447774191">
      <w:bodyDiv w:val="1"/>
      <w:marLeft w:val="0"/>
      <w:marRight w:val="0"/>
      <w:marTop w:val="0"/>
      <w:marBottom w:val="0"/>
      <w:divBdr>
        <w:top w:val="none" w:sz="0" w:space="0" w:color="auto"/>
        <w:left w:val="none" w:sz="0" w:space="0" w:color="auto"/>
        <w:bottom w:val="none" w:sz="0" w:space="0" w:color="auto"/>
        <w:right w:val="none" w:sz="0" w:space="0" w:color="auto"/>
      </w:divBdr>
    </w:div>
    <w:div w:id="449134088">
      <w:bodyDiv w:val="1"/>
      <w:marLeft w:val="0"/>
      <w:marRight w:val="0"/>
      <w:marTop w:val="0"/>
      <w:marBottom w:val="0"/>
      <w:divBdr>
        <w:top w:val="none" w:sz="0" w:space="0" w:color="auto"/>
        <w:left w:val="none" w:sz="0" w:space="0" w:color="auto"/>
        <w:bottom w:val="none" w:sz="0" w:space="0" w:color="auto"/>
        <w:right w:val="none" w:sz="0" w:space="0" w:color="auto"/>
      </w:divBdr>
    </w:div>
    <w:div w:id="452099176">
      <w:bodyDiv w:val="1"/>
      <w:marLeft w:val="0"/>
      <w:marRight w:val="0"/>
      <w:marTop w:val="0"/>
      <w:marBottom w:val="0"/>
      <w:divBdr>
        <w:top w:val="none" w:sz="0" w:space="0" w:color="auto"/>
        <w:left w:val="none" w:sz="0" w:space="0" w:color="auto"/>
        <w:bottom w:val="none" w:sz="0" w:space="0" w:color="auto"/>
        <w:right w:val="none" w:sz="0" w:space="0" w:color="auto"/>
      </w:divBdr>
    </w:div>
    <w:div w:id="454065491">
      <w:bodyDiv w:val="1"/>
      <w:marLeft w:val="0"/>
      <w:marRight w:val="0"/>
      <w:marTop w:val="0"/>
      <w:marBottom w:val="0"/>
      <w:divBdr>
        <w:top w:val="none" w:sz="0" w:space="0" w:color="auto"/>
        <w:left w:val="none" w:sz="0" w:space="0" w:color="auto"/>
        <w:bottom w:val="none" w:sz="0" w:space="0" w:color="auto"/>
        <w:right w:val="none" w:sz="0" w:space="0" w:color="auto"/>
      </w:divBdr>
    </w:div>
    <w:div w:id="475879386">
      <w:bodyDiv w:val="1"/>
      <w:marLeft w:val="0"/>
      <w:marRight w:val="0"/>
      <w:marTop w:val="0"/>
      <w:marBottom w:val="0"/>
      <w:divBdr>
        <w:top w:val="none" w:sz="0" w:space="0" w:color="auto"/>
        <w:left w:val="none" w:sz="0" w:space="0" w:color="auto"/>
        <w:bottom w:val="none" w:sz="0" w:space="0" w:color="auto"/>
        <w:right w:val="none" w:sz="0" w:space="0" w:color="auto"/>
      </w:divBdr>
    </w:div>
    <w:div w:id="487791230">
      <w:bodyDiv w:val="1"/>
      <w:marLeft w:val="0"/>
      <w:marRight w:val="0"/>
      <w:marTop w:val="0"/>
      <w:marBottom w:val="0"/>
      <w:divBdr>
        <w:top w:val="none" w:sz="0" w:space="0" w:color="auto"/>
        <w:left w:val="none" w:sz="0" w:space="0" w:color="auto"/>
        <w:bottom w:val="none" w:sz="0" w:space="0" w:color="auto"/>
        <w:right w:val="none" w:sz="0" w:space="0" w:color="auto"/>
      </w:divBdr>
    </w:div>
    <w:div w:id="531461957">
      <w:bodyDiv w:val="1"/>
      <w:marLeft w:val="0"/>
      <w:marRight w:val="0"/>
      <w:marTop w:val="0"/>
      <w:marBottom w:val="0"/>
      <w:divBdr>
        <w:top w:val="none" w:sz="0" w:space="0" w:color="auto"/>
        <w:left w:val="none" w:sz="0" w:space="0" w:color="auto"/>
        <w:bottom w:val="none" w:sz="0" w:space="0" w:color="auto"/>
        <w:right w:val="none" w:sz="0" w:space="0" w:color="auto"/>
      </w:divBdr>
    </w:div>
    <w:div w:id="574780067">
      <w:bodyDiv w:val="1"/>
      <w:marLeft w:val="0"/>
      <w:marRight w:val="0"/>
      <w:marTop w:val="0"/>
      <w:marBottom w:val="0"/>
      <w:divBdr>
        <w:top w:val="none" w:sz="0" w:space="0" w:color="auto"/>
        <w:left w:val="none" w:sz="0" w:space="0" w:color="auto"/>
        <w:bottom w:val="none" w:sz="0" w:space="0" w:color="auto"/>
        <w:right w:val="none" w:sz="0" w:space="0" w:color="auto"/>
      </w:divBdr>
    </w:div>
    <w:div w:id="600265447">
      <w:bodyDiv w:val="1"/>
      <w:marLeft w:val="0"/>
      <w:marRight w:val="0"/>
      <w:marTop w:val="0"/>
      <w:marBottom w:val="0"/>
      <w:divBdr>
        <w:top w:val="none" w:sz="0" w:space="0" w:color="auto"/>
        <w:left w:val="none" w:sz="0" w:space="0" w:color="auto"/>
        <w:bottom w:val="none" w:sz="0" w:space="0" w:color="auto"/>
        <w:right w:val="none" w:sz="0" w:space="0" w:color="auto"/>
      </w:divBdr>
    </w:div>
    <w:div w:id="603004051">
      <w:bodyDiv w:val="1"/>
      <w:marLeft w:val="0"/>
      <w:marRight w:val="0"/>
      <w:marTop w:val="0"/>
      <w:marBottom w:val="0"/>
      <w:divBdr>
        <w:top w:val="none" w:sz="0" w:space="0" w:color="auto"/>
        <w:left w:val="none" w:sz="0" w:space="0" w:color="auto"/>
        <w:bottom w:val="none" w:sz="0" w:space="0" w:color="auto"/>
        <w:right w:val="none" w:sz="0" w:space="0" w:color="auto"/>
      </w:divBdr>
    </w:div>
    <w:div w:id="643661020">
      <w:bodyDiv w:val="1"/>
      <w:marLeft w:val="0"/>
      <w:marRight w:val="0"/>
      <w:marTop w:val="0"/>
      <w:marBottom w:val="0"/>
      <w:divBdr>
        <w:top w:val="none" w:sz="0" w:space="0" w:color="auto"/>
        <w:left w:val="none" w:sz="0" w:space="0" w:color="auto"/>
        <w:bottom w:val="none" w:sz="0" w:space="0" w:color="auto"/>
        <w:right w:val="none" w:sz="0" w:space="0" w:color="auto"/>
      </w:divBdr>
    </w:div>
    <w:div w:id="646058155">
      <w:bodyDiv w:val="1"/>
      <w:marLeft w:val="0"/>
      <w:marRight w:val="0"/>
      <w:marTop w:val="0"/>
      <w:marBottom w:val="0"/>
      <w:divBdr>
        <w:top w:val="none" w:sz="0" w:space="0" w:color="auto"/>
        <w:left w:val="none" w:sz="0" w:space="0" w:color="auto"/>
        <w:bottom w:val="none" w:sz="0" w:space="0" w:color="auto"/>
        <w:right w:val="none" w:sz="0" w:space="0" w:color="auto"/>
      </w:divBdr>
    </w:div>
    <w:div w:id="662465388">
      <w:bodyDiv w:val="1"/>
      <w:marLeft w:val="0"/>
      <w:marRight w:val="0"/>
      <w:marTop w:val="0"/>
      <w:marBottom w:val="0"/>
      <w:divBdr>
        <w:top w:val="none" w:sz="0" w:space="0" w:color="auto"/>
        <w:left w:val="none" w:sz="0" w:space="0" w:color="auto"/>
        <w:bottom w:val="none" w:sz="0" w:space="0" w:color="auto"/>
        <w:right w:val="none" w:sz="0" w:space="0" w:color="auto"/>
      </w:divBdr>
    </w:div>
    <w:div w:id="681934778">
      <w:bodyDiv w:val="1"/>
      <w:marLeft w:val="0"/>
      <w:marRight w:val="0"/>
      <w:marTop w:val="0"/>
      <w:marBottom w:val="0"/>
      <w:divBdr>
        <w:top w:val="none" w:sz="0" w:space="0" w:color="auto"/>
        <w:left w:val="none" w:sz="0" w:space="0" w:color="auto"/>
        <w:bottom w:val="none" w:sz="0" w:space="0" w:color="auto"/>
        <w:right w:val="none" w:sz="0" w:space="0" w:color="auto"/>
      </w:divBdr>
    </w:div>
    <w:div w:id="687030176">
      <w:bodyDiv w:val="1"/>
      <w:marLeft w:val="0"/>
      <w:marRight w:val="0"/>
      <w:marTop w:val="0"/>
      <w:marBottom w:val="0"/>
      <w:divBdr>
        <w:top w:val="none" w:sz="0" w:space="0" w:color="auto"/>
        <w:left w:val="none" w:sz="0" w:space="0" w:color="auto"/>
        <w:bottom w:val="none" w:sz="0" w:space="0" w:color="auto"/>
        <w:right w:val="none" w:sz="0" w:space="0" w:color="auto"/>
      </w:divBdr>
      <w:divsChild>
        <w:div w:id="556552032">
          <w:marLeft w:val="0"/>
          <w:marRight w:val="0"/>
          <w:marTop w:val="0"/>
          <w:marBottom w:val="0"/>
          <w:divBdr>
            <w:top w:val="none" w:sz="0" w:space="0" w:color="auto"/>
            <w:left w:val="none" w:sz="0" w:space="0" w:color="auto"/>
            <w:bottom w:val="none" w:sz="0" w:space="0" w:color="auto"/>
            <w:right w:val="none" w:sz="0" w:space="0" w:color="auto"/>
          </w:divBdr>
          <w:divsChild>
            <w:div w:id="164531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2983">
      <w:bodyDiv w:val="1"/>
      <w:marLeft w:val="0"/>
      <w:marRight w:val="0"/>
      <w:marTop w:val="0"/>
      <w:marBottom w:val="0"/>
      <w:divBdr>
        <w:top w:val="none" w:sz="0" w:space="0" w:color="auto"/>
        <w:left w:val="none" w:sz="0" w:space="0" w:color="auto"/>
        <w:bottom w:val="none" w:sz="0" w:space="0" w:color="auto"/>
        <w:right w:val="none" w:sz="0" w:space="0" w:color="auto"/>
      </w:divBdr>
    </w:div>
    <w:div w:id="710809396">
      <w:bodyDiv w:val="1"/>
      <w:marLeft w:val="0"/>
      <w:marRight w:val="0"/>
      <w:marTop w:val="0"/>
      <w:marBottom w:val="0"/>
      <w:divBdr>
        <w:top w:val="none" w:sz="0" w:space="0" w:color="auto"/>
        <w:left w:val="none" w:sz="0" w:space="0" w:color="auto"/>
        <w:bottom w:val="none" w:sz="0" w:space="0" w:color="auto"/>
        <w:right w:val="none" w:sz="0" w:space="0" w:color="auto"/>
      </w:divBdr>
    </w:div>
    <w:div w:id="725884201">
      <w:bodyDiv w:val="1"/>
      <w:marLeft w:val="0"/>
      <w:marRight w:val="0"/>
      <w:marTop w:val="0"/>
      <w:marBottom w:val="0"/>
      <w:divBdr>
        <w:top w:val="none" w:sz="0" w:space="0" w:color="auto"/>
        <w:left w:val="none" w:sz="0" w:space="0" w:color="auto"/>
        <w:bottom w:val="none" w:sz="0" w:space="0" w:color="auto"/>
        <w:right w:val="none" w:sz="0" w:space="0" w:color="auto"/>
      </w:divBdr>
    </w:div>
    <w:div w:id="766461149">
      <w:bodyDiv w:val="1"/>
      <w:marLeft w:val="0"/>
      <w:marRight w:val="0"/>
      <w:marTop w:val="0"/>
      <w:marBottom w:val="0"/>
      <w:divBdr>
        <w:top w:val="none" w:sz="0" w:space="0" w:color="auto"/>
        <w:left w:val="none" w:sz="0" w:space="0" w:color="auto"/>
        <w:bottom w:val="none" w:sz="0" w:space="0" w:color="auto"/>
        <w:right w:val="none" w:sz="0" w:space="0" w:color="auto"/>
      </w:divBdr>
    </w:div>
    <w:div w:id="800341902">
      <w:bodyDiv w:val="1"/>
      <w:marLeft w:val="0"/>
      <w:marRight w:val="0"/>
      <w:marTop w:val="0"/>
      <w:marBottom w:val="0"/>
      <w:divBdr>
        <w:top w:val="none" w:sz="0" w:space="0" w:color="auto"/>
        <w:left w:val="none" w:sz="0" w:space="0" w:color="auto"/>
        <w:bottom w:val="none" w:sz="0" w:space="0" w:color="auto"/>
        <w:right w:val="none" w:sz="0" w:space="0" w:color="auto"/>
      </w:divBdr>
    </w:div>
    <w:div w:id="802650254">
      <w:bodyDiv w:val="1"/>
      <w:marLeft w:val="0"/>
      <w:marRight w:val="0"/>
      <w:marTop w:val="0"/>
      <w:marBottom w:val="0"/>
      <w:divBdr>
        <w:top w:val="none" w:sz="0" w:space="0" w:color="auto"/>
        <w:left w:val="none" w:sz="0" w:space="0" w:color="auto"/>
        <w:bottom w:val="none" w:sz="0" w:space="0" w:color="auto"/>
        <w:right w:val="none" w:sz="0" w:space="0" w:color="auto"/>
      </w:divBdr>
    </w:div>
    <w:div w:id="821503577">
      <w:bodyDiv w:val="1"/>
      <w:marLeft w:val="0"/>
      <w:marRight w:val="0"/>
      <w:marTop w:val="0"/>
      <w:marBottom w:val="0"/>
      <w:divBdr>
        <w:top w:val="none" w:sz="0" w:space="0" w:color="auto"/>
        <w:left w:val="none" w:sz="0" w:space="0" w:color="auto"/>
        <w:bottom w:val="none" w:sz="0" w:space="0" w:color="auto"/>
        <w:right w:val="none" w:sz="0" w:space="0" w:color="auto"/>
      </w:divBdr>
    </w:div>
    <w:div w:id="861670892">
      <w:bodyDiv w:val="1"/>
      <w:marLeft w:val="0"/>
      <w:marRight w:val="0"/>
      <w:marTop w:val="0"/>
      <w:marBottom w:val="0"/>
      <w:divBdr>
        <w:top w:val="none" w:sz="0" w:space="0" w:color="auto"/>
        <w:left w:val="none" w:sz="0" w:space="0" w:color="auto"/>
        <w:bottom w:val="none" w:sz="0" w:space="0" w:color="auto"/>
        <w:right w:val="none" w:sz="0" w:space="0" w:color="auto"/>
      </w:divBdr>
    </w:div>
    <w:div w:id="880946154">
      <w:bodyDiv w:val="1"/>
      <w:marLeft w:val="0"/>
      <w:marRight w:val="0"/>
      <w:marTop w:val="0"/>
      <w:marBottom w:val="0"/>
      <w:divBdr>
        <w:top w:val="none" w:sz="0" w:space="0" w:color="auto"/>
        <w:left w:val="none" w:sz="0" w:space="0" w:color="auto"/>
        <w:bottom w:val="none" w:sz="0" w:space="0" w:color="auto"/>
        <w:right w:val="none" w:sz="0" w:space="0" w:color="auto"/>
      </w:divBdr>
    </w:div>
    <w:div w:id="1018384781">
      <w:bodyDiv w:val="1"/>
      <w:marLeft w:val="0"/>
      <w:marRight w:val="0"/>
      <w:marTop w:val="0"/>
      <w:marBottom w:val="0"/>
      <w:divBdr>
        <w:top w:val="none" w:sz="0" w:space="0" w:color="auto"/>
        <w:left w:val="none" w:sz="0" w:space="0" w:color="auto"/>
        <w:bottom w:val="none" w:sz="0" w:space="0" w:color="auto"/>
        <w:right w:val="none" w:sz="0" w:space="0" w:color="auto"/>
      </w:divBdr>
    </w:div>
    <w:div w:id="1065028400">
      <w:bodyDiv w:val="1"/>
      <w:marLeft w:val="0"/>
      <w:marRight w:val="0"/>
      <w:marTop w:val="0"/>
      <w:marBottom w:val="0"/>
      <w:divBdr>
        <w:top w:val="none" w:sz="0" w:space="0" w:color="auto"/>
        <w:left w:val="none" w:sz="0" w:space="0" w:color="auto"/>
        <w:bottom w:val="none" w:sz="0" w:space="0" w:color="auto"/>
        <w:right w:val="none" w:sz="0" w:space="0" w:color="auto"/>
      </w:divBdr>
    </w:div>
    <w:div w:id="1083337056">
      <w:bodyDiv w:val="1"/>
      <w:marLeft w:val="0"/>
      <w:marRight w:val="0"/>
      <w:marTop w:val="0"/>
      <w:marBottom w:val="0"/>
      <w:divBdr>
        <w:top w:val="none" w:sz="0" w:space="0" w:color="auto"/>
        <w:left w:val="none" w:sz="0" w:space="0" w:color="auto"/>
        <w:bottom w:val="none" w:sz="0" w:space="0" w:color="auto"/>
        <w:right w:val="none" w:sz="0" w:space="0" w:color="auto"/>
      </w:divBdr>
    </w:div>
    <w:div w:id="1084185486">
      <w:bodyDiv w:val="1"/>
      <w:marLeft w:val="0"/>
      <w:marRight w:val="0"/>
      <w:marTop w:val="0"/>
      <w:marBottom w:val="0"/>
      <w:divBdr>
        <w:top w:val="none" w:sz="0" w:space="0" w:color="auto"/>
        <w:left w:val="none" w:sz="0" w:space="0" w:color="auto"/>
        <w:bottom w:val="none" w:sz="0" w:space="0" w:color="auto"/>
        <w:right w:val="none" w:sz="0" w:space="0" w:color="auto"/>
      </w:divBdr>
    </w:div>
    <w:div w:id="1120680983">
      <w:bodyDiv w:val="1"/>
      <w:marLeft w:val="0"/>
      <w:marRight w:val="0"/>
      <w:marTop w:val="0"/>
      <w:marBottom w:val="0"/>
      <w:divBdr>
        <w:top w:val="none" w:sz="0" w:space="0" w:color="auto"/>
        <w:left w:val="none" w:sz="0" w:space="0" w:color="auto"/>
        <w:bottom w:val="none" w:sz="0" w:space="0" w:color="auto"/>
        <w:right w:val="none" w:sz="0" w:space="0" w:color="auto"/>
      </w:divBdr>
    </w:div>
    <w:div w:id="1124228678">
      <w:bodyDiv w:val="1"/>
      <w:marLeft w:val="0"/>
      <w:marRight w:val="0"/>
      <w:marTop w:val="0"/>
      <w:marBottom w:val="0"/>
      <w:divBdr>
        <w:top w:val="none" w:sz="0" w:space="0" w:color="auto"/>
        <w:left w:val="none" w:sz="0" w:space="0" w:color="auto"/>
        <w:bottom w:val="none" w:sz="0" w:space="0" w:color="auto"/>
        <w:right w:val="none" w:sz="0" w:space="0" w:color="auto"/>
      </w:divBdr>
    </w:div>
    <w:div w:id="1152677473">
      <w:bodyDiv w:val="1"/>
      <w:marLeft w:val="0"/>
      <w:marRight w:val="0"/>
      <w:marTop w:val="0"/>
      <w:marBottom w:val="0"/>
      <w:divBdr>
        <w:top w:val="none" w:sz="0" w:space="0" w:color="auto"/>
        <w:left w:val="none" w:sz="0" w:space="0" w:color="auto"/>
        <w:bottom w:val="none" w:sz="0" w:space="0" w:color="auto"/>
        <w:right w:val="none" w:sz="0" w:space="0" w:color="auto"/>
      </w:divBdr>
    </w:div>
    <w:div w:id="1169832984">
      <w:bodyDiv w:val="1"/>
      <w:marLeft w:val="0"/>
      <w:marRight w:val="0"/>
      <w:marTop w:val="0"/>
      <w:marBottom w:val="0"/>
      <w:divBdr>
        <w:top w:val="none" w:sz="0" w:space="0" w:color="auto"/>
        <w:left w:val="none" w:sz="0" w:space="0" w:color="auto"/>
        <w:bottom w:val="none" w:sz="0" w:space="0" w:color="auto"/>
        <w:right w:val="none" w:sz="0" w:space="0" w:color="auto"/>
      </w:divBdr>
    </w:div>
    <w:div w:id="1238706200">
      <w:bodyDiv w:val="1"/>
      <w:marLeft w:val="0"/>
      <w:marRight w:val="0"/>
      <w:marTop w:val="0"/>
      <w:marBottom w:val="0"/>
      <w:divBdr>
        <w:top w:val="none" w:sz="0" w:space="0" w:color="auto"/>
        <w:left w:val="none" w:sz="0" w:space="0" w:color="auto"/>
        <w:bottom w:val="none" w:sz="0" w:space="0" w:color="auto"/>
        <w:right w:val="none" w:sz="0" w:space="0" w:color="auto"/>
      </w:divBdr>
    </w:div>
    <w:div w:id="1290354670">
      <w:bodyDiv w:val="1"/>
      <w:marLeft w:val="0"/>
      <w:marRight w:val="0"/>
      <w:marTop w:val="0"/>
      <w:marBottom w:val="0"/>
      <w:divBdr>
        <w:top w:val="none" w:sz="0" w:space="0" w:color="auto"/>
        <w:left w:val="none" w:sz="0" w:space="0" w:color="auto"/>
        <w:bottom w:val="none" w:sz="0" w:space="0" w:color="auto"/>
        <w:right w:val="none" w:sz="0" w:space="0" w:color="auto"/>
      </w:divBdr>
    </w:div>
    <w:div w:id="1293242640">
      <w:bodyDiv w:val="1"/>
      <w:marLeft w:val="0"/>
      <w:marRight w:val="0"/>
      <w:marTop w:val="0"/>
      <w:marBottom w:val="0"/>
      <w:divBdr>
        <w:top w:val="none" w:sz="0" w:space="0" w:color="auto"/>
        <w:left w:val="none" w:sz="0" w:space="0" w:color="auto"/>
        <w:bottom w:val="none" w:sz="0" w:space="0" w:color="auto"/>
        <w:right w:val="none" w:sz="0" w:space="0" w:color="auto"/>
      </w:divBdr>
    </w:div>
    <w:div w:id="1350764921">
      <w:bodyDiv w:val="1"/>
      <w:marLeft w:val="0"/>
      <w:marRight w:val="0"/>
      <w:marTop w:val="0"/>
      <w:marBottom w:val="0"/>
      <w:divBdr>
        <w:top w:val="none" w:sz="0" w:space="0" w:color="auto"/>
        <w:left w:val="none" w:sz="0" w:space="0" w:color="auto"/>
        <w:bottom w:val="none" w:sz="0" w:space="0" w:color="auto"/>
        <w:right w:val="none" w:sz="0" w:space="0" w:color="auto"/>
      </w:divBdr>
    </w:div>
    <w:div w:id="1397119710">
      <w:bodyDiv w:val="1"/>
      <w:marLeft w:val="0"/>
      <w:marRight w:val="0"/>
      <w:marTop w:val="0"/>
      <w:marBottom w:val="0"/>
      <w:divBdr>
        <w:top w:val="none" w:sz="0" w:space="0" w:color="auto"/>
        <w:left w:val="none" w:sz="0" w:space="0" w:color="auto"/>
        <w:bottom w:val="none" w:sz="0" w:space="0" w:color="auto"/>
        <w:right w:val="none" w:sz="0" w:space="0" w:color="auto"/>
      </w:divBdr>
    </w:div>
    <w:div w:id="1403405119">
      <w:bodyDiv w:val="1"/>
      <w:marLeft w:val="0"/>
      <w:marRight w:val="0"/>
      <w:marTop w:val="0"/>
      <w:marBottom w:val="0"/>
      <w:divBdr>
        <w:top w:val="none" w:sz="0" w:space="0" w:color="auto"/>
        <w:left w:val="none" w:sz="0" w:space="0" w:color="auto"/>
        <w:bottom w:val="none" w:sz="0" w:space="0" w:color="auto"/>
        <w:right w:val="none" w:sz="0" w:space="0" w:color="auto"/>
      </w:divBdr>
    </w:div>
    <w:div w:id="1409691898">
      <w:bodyDiv w:val="1"/>
      <w:marLeft w:val="0"/>
      <w:marRight w:val="0"/>
      <w:marTop w:val="0"/>
      <w:marBottom w:val="0"/>
      <w:divBdr>
        <w:top w:val="none" w:sz="0" w:space="0" w:color="auto"/>
        <w:left w:val="none" w:sz="0" w:space="0" w:color="auto"/>
        <w:bottom w:val="none" w:sz="0" w:space="0" w:color="auto"/>
        <w:right w:val="none" w:sz="0" w:space="0" w:color="auto"/>
      </w:divBdr>
    </w:div>
    <w:div w:id="1411003607">
      <w:bodyDiv w:val="1"/>
      <w:marLeft w:val="0"/>
      <w:marRight w:val="0"/>
      <w:marTop w:val="0"/>
      <w:marBottom w:val="0"/>
      <w:divBdr>
        <w:top w:val="none" w:sz="0" w:space="0" w:color="auto"/>
        <w:left w:val="none" w:sz="0" w:space="0" w:color="auto"/>
        <w:bottom w:val="none" w:sz="0" w:space="0" w:color="auto"/>
        <w:right w:val="none" w:sz="0" w:space="0" w:color="auto"/>
      </w:divBdr>
    </w:div>
    <w:div w:id="1478375555">
      <w:bodyDiv w:val="1"/>
      <w:marLeft w:val="0"/>
      <w:marRight w:val="0"/>
      <w:marTop w:val="0"/>
      <w:marBottom w:val="0"/>
      <w:divBdr>
        <w:top w:val="none" w:sz="0" w:space="0" w:color="auto"/>
        <w:left w:val="none" w:sz="0" w:space="0" w:color="auto"/>
        <w:bottom w:val="none" w:sz="0" w:space="0" w:color="auto"/>
        <w:right w:val="none" w:sz="0" w:space="0" w:color="auto"/>
      </w:divBdr>
    </w:div>
    <w:div w:id="1523014741">
      <w:bodyDiv w:val="1"/>
      <w:marLeft w:val="0"/>
      <w:marRight w:val="0"/>
      <w:marTop w:val="0"/>
      <w:marBottom w:val="0"/>
      <w:divBdr>
        <w:top w:val="none" w:sz="0" w:space="0" w:color="auto"/>
        <w:left w:val="none" w:sz="0" w:space="0" w:color="auto"/>
        <w:bottom w:val="none" w:sz="0" w:space="0" w:color="auto"/>
        <w:right w:val="none" w:sz="0" w:space="0" w:color="auto"/>
      </w:divBdr>
    </w:div>
    <w:div w:id="1567103511">
      <w:bodyDiv w:val="1"/>
      <w:marLeft w:val="0"/>
      <w:marRight w:val="0"/>
      <w:marTop w:val="0"/>
      <w:marBottom w:val="0"/>
      <w:divBdr>
        <w:top w:val="none" w:sz="0" w:space="0" w:color="auto"/>
        <w:left w:val="none" w:sz="0" w:space="0" w:color="auto"/>
        <w:bottom w:val="none" w:sz="0" w:space="0" w:color="auto"/>
        <w:right w:val="none" w:sz="0" w:space="0" w:color="auto"/>
      </w:divBdr>
    </w:div>
    <w:div w:id="1583221019">
      <w:bodyDiv w:val="1"/>
      <w:marLeft w:val="0"/>
      <w:marRight w:val="0"/>
      <w:marTop w:val="0"/>
      <w:marBottom w:val="0"/>
      <w:divBdr>
        <w:top w:val="none" w:sz="0" w:space="0" w:color="auto"/>
        <w:left w:val="none" w:sz="0" w:space="0" w:color="auto"/>
        <w:bottom w:val="none" w:sz="0" w:space="0" w:color="auto"/>
        <w:right w:val="none" w:sz="0" w:space="0" w:color="auto"/>
      </w:divBdr>
    </w:div>
    <w:div w:id="1597055683">
      <w:bodyDiv w:val="1"/>
      <w:marLeft w:val="0"/>
      <w:marRight w:val="0"/>
      <w:marTop w:val="0"/>
      <w:marBottom w:val="0"/>
      <w:divBdr>
        <w:top w:val="none" w:sz="0" w:space="0" w:color="auto"/>
        <w:left w:val="none" w:sz="0" w:space="0" w:color="auto"/>
        <w:bottom w:val="none" w:sz="0" w:space="0" w:color="auto"/>
        <w:right w:val="none" w:sz="0" w:space="0" w:color="auto"/>
      </w:divBdr>
    </w:div>
    <w:div w:id="1602108499">
      <w:bodyDiv w:val="1"/>
      <w:marLeft w:val="0"/>
      <w:marRight w:val="0"/>
      <w:marTop w:val="0"/>
      <w:marBottom w:val="0"/>
      <w:divBdr>
        <w:top w:val="none" w:sz="0" w:space="0" w:color="auto"/>
        <w:left w:val="none" w:sz="0" w:space="0" w:color="auto"/>
        <w:bottom w:val="none" w:sz="0" w:space="0" w:color="auto"/>
        <w:right w:val="none" w:sz="0" w:space="0" w:color="auto"/>
      </w:divBdr>
    </w:div>
    <w:div w:id="1607036587">
      <w:bodyDiv w:val="1"/>
      <w:marLeft w:val="0"/>
      <w:marRight w:val="0"/>
      <w:marTop w:val="0"/>
      <w:marBottom w:val="0"/>
      <w:divBdr>
        <w:top w:val="none" w:sz="0" w:space="0" w:color="auto"/>
        <w:left w:val="none" w:sz="0" w:space="0" w:color="auto"/>
        <w:bottom w:val="none" w:sz="0" w:space="0" w:color="auto"/>
        <w:right w:val="none" w:sz="0" w:space="0" w:color="auto"/>
      </w:divBdr>
    </w:div>
    <w:div w:id="1626234569">
      <w:bodyDiv w:val="1"/>
      <w:marLeft w:val="0"/>
      <w:marRight w:val="0"/>
      <w:marTop w:val="0"/>
      <w:marBottom w:val="0"/>
      <w:divBdr>
        <w:top w:val="none" w:sz="0" w:space="0" w:color="auto"/>
        <w:left w:val="none" w:sz="0" w:space="0" w:color="auto"/>
        <w:bottom w:val="none" w:sz="0" w:space="0" w:color="auto"/>
        <w:right w:val="none" w:sz="0" w:space="0" w:color="auto"/>
      </w:divBdr>
    </w:div>
    <w:div w:id="1640189435">
      <w:bodyDiv w:val="1"/>
      <w:marLeft w:val="0"/>
      <w:marRight w:val="0"/>
      <w:marTop w:val="0"/>
      <w:marBottom w:val="0"/>
      <w:divBdr>
        <w:top w:val="none" w:sz="0" w:space="0" w:color="auto"/>
        <w:left w:val="none" w:sz="0" w:space="0" w:color="auto"/>
        <w:bottom w:val="none" w:sz="0" w:space="0" w:color="auto"/>
        <w:right w:val="none" w:sz="0" w:space="0" w:color="auto"/>
      </w:divBdr>
    </w:div>
    <w:div w:id="1688754735">
      <w:bodyDiv w:val="1"/>
      <w:marLeft w:val="0"/>
      <w:marRight w:val="0"/>
      <w:marTop w:val="0"/>
      <w:marBottom w:val="0"/>
      <w:divBdr>
        <w:top w:val="none" w:sz="0" w:space="0" w:color="auto"/>
        <w:left w:val="none" w:sz="0" w:space="0" w:color="auto"/>
        <w:bottom w:val="none" w:sz="0" w:space="0" w:color="auto"/>
        <w:right w:val="none" w:sz="0" w:space="0" w:color="auto"/>
      </w:divBdr>
    </w:div>
    <w:div w:id="1695763025">
      <w:bodyDiv w:val="1"/>
      <w:marLeft w:val="0"/>
      <w:marRight w:val="0"/>
      <w:marTop w:val="0"/>
      <w:marBottom w:val="0"/>
      <w:divBdr>
        <w:top w:val="none" w:sz="0" w:space="0" w:color="auto"/>
        <w:left w:val="none" w:sz="0" w:space="0" w:color="auto"/>
        <w:bottom w:val="none" w:sz="0" w:space="0" w:color="auto"/>
        <w:right w:val="none" w:sz="0" w:space="0" w:color="auto"/>
      </w:divBdr>
    </w:div>
    <w:div w:id="1701129457">
      <w:bodyDiv w:val="1"/>
      <w:marLeft w:val="0"/>
      <w:marRight w:val="0"/>
      <w:marTop w:val="0"/>
      <w:marBottom w:val="0"/>
      <w:divBdr>
        <w:top w:val="none" w:sz="0" w:space="0" w:color="auto"/>
        <w:left w:val="none" w:sz="0" w:space="0" w:color="auto"/>
        <w:bottom w:val="none" w:sz="0" w:space="0" w:color="auto"/>
        <w:right w:val="none" w:sz="0" w:space="0" w:color="auto"/>
      </w:divBdr>
    </w:div>
    <w:div w:id="1748569636">
      <w:bodyDiv w:val="1"/>
      <w:marLeft w:val="0"/>
      <w:marRight w:val="0"/>
      <w:marTop w:val="0"/>
      <w:marBottom w:val="0"/>
      <w:divBdr>
        <w:top w:val="none" w:sz="0" w:space="0" w:color="auto"/>
        <w:left w:val="none" w:sz="0" w:space="0" w:color="auto"/>
        <w:bottom w:val="none" w:sz="0" w:space="0" w:color="auto"/>
        <w:right w:val="none" w:sz="0" w:space="0" w:color="auto"/>
      </w:divBdr>
    </w:div>
    <w:div w:id="1763913629">
      <w:bodyDiv w:val="1"/>
      <w:marLeft w:val="0"/>
      <w:marRight w:val="0"/>
      <w:marTop w:val="0"/>
      <w:marBottom w:val="0"/>
      <w:divBdr>
        <w:top w:val="none" w:sz="0" w:space="0" w:color="auto"/>
        <w:left w:val="none" w:sz="0" w:space="0" w:color="auto"/>
        <w:bottom w:val="none" w:sz="0" w:space="0" w:color="auto"/>
        <w:right w:val="none" w:sz="0" w:space="0" w:color="auto"/>
      </w:divBdr>
    </w:div>
    <w:div w:id="1776897329">
      <w:bodyDiv w:val="1"/>
      <w:marLeft w:val="0"/>
      <w:marRight w:val="0"/>
      <w:marTop w:val="0"/>
      <w:marBottom w:val="0"/>
      <w:divBdr>
        <w:top w:val="none" w:sz="0" w:space="0" w:color="auto"/>
        <w:left w:val="none" w:sz="0" w:space="0" w:color="auto"/>
        <w:bottom w:val="none" w:sz="0" w:space="0" w:color="auto"/>
        <w:right w:val="none" w:sz="0" w:space="0" w:color="auto"/>
      </w:divBdr>
    </w:div>
    <w:div w:id="1794670270">
      <w:bodyDiv w:val="1"/>
      <w:marLeft w:val="0"/>
      <w:marRight w:val="0"/>
      <w:marTop w:val="0"/>
      <w:marBottom w:val="0"/>
      <w:divBdr>
        <w:top w:val="none" w:sz="0" w:space="0" w:color="auto"/>
        <w:left w:val="none" w:sz="0" w:space="0" w:color="auto"/>
        <w:bottom w:val="none" w:sz="0" w:space="0" w:color="auto"/>
        <w:right w:val="none" w:sz="0" w:space="0" w:color="auto"/>
      </w:divBdr>
    </w:div>
    <w:div w:id="1865441170">
      <w:bodyDiv w:val="1"/>
      <w:marLeft w:val="0"/>
      <w:marRight w:val="0"/>
      <w:marTop w:val="0"/>
      <w:marBottom w:val="0"/>
      <w:divBdr>
        <w:top w:val="none" w:sz="0" w:space="0" w:color="auto"/>
        <w:left w:val="none" w:sz="0" w:space="0" w:color="auto"/>
        <w:bottom w:val="none" w:sz="0" w:space="0" w:color="auto"/>
        <w:right w:val="none" w:sz="0" w:space="0" w:color="auto"/>
      </w:divBdr>
    </w:div>
    <w:div w:id="1917472987">
      <w:bodyDiv w:val="1"/>
      <w:marLeft w:val="0"/>
      <w:marRight w:val="0"/>
      <w:marTop w:val="0"/>
      <w:marBottom w:val="0"/>
      <w:divBdr>
        <w:top w:val="none" w:sz="0" w:space="0" w:color="auto"/>
        <w:left w:val="none" w:sz="0" w:space="0" w:color="auto"/>
        <w:bottom w:val="none" w:sz="0" w:space="0" w:color="auto"/>
        <w:right w:val="none" w:sz="0" w:space="0" w:color="auto"/>
      </w:divBdr>
    </w:div>
    <w:div w:id="1926958693">
      <w:bodyDiv w:val="1"/>
      <w:marLeft w:val="0"/>
      <w:marRight w:val="0"/>
      <w:marTop w:val="0"/>
      <w:marBottom w:val="0"/>
      <w:divBdr>
        <w:top w:val="none" w:sz="0" w:space="0" w:color="auto"/>
        <w:left w:val="none" w:sz="0" w:space="0" w:color="auto"/>
        <w:bottom w:val="none" w:sz="0" w:space="0" w:color="auto"/>
        <w:right w:val="none" w:sz="0" w:space="0" w:color="auto"/>
      </w:divBdr>
    </w:div>
    <w:div w:id="1961061221">
      <w:bodyDiv w:val="1"/>
      <w:marLeft w:val="0"/>
      <w:marRight w:val="0"/>
      <w:marTop w:val="0"/>
      <w:marBottom w:val="0"/>
      <w:divBdr>
        <w:top w:val="none" w:sz="0" w:space="0" w:color="auto"/>
        <w:left w:val="none" w:sz="0" w:space="0" w:color="auto"/>
        <w:bottom w:val="none" w:sz="0" w:space="0" w:color="auto"/>
        <w:right w:val="none" w:sz="0" w:space="0" w:color="auto"/>
      </w:divBdr>
    </w:div>
    <w:div w:id="1975015512">
      <w:bodyDiv w:val="1"/>
      <w:marLeft w:val="0"/>
      <w:marRight w:val="0"/>
      <w:marTop w:val="0"/>
      <w:marBottom w:val="0"/>
      <w:divBdr>
        <w:top w:val="none" w:sz="0" w:space="0" w:color="auto"/>
        <w:left w:val="none" w:sz="0" w:space="0" w:color="auto"/>
        <w:bottom w:val="none" w:sz="0" w:space="0" w:color="auto"/>
        <w:right w:val="none" w:sz="0" w:space="0" w:color="auto"/>
      </w:divBdr>
    </w:div>
    <w:div w:id="2020112518">
      <w:bodyDiv w:val="1"/>
      <w:marLeft w:val="0"/>
      <w:marRight w:val="0"/>
      <w:marTop w:val="0"/>
      <w:marBottom w:val="0"/>
      <w:divBdr>
        <w:top w:val="none" w:sz="0" w:space="0" w:color="auto"/>
        <w:left w:val="none" w:sz="0" w:space="0" w:color="auto"/>
        <w:bottom w:val="none" w:sz="0" w:space="0" w:color="auto"/>
        <w:right w:val="none" w:sz="0" w:space="0" w:color="auto"/>
      </w:divBdr>
    </w:div>
    <w:div w:id="2024479244">
      <w:bodyDiv w:val="1"/>
      <w:marLeft w:val="0"/>
      <w:marRight w:val="0"/>
      <w:marTop w:val="0"/>
      <w:marBottom w:val="0"/>
      <w:divBdr>
        <w:top w:val="none" w:sz="0" w:space="0" w:color="auto"/>
        <w:left w:val="none" w:sz="0" w:space="0" w:color="auto"/>
        <w:bottom w:val="none" w:sz="0" w:space="0" w:color="auto"/>
        <w:right w:val="none" w:sz="0" w:space="0" w:color="auto"/>
      </w:divBdr>
    </w:div>
    <w:div w:id="2064980384">
      <w:bodyDiv w:val="1"/>
      <w:marLeft w:val="0"/>
      <w:marRight w:val="0"/>
      <w:marTop w:val="0"/>
      <w:marBottom w:val="0"/>
      <w:divBdr>
        <w:top w:val="none" w:sz="0" w:space="0" w:color="auto"/>
        <w:left w:val="none" w:sz="0" w:space="0" w:color="auto"/>
        <w:bottom w:val="none" w:sz="0" w:space="0" w:color="auto"/>
        <w:right w:val="none" w:sz="0" w:space="0" w:color="auto"/>
      </w:divBdr>
    </w:div>
    <w:div w:id="2087991203">
      <w:bodyDiv w:val="1"/>
      <w:marLeft w:val="0"/>
      <w:marRight w:val="0"/>
      <w:marTop w:val="0"/>
      <w:marBottom w:val="0"/>
      <w:divBdr>
        <w:top w:val="none" w:sz="0" w:space="0" w:color="auto"/>
        <w:left w:val="none" w:sz="0" w:space="0" w:color="auto"/>
        <w:bottom w:val="none" w:sz="0" w:space="0" w:color="auto"/>
        <w:right w:val="none" w:sz="0" w:space="0" w:color="auto"/>
      </w:divBdr>
    </w:div>
    <w:div w:id="2093694303">
      <w:bodyDiv w:val="1"/>
      <w:marLeft w:val="0"/>
      <w:marRight w:val="0"/>
      <w:marTop w:val="0"/>
      <w:marBottom w:val="0"/>
      <w:divBdr>
        <w:top w:val="none" w:sz="0" w:space="0" w:color="auto"/>
        <w:left w:val="none" w:sz="0" w:space="0" w:color="auto"/>
        <w:bottom w:val="none" w:sz="0" w:space="0" w:color="auto"/>
        <w:right w:val="none" w:sz="0" w:space="0" w:color="auto"/>
      </w:divBdr>
    </w:div>
    <w:div w:id="2100369549">
      <w:bodyDiv w:val="1"/>
      <w:marLeft w:val="0"/>
      <w:marRight w:val="0"/>
      <w:marTop w:val="0"/>
      <w:marBottom w:val="0"/>
      <w:divBdr>
        <w:top w:val="none" w:sz="0" w:space="0" w:color="auto"/>
        <w:left w:val="none" w:sz="0" w:space="0" w:color="auto"/>
        <w:bottom w:val="none" w:sz="0" w:space="0" w:color="auto"/>
        <w:right w:val="none" w:sz="0" w:space="0" w:color="auto"/>
      </w:divBdr>
    </w:div>
    <w:div w:id="2111580169">
      <w:bodyDiv w:val="1"/>
      <w:marLeft w:val="0"/>
      <w:marRight w:val="0"/>
      <w:marTop w:val="0"/>
      <w:marBottom w:val="0"/>
      <w:divBdr>
        <w:top w:val="none" w:sz="0" w:space="0" w:color="auto"/>
        <w:left w:val="none" w:sz="0" w:space="0" w:color="auto"/>
        <w:bottom w:val="none" w:sz="0" w:space="0" w:color="auto"/>
        <w:right w:val="none" w:sz="0" w:space="0" w:color="auto"/>
      </w:divBdr>
    </w:div>
    <w:div w:id="2123108732">
      <w:bodyDiv w:val="1"/>
      <w:marLeft w:val="0"/>
      <w:marRight w:val="0"/>
      <w:marTop w:val="0"/>
      <w:marBottom w:val="0"/>
      <w:divBdr>
        <w:top w:val="none" w:sz="0" w:space="0" w:color="auto"/>
        <w:left w:val="none" w:sz="0" w:space="0" w:color="auto"/>
        <w:bottom w:val="none" w:sz="0" w:space="0" w:color="auto"/>
        <w:right w:val="none" w:sz="0" w:space="0" w:color="auto"/>
      </w:divBdr>
    </w:div>
    <w:div w:id="212684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chart" Target="charts/chart7.xml"/><Relationship Id="rId39" Type="http://schemas.openxmlformats.org/officeDocument/2006/relationships/footer" Target="footer7.xml"/><Relationship Id="rId21" Type="http://schemas.openxmlformats.org/officeDocument/2006/relationships/chart" Target="charts/chart2.xml"/><Relationship Id="rId34" Type="http://schemas.openxmlformats.org/officeDocument/2006/relationships/footer" Target="footer5.xml"/><Relationship Id="rId42" Type="http://schemas.openxmlformats.org/officeDocument/2006/relationships/footer" Target="footer9.xml"/><Relationship Id="rId47" Type="http://schemas.openxmlformats.org/officeDocument/2006/relationships/header" Target="header11.xml"/><Relationship Id="rId50" Type="http://schemas.openxmlformats.org/officeDocument/2006/relationships/header" Target="header12.xml"/><Relationship Id="rId55" Type="http://schemas.openxmlformats.org/officeDocument/2006/relationships/footer" Target="footer14.xml"/><Relationship Id="rId63" Type="http://schemas.openxmlformats.org/officeDocument/2006/relationships/footer" Target="footer1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5.xml"/><Relationship Id="rId32" Type="http://schemas.openxmlformats.org/officeDocument/2006/relationships/header" Target="header5.xml"/><Relationship Id="rId37" Type="http://schemas.openxmlformats.org/officeDocument/2006/relationships/header" Target="header7.xml"/><Relationship Id="rId40" Type="http://schemas.openxmlformats.org/officeDocument/2006/relationships/footer" Target="footer8.xml"/><Relationship Id="rId45" Type="http://schemas.openxmlformats.org/officeDocument/2006/relationships/chart" Target="charts/chart10.xml"/><Relationship Id="rId53" Type="http://schemas.openxmlformats.org/officeDocument/2006/relationships/header" Target="header14.xml"/><Relationship Id="rId58" Type="http://schemas.openxmlformats.org/officeDocument/2006/relationships/header" Target="header1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hart" Target="charts/chart4.xml"/><Relationship Id="rId28" Type="http://schemas.openxmlformats.org/officeDocument/2006/relationships/image" Target="media/image4.png"/><Relationship Id="rId36" Type="http://schemas.openxmlformats.org/officeDocument/2006/relationships/footer" Target="footer6.xml"/><Relationship Id="rId49" Type="http://schemas.openxmlformats.org/officeDocument/2006/relationships/footer" Target="footer11.xml"/><Relationship Id="rId57" Type="http://schemas.openxmlformats.org/officeDocument/2006/relationships/footer" Target="footer15.xml"/><Relationship Id="rId61" Type="http://schemas.openxmlformats.org/officeDocument/2006/relationships/footer" Target="footer17.xml"/><Relationship Id="R715c9eaebb794727" Type="http://schemas.microsoft.com/office/2016/09/relationships/commentsIds" Target="commentsIds.xml"/><Relationship Id="R8ebd1515d3f5433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eader" Target="header4.xml"/><Relationship Id="rId44" Type="http://schemas.openxmlformats.org/officeDocument/2006/relationships/image" Target="media/image7.png"/><Relationship Id="rId52" Type="http://schemas.openxmlformats.org/officeDocument/2006/relationships/header" Target="header13.xml"/><Relationship Id="rId60" Type="http://schemas.openxmlformats.org/officeDocument/2006/relationships/footer" Target="footer16.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image" Target="media/image5.emf"/><Relationship Id="rId35" Type="http://schemas.openxmlformats.org/officeDocument/2006/relationships/header" Target="header6.xml"/><Relationship Id="rId43" Type="http://schemas.openxmlformats.org/officeDocument/2006/relationships/image" Target="media/image6.png"/><Relationship Id="rId48" Type="http://schemas.openxmlformats.org/officeDocument/2006/relationships/footer" Target="footer10.xml"/><Relationship Id="rId56" Type="http://schemas.openxmlformats.org/officeDocument/2006/relationships/header" Target="header15.xml"/><Relationship Id="rId64" Type="http://schemas.openxmlformats.org/officeDocument/2006/relationships/fontTable" Target="fontTable.xml"/><Relationship Id="Rcf2de42e1c254b71" Type="http://schemas.microsoft.com/office/2019/09/relationships/intelligence" Target="intelligence.xml"/><Relationship Id="rId8" Type="http://schemas.openxmlformats.org/officeDocument/2006/relationships/webSettings" Target="webSettings.xml"/><Relationship Id="rId51" Type="http://schemas.openxmlformats.org/officeDocument/2006/relationships/footer" Target="footer12.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hart" Target="charts/chart6.xml"/><Relationship Id="rId33" Type="http://schemas.openxmlformats.org/officeDocument/2006/relationships/footer" Target="footer4.xml"/><Relationship Id="rId38" Type="http://schemas.openxmlformats.org/officeDocument/2006/relationships/header" Target="header8.xml"/><Relationship Id="rId46" Type="http://schemas.openxmlformats.org/officeDocument/2006/relationships/header" Target="header10.xml"/><Relationship Id="rId59" Type="http://schemas.openxmlformats.org/officeDocument/2006/relationships/header" Target="header17.xml"/><Relationship Id="rId20" Type="http://schemas.openxmlformats.org/officeDocument/2006/relationships/chart" Target="charts/chart1.xml"/><Relationship Id="rId41" Type="http://schemas.openxmlformats.org/officeDocument/2006/relationships/header" Target="header9.xml"/><Relationship Id="rId54" Type="http://schemas.openxmlformats.org/officeDocument/2006/relationships/footer" Target="footer13.xml"/><Relationship Id="rId62" Type="http://schemas.openxmlformats.org/officeDocument/2006/relationships/header" Target="header18.xml"/></Relationships>
</file>

<file path=word/_rels/footnotes.xml.rels><?xml version="1.0" encoding="UTF-8" standalone="yes"?>
<Relationships xmlns="http://schemas.openxmlformats.org/package/2006/relationships"><Relationship Id="rId13" Type="http://schemas.openxmlformats.org/officeDocument/2006/relationships/hyperlink" Target="https://foresteurope.org/wp-content/uploads/2016/08/SoEF_2020.pdf" TargetMode="External"/><Relationship Id="rId18" Type="http://schemas.openxmlformats.org/officeDocument/2006/relationships/hyperlink" Target="https://zenodo.org/record/4250532" TargetMode="External"/><Relationship Id="rId26" Type="http://schemas.openxmlformats.org/officeDocument/2006/relationships/hyperlink" Target="https://stats.oecd.org/Index.aspx?datasetcode=HIGH_AGLINK_2019" TargetMode="External"/><Relationship Id="rId39" Type="http://schemas.openxmlformats.org/officeDocument/2006/relationships/hyperlink" Target="https://palmoilscorecard.panda.org/check-the-scores/all" TargetMode="External"/><Relationship Id="rId21" Type="http://schemas.openxmlformats.org/officeDocument/2006/relationships/hyperlink" Target="https://pubmed.ncbi.nlm.nih.gov/23772911/" TargetMode="External"/><Relationship Id="rId34" Type="http://schemas.openxmlformats.org/officeDocument/2006/relationships/hyperlink" Target="https://op.europa.eu/en/publication-detail/-/publication/9781f65f-8448-11ea-bf12-01aa75ed71a1" TargetMode="External"/><Relationship Id="rId42" Type="http://schemas.openxmlformats.org/officeDocument/2006/relationships/hyperlink" Target="https://www.iisd.org/system/files/publications/ssi-global-market-report-palm-oil.pdf" TargetMode="External"/><Relationship Id="rId47" Type="http://schemas.openxmlformats.org/officeDocument/2006/relationships/hyperlink" Target="https://url6.mailanyone.net/v1/?m=1ltrJe-0001sS-5f&amp;i=57e1b682&amp;c=UQs8ZtUTZNYHoN8RgNINQt9Vr2TRFwh78sy7KnMpOm2mU0kMpv9t0anKtu1tC2YwJqBSMaASOhNyFyot60amqmvCF1rUL_zwy4gHFYwAoqmhd73Bk23R9DeZaTBVFbqoQ1fHzDwQ_SkUW8J9wM8S6uNG4nGLwnuGmfqAyZ-2tGBzufbVpREav9xgC1wfA9mOKm7RCk1J233oh8Rk38LoE8ub5Dm3lGdfs14i0N4UuS37gY1czsPfAp7X3WWeTyUNl6QUaDV3kOS0JOo2ztzuwJnZ16SVinjtKhBS_B52iFyWG0fjftPFF1bsFfgNT_L9pCbbmIjTN2Tko3Cg5wfO3rzAd81Gwr9KkDMBYueR8BhEjHGKzd4dP-DoD88YqZ6uUlgpudSkXkR4R3e6axmRb7Dld9KIkFgGcqnShsjqqpc" TargetMode="External"/><Relationship Id="rId50" Type="http://schemas.openxmlformats.org/officeDocument/2006/relationships/hyperlink" Target="https://url6.mailanyone.net/v1/?m=1ltrJe-0001sS-5f&amp;i=57e1b682&amp;c=UQs8ZtUTZNYHoN8RgNINQt9Vr2TRFwh78sy7KnMpOm2mU0kMpv9t0anKtu1tC2YwJqBSMaASOhNyFyot60amqmvCF1rUL_zwy4gHFYwAoqmhd73Bk23R9DeZaTBVFbqoQ1fHzDwQ_SkUW8J9wM8S6uNG4nGLwnuGmfqAyZ-2tGBzufbVpREav9xgC1wfA9mOKm7RCk1J233oh8Rk38LoE8ub5Dm3lGdfs14i0N4UuS37gY1czsPfAp7X3WWeTyUNl6QUaDV3kOS0JOo2ztzuwJnZ16SVinjtKhBS_B52iFyWG0fjftPFF1bsFfgNT_L9pCbbmIjTN2Tko3Cg5wfO3rzAd81Gwr9KkDMBYueR8BhEjHGKzd4dP-DoD88YqZ6uUlgpudSkXkR4R3e6axmRb7Dld9KIkFgGcqnShsjqqpc" TargetMode="External"/><Relationship Id="rId55" Type="http://schemas.openxmlformats.org/officeDocument/2006/relationships/hyperlink" Target="https://www.sciencedirect.com/science/article/pii/S0959378017310117" TargetMode="External"/><Relationship Id="rId7" Type="http://schemas.openxmlformats.org/officeDocument/2006/relationships/hyperlink" Target="http://www.fao.org/3/ca9825en/CA9825EN.pdf" TargetMode="External"/><Relationship Id="rId12" Type="http://schemas.openxmlformats.org/officeDocument/2006/relationships/hyperlink" Target="https://advances.sciencemag.org/content/7/10/eabe1603" TargetMode="External"/><Relationship Id="rId17" Type="http://schemas.openxmlformats.org/officeDocument/2006/relationships/hyperlink" Target="http://www.fao.org/3/ca8642en/CA8642EN.pdf" TargetMode="External"/><Relationship Id="rId25" Type="http://schemas.openxmlformats.org/officeDocument/2006/relationships/hyperlink" Target="https://ec.europa.eu/info/sites/info/files/food-farming-fisheries/farming/documents/agricultural-outlook-2020-report_en.pdf" TargetMode="External"/><Relationship Id="rId33" Type="http://schemas.openxmlformats.org/officeDocument/2006/relationships/hyperlink" Target="https://e360.yale.edu/features/greenwashed-timber-how-sustainable-forest-certification-has-failed" TargetMode="External"/><Relationship Id="rId38" Type="http://schemas.openxmlformats.org/officeDocument/2006/relationships/hyperlink" Target="https://trase.earth/explore" TargetMode="External"/><Relationship Id="rId46" Type="http://schemas.openxmlformats.org/officeDocument/2006/relationships/hyperlink" Target="http://seap.ipni.net/ipniweb/region/seap.nsf/e0f085ed5f091b1b852579000057902e/a08b2cb6a7910fa648257da900587c6f/$FILE/Europe%20Economics%20-%20Economic%20Impact%20of%20Palm%20Oil%20Imports.pdf" TargetMode="External"/><Relationship Id="rId59" Type="http://schemas.openxmlformats.org/officeDocument/2006/relationships/hyperlink" Target="https://www.forest-trends.org/fptf-ilat-home/" TargetMode="External"/><Relationship Id="rId2" Type="http://schemas.openxmlformats.org/officeDocument/2006/relationships/hyperlink" Target="https://www.consilium.europa.eu/media/41860/st15151-en19.pdf" TargetMode="External"/><Relationship Id="rId16" Type="http://schemas.openxmlformats.org/officeDocument/2006/relationships/hyperlink" Target="http://www.fao.org/3/ca8642en/CA8642EN.pdf" TargetMode="External"/><Relationship Id="rId20" Type="http://schemas.openxmlformats.org/officeDocument/2006/relationships/hyperlink" Target="https://doi.org/10.4060/ca8642en" TargetMode="External"/><Relationship Id="rId29" Type="http://schemas.openxmlformats.org/officeDocument/2006/relationships/hyperlink" Target="https://www.globalforestwatch.org/dashboards/global/" TargetMode="External"/><Relationship Id="rId41" Type="http://schemas.openxmlformats.org/officeDocument/2006/relationships/hyperlink" Target="https://www.cbi.eu/market-information/coffee/trade-statistics" TargetMode="External"/><Relationship Id="rId54" Type="http://schemas.openxmlformats.org/officeDocument/2006/relationships/hyperlink" Target="https://agrifoodecon.springeropen.com/articles/10.1186/s40100-017-0083-z" TargetMode="External"/><Relationship Id="rId1" Type="http://schemas.openxmlformats.org/officeDocument/2006/relationships/hyperlink" Target="https://www.nature.com/articles/nature23285" TargetMode="External"/><Relationship Id="rId6" Type="http://schemas.openxmlformats.org/officeDocument/2006/relationships/hyperlink" Target="http://www.fao.org/3/ca8642en/CA8642EN.pdf" TargetMode="External"/><Relationship Id="rId11" Type="http://schemas.openxmlformats.org/officeDocument/2006/relationships/hyperlink" Target="http://www.fao.org/3/ca9825en/CA9825EN.pdf" TargetMode="External"/><Relationship Id="rId24" Type="http://schemas.openxmlformats.org/officeDocument/2006/relationships/hyperlink" Target="https://www.conservation.org/docs/default-source/publication-pdfs/ci-coffee-report.pdf" TargetMode="External"/><Relationship Id="rId32" Type="http://schemas.openxmlformats.org/officeDocument/2006/relationships/hyperlink" Target="https://fsc-watch.com/2018/10/18/new-documentary-slams-fsc-the-eco-label-could-not-slow-down-the-forest-industry/" TargetMode="External"/><Relationship Id="rId37" Type="http://schemas.openxmlformats.org/officeDocument/2006/relationships/hyperlink" Target="https://www.palmoiltransparency.org/wp-content/uploads/2020/01/2019-POTC-Scorecard-Report_public.pdf" TargetMode="External"/><Relationship Id="rId40" Type="http://schemas.openxmlformats.org/officeDocument/2006/relationships/hyperlink" Target="https://comtrade.un.org/data" TargetMode="External"/><Relationship Id="rId45" Type="http://schemas.openxmlformats.org/officeDocument/2006/relationships/hyperlink" Target="https://ec.europa.eu/eurostat/web/international-trade-in-goods/data/focus-on-comext" TargetMode="External"/><Relationship Id="rId53" Type="http://schemas.openxmlformats.org/officeDocument/2006/relationships/hyperlink" Target="https://www.reuters.com/article/us-mars-palmoil-forests-idUSKBN26T1U3" TargetMode="External"/><Relationship Id="rId58" Type="http://schemas.openxmlformats.org/officeDocument/2006/relationships/hyperlink" Target="https://ec.europa.eu/environment/forests/eutr_report.htm" TargetMode="External"/><Relationship Id="rId5" Type="http://schemas.openxmlformats.org/officeDocument/2006/relationships/hyperlink" Target="http://www.fao.org/3/ca9825en/CA9825EN.pdf" TargetMode="External"/><Relationship Id="rId15" Type="http://schemas.openxmlformats.org/officeDocument/2006/relationships/hyperlink" Target="http://www.fao.org/3/ca8642en/CA8642EN.pdf" TargetMode="External"/><Relationship Id="rId23" Type="http://schemas.openxmlformats.org/officeDocument/2006/relationships/hyperlink" Target="https://www.cbi.eu/market-information/coffee/trade-statistics" TargetMode="External"/><Relationship Id="rId28" Type="http://schemas.openxmlformats.org/officeDocument/2006/relationships/hyperlink" Target="https://zenodo.org/record/4250532" TargetMode="External"/><Relationship Id="rId36" Type="http://schemas.openxmlformats.org/officeDocument/2006/relationships/hyperlink" Target="https://fefac.eu/wp-content/uploads/2021/02/FEFAC-Soy-Sourcing-Guidelines-2021-1.pdf" TargetMode="External"/><Relationship Id="rId49" Type="http://schemas.openxmlformats.org/officeDocument/2006/relationships/hyperlink" Target="https://url6.mailanyone.net/v1/?m=1ltrJe-0001sS-5f&amp;i=57e1b682&amp;c=UQs8ZtUTZNYHoN8RgNINQt9Vr2TRFwh78sy7KnMpOm2mU0kMpv9t0anKtu1tC2YwJqBSMaASOhNyFyot60amqmvCF1rUL_zwy4gHFYwAoqmhd73Bk23R9DeZaTBVFbqoQ1fHzDwQ_SkUW8J9wM8S6uNG4nGLwnuGmfqAyZ-2tGBzufbVpREav9xgC1wfA9mOKm7RCk1J233oh8Rk38LoE8ub5Dm3lGdfs14i0N4UuS37gY1czsPfAp7X3WWeTyUNl6QUaDV3kOS0JOo2ztzuwJnZ16SVinjtKhBS_B52iFyWG0fjftPFF1bsFfgNT_L9pCbbmIjTN2Tko3Cg5wfO3rzAd81Gwr9KkDMBYueR8BhEjHGKzd4dP-DoD88YqZ6uUlgpudSkXkR4R3e6axmRb7Dld9KIkFgGcqnShsjqqpc" TargetMode="External"/><Relationship Id="rId57" Type="http://schemas.openxmlformats.org/officeDocument/2006/relationships/hyperlink" Target="https://eur-lex.europa.eu/legal-content/EN/TXT/HTML/?uri=CELEX:52019DC0352&amp;from=EN" TargetMode="External"/><Relationship Id="rId10" Type="http://schemas.openxmlformats.org/officeDocument/2006/relationships/hyperlink" Target="http://www.fao.org/sustainable-forest-management/toolbox/modules/reducing-deforestation/in-more-depth/en/?type=111" TargetMode="External"/><Relationship Id="rId19" Type="http://schemas.openxmlformats.org/officeDocument/2006/relationships/hyperlink" Target="http://www.fao.org/3/I8661EN/i8661en.pdf" TargetMode="External"/><Relationship Id="rId31" Type="http://schemas.openxmlformats.org/officeDocument/2006/relationships/hyperlink" Target="https://fsc-watch.com/2020/07/02/ikeas-ukrainian-illegal-timber-problem-that-fsc-didnt-notice/" TargetMode="External"/><Relationship Id="rId44" Type="http://schemas.openxmlformats.org/officeDocument/2006/relationships/hyperlink" Target="https://www.cbi.eu/market-information/coffee/trade-statistics" TargetMode="External"/><Relationship Id="rId52" Type="http://schemas.openxmlformats.org/officeDocument/2006/relationships/hyperlink" Target="https://www.nestle.com/ask-nestle/environment/answers/nestle-deforestation" TargetMode="External"/><Relationship Id="rId4" Type="http://schemas.openxmlformats.org/officeDocument/2006/relationships/hyperlink" Target="https://ad-partnership.org/" TargetMode="External"/><Relationship Id="rId9" Type="http://schemas.openxmlformats.org/officeDocument/2006/relationships/hyperlink" Target="http://www.fao.org/3/ca9825en/CA9825EN.pdf" TargetMode="External"/><Relationship Id="rId14" Type="http://schemas.openxmlformats.org/officeDocument/2006/relationships/hyperlink" Target="https://www.ipbes.net/sites/default/files/2021-06/20210609_workshop_report_embargo_3pm_CEST_10_june_0.pdf" TargetMode="External"/><Relationship Id="rId22" Type="http://schemas.openxmlformats.org/officeDocument/2006/relationships/hyperlink" Target="https://www.sciencedirect.com/science/article/pii/S0959378016300814" TargetMode="External"/><Relationship Id="rId27" Type="http://schemas.openxmlformats.org/officeDocument/2006/relationships/hyperlink" Target="https://www.sciencedirect.com/science/article/pii/S0040162520313044" TargetMode="External"/><Relationship Id="rId30" Type="http://schemas.openxmlformats.org/officeDocument/2006/relationships/hyperlink" Target="http://www.fao.org/faostat/en/" TargetMode="External"/><Relationship Id="rId35" Type="http://schemas.openxmlformats.org/officeDocument/2006/relationships/hyperlink" Target="https://ec.europa.eu/food/sites/food/files/safety/docs/ia_trade_import-cond-meat_en.pdf" TargetMode="External"/><Relationship Id="rId43" Type="http://schemas.openxmlformats.org/officeDocument/2006/relationships/hyperlink" Target="https://www.cbi.eu/market-information/cocoa-cocoa-products/netherlands/market-potential" TargetMode="External"/><Relationship Id="rId48" Type="http://schemas.openxmlformats.org/officeDocument/2006/relationships/hyperlink" Target="https://url6.mailanyone.net/v1/?m=1ltrJe-0001sS-5f&amp;i=57e1b682&amp;c=wUR2911lAehsCOwMzEvnZ0Dagh1FnRNu9gtFy2bJhoT2zj7I2wVAB4j3nwkEAbCe9dVja3-hkvOPzrJbS2Fg86t8FCtKW8UY5cthRv6lqFdYJCbLL7exbtcqF-TcUP-z6jTf0mkRNNf9A0cpK2uK954h5dWZ5Evkvawj-8-wCwFrQOOJkr__OxK9rYCa18oHucbOgCOG4p7vW8QYWSf8HpFNBo2dAcXFYzxSum2wMMSt4pPGldwFt5QZDetdh8w10-t2OG_iyqg_WP9aM3T5A3FCZpMCArKv2c3sU6Rs22jStKb3SuO3nczcJIkizU7jSds7tR1TJL3XQ2iyHKPXT8z_LYrkpA3xDMKS51aIVZSmZHM6Olx0Zu2ZtbkyXAbhZT2Vhuh56UIT6L2hzwozYTi1PZNXHHcm8fACc3jjWgk" TargetMode="External"/><Relationship Id="rId56" Type="http://schemas.openxmlformats.org/officeDocument/2006/relationships/hyperlink" Target="https://ec.europa.eu/eurostat/web/international-trade-in-goods/data/focus-on-comext" TargetMode="External"/><Relationship Id="rId8" Type="http://schemas.openxmlformats.org/officeDocument/2006/relationships/hyperlink" Target="http://www.fao.org/3/ca9825en/CA9825EN.pdf" TargetMode="External"/><Relationship Id="rId51" Type="http://schemas.openxmlformats.org/officeDocument/2006/relationships/hyperlink" Target="https://www.unilever.com/planet-and-society/protect-and-regenerate-nature/zero-deforestation/" TargetMode="External"/><Relationship Id="rId3" Type="http://schemas.openxmlformats.org/officeDocument/2006/relationships/hyperlink" Target="https://www.europarl.europa.eu/doceo/document/TA-9-2020-0285_EN.htm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NET1.cec.eu.int\homes\116\rodrijh\Desktop\Third%20country%20impacts\Charts.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NET1.cec.eu.int\homes\116\rodrijh\Desktop\Costs%20DD\Risk%20import%20commodities.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NET1.cec.eu.int\homes\116\rodrijh\Desktop\Third%20country%20impacts\Chart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NET1.cec.eu.int\homes\116\rodrijh\Desktop\Third%20country%20impacts\Chart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NET1.cec.eu.int\homes\116\rodrijh\Desktop\Third%20country%20impacts\Chart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NET1.cec.eu.int\homes\116\rodrijh\Desktop\Third%20country%20impacts\Charts.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NET1.cec.eu.int\homes\116\rodrijh\Desktop\Third%20country%20impacts\Charts.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NET1.cec.eu.int\homes\116\rodrijh\Desktop\Third%20country%20impacts\Charts.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NET1.cec.eu.int\homes\116\rodrijh\Desktop\Third%20country%20impacts\FAOSTAT2.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NET1.cec.eu.int\homes\116\rodrijh\Desktop\Third%20country%20impacts\Pendrill%20et%20al%202020%20-%20Deforestation%20risk%20embodied%20in%20production%20and%20consumption%20-%20v1.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GB" sz="1100"/>
              <a:t>All</a:t>
            </a:r>
            <a:r>
              <a:rPr lang="en-GB" sz="1100" baseline="0"/>
              <a:t> six commodities</a:t>
            </a:r>
            <a:endParaRPr lang="en-GB" sz="1100"/>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Charts2!$F$17</c:f>
              <c:strCache>
                <c:ptCount val="1"/>
                <c:pt idx="0">
                  <c:v>000 Ha/y</c:v>
                </c:pt>
              </c:strCache>
            </c:strRef>
          </c:tx>
          <c:spPr>
            <a:solidFill>
              <a:schemeClr val="bg1">
                <a:lumMod val="85000"/>
              </a:schemeClr>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F41D-4AF0-9E21-F417E6164F8F}"/>
              </c:ext>
            </c:extLst>
          </c:dPt>
          <c:cat>
            <c:strRef>
              <c:f>Charts2!$E$18:$E$24</c:f>
              <c:strCache>
                <c:ptCount val="7"/>
                <c:pt idx="0">
                  <c:v>EU27</c:v>
                </c:pt>
                <c:pt idx="1">
                  <c:v>China</c:v>
                </c:pt>
                <c:pt idx="2">
                  <c:v>India</c:v>
                </c:pt>
                <c:pt idx="3">
                  <c:v>Russia</c:v>
                </c:pt>
                <c:pt idx="4">
                  <c:v>USA</c:v>
                </c:pt>
                <c:pt idx="5">
                  <c:v>Japan</c:v>
                </c:pt>
                <c:pt idx="6">
                  <c:v>RoW</c:v>
                </c:pt>
              </c:strCache>
            </c:strRef>
          </c:cat>
          <c:val>
            <c:numRef>
              <c:f>Charts2!$F$18:$F$24</c:f>
              <c:numCache>
                <c:formatCode>0</c:formatCode>
                <c:ptCount val="7"/>
                <c:pt idx="0">
                  <c:v>189.23550793187357</c:v>
                </c:pt>
                <c:pt idx="1">
                  <c:v>186.98061335686916</c:v>
                </c:pt>
                <c:pt idx="2">
                  <c:v>81.725708230802994</c:v>
                </c:pt>
                <c:pt idx="3">
                  <c:v>55.773315618778767</c:v>
                </c:pt>
                <c:pt idx="4">
                  <c:v>50.755627295094165</c:v>
                </c:pt>
                <c:pt idx="5">
                  <c:v>38.943951668044804</c:v>
                </c:pt>
                <c:pt idx="6">
                  <c:v>399.41502037525072</c:v>
                </c:pt>
              </c:numCache>
            </c:numRef>
          </c:val>
          <c:extLst>
            <c:ext xmlns:c16="http://schemas.microsoft.com/office/drawing/2014/chart" uri="{C3380CC4-5D6E-409C-BE32-E72D297353CC}">
              <c16:uniqueId val="{00000002-F41D-4AF0-9E21-F417E6164F8F}"/>
            </c:ext>
          </c:extLst>
        </c:ser>
        <c:dLbls>
          <c:showLegendKey val="0"/>
          <c:showVal val="0"/>
          <c:showCatName val="0"/>
          <c:showSerName val="0"/>
          <c:showPercent val="0"/>
          <c:showBubbleSize val="0"/>
        </c:dLbls>
        <c:gapWidth val="150"/>
        <c:axId val="1097822232"/>
        <c:axId val="1097826496"/>
      </c:barChart>
      <c:lineChart>
        <c:grouping val="standard"/>
        <c:varyColors val="0"/>
        <c:ser>
          <c:idx val="1"/>
          <c:order val="1"/>
          <c:tx>
            <c:strRef>
              <c:f>Charts2!$G$17</c:f>
              <c:strCache>
                <c:ptCount val="1"/>
                <c:pt idx="0">
                  <c:v>%</c:v>
                </c:pt>
              </c:strCache>
            </c:strRef>
          </c:tx>
          <c:spPr>
            <a:ln w="25400"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Charts2!$E$18:$E$24</c:f>
              <c:strCache>
                <c:ptCount val="7"/>
                <c:pt idx="0">
                  <c:v>EU27</c:v>
                </c:pt>
                <c:pt idx="1">
                  <c:v>China</c:v>
                </c:pt>
                <c:pt idx="2">
                  <c:v>India</c:v>
                </c:pt>
                <c:pt idx="3">
                  <c:v>Russia</c:v>
                </c:pt>
                <c:pt idx="4">
                  <c:v>USA</c:v>
                </c:pt>
                <c:pt idx="5">
                  <c:v>Japan</c:v>
                </c:pt>
                <c:pt idx="6">
                  <c:v>RoW</c:v>
                </c:pt>
              </c:strCache>
            </c:strRef>
          </c:cat>
          <c:val>
            <c:numRef>
              <c:f>Charts2!$G$18:$G$24</c:f>
              <c:numCache>
                <c:formatCode>0%</c:formatCode>
                <c:ptCount val="7"/>
                <c:pt idx="0">
                  <c:v>0.18870153081729582</c:v>
                </c:pt>
                <c:pt idx="1">
                  <c:v>0.18645299901274601</c:v>
                </c:pt>
                <c:pt idx="2">
                  <c:v>8.1495097927563195E-2</c:v>
                </c:pt>
                <c:pt idx="3">
                  <c:v>5.5615936729002585E-2</c:v>
                </c:pt>
                <c:pt idx="4">
                  <c:v>5.0612407115605572E-2</c:v>
                </c:pt>
                <c:pt idx="5">
                  <c:v>3.8834061197861779E-2</c:v>
                </c:pt>
                <c:pt idx="6">
                  <c:v>0.39828796719992499</c:v>
                </c:pt>
              </c:numCache>
            </c:numRef>
          </c:val>
          <c:smooth val="0"/>
          <c:extLst>
            <c:ext xmlns:c16="http://schemas.microsoft.com/office/drawing/2014/chart" uri="{C3380CC4-5D6E-409C-BE32-E72D297353CC}">
              <c16:uniqueId val="{00000003-F41D-4AF0-9E21-F417E6164F8F}"/>
            </c:ext>
          </c:extLst>
        </c:ser>
        <c:dLbls>
          <c:showLegendKey val="0"/>
          <c:showVal val="0"/>
          <c:showCatName val="0"/>
          <c:showSerName val="0"/>
          <c:showPercent val="0"/>
          <c:showBubbleSize val="0"/>
        </c:dLbls>
        <c:marker val="1"/>
        <c:smooth val="0"/>
        <c:axId val="917511280"/>
        <c:axId val="917505704"/>
      </c:lineChart>
      <c:catAx>
        <c:axId val="1097822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097826496"/>
        <c:crosses val="autoZero"/>
        <c:auto val="1"/>
        <c:lblAlgn val="ctr"/>
        <c:lblOffset val="100"/>
        <c:noMultiLvlLbl val="0"/>
      </c:catAx>
      <c:valAx>
        <c:axId val="1097826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GB" sz="800"/>
                  <a:t>000</a:t>
                </a:r>
                <a:r>
                  <a:rPr lang="en-GB" sz="800" baseline="0"/>
                  <a:t> Ha/y</a:t>
                </a:r>
                <a:endParaRPr lang="en-GB" sz="800"/>
              </a:p>
            </c:rich>
          </c:tx>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097822232"/>
        <c:crosses val="autoZero"/>
        <c:crossBetween val="between"/>
      </c:valAx>
      <c:valAx>
        <c:axId val="917505704"/>
        <c:scaling>
          <c:orientation val="minMax"/>
        </c:scaling>
        <c:delete val="0"/>
        <c:axPos val="r"/>
        <c:numFmt formatCode="0%" sourceLinked="1"/>
        <c:majorTickMark val="out"/>
        <c:minorTickMark val="none"/>
        <c:tickLblPos val="none"/>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917511280"/>
        <c:crosses val="max"/>
        <c:crossBetween val="between"/>
      </c:valAx>
      <c:catAx>
        <c:axId val="917511280"/>
        <c:scaling>
          <c:orientation val="minMax"/>
        </c:scaling>
        <c:delete val="1"/>
        <c:axPos val="b"/>
        <c:numFmt formatCode="General" sourceLinked="1"/>
        <c:majorTickMark val="out"/>
        <c:minorTickMark val="none"/>
        <c:tickLblPos val="nextTo"/>
        <c:crossAx val="917505704"/>
        <c:crosses val="autoZero"/>
        <c:auto val="1"/>
        <c:lblAlgn val="ctr"/>
        <c:lblOffset val="100"/>
        <c:noMultiLvlLbl val="0"/>
      </c:catAx>
      <c:spPr>
        <a:noFill/>
        <a:ln>
          <a:noFill/>
        </a:ln>
        <a:effectLst/>
      </c:spPr>
    </c:plotArea>
    <c:plotVisOnly val="1"/>
    <c:dispBlanksAs val="gap"/>
    <c:showDLblsOverMax val="0"/>
  </c:chart>
  <c:spPr>
    <a:solidFill>
      <a:schemeClr val="bg1"/>
    </a:solidFill>
    <a:ln w="3175" cap="flat" cmpd="sng" algn="ctr">
      <a:solidFill>
        <a:schemeClr val="bg1">
          <a:lumMod val="7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Categorisation</a:t>
            </a:r>
            <a:r>
              <a:rPr lang="en-GB" baseline="0"/>
              <a:t> of risk of commodity imports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Sheet8!$A$13</c:f>
              <c:strCache>
                <c:ptCount val="1"/>
                <c:pt idx="0">
                  <c:v>Higher</c:v>
                </c:pt>
              </c:strCache>
            </c:strRef>
          </c:tx>
          <c:spPr>
            <a:solidFill>
              <a:schemeClr val="accent1"/>
            </a:solidFill>
            <a:ln>
              <a:noFill/>
            </a:ln>
            <a:effectLst/>
          </c:spPr>
          <c:invertIfNegative val="0"/>
          <c:cat>
            <c:strRef>
              <c:f>Sheet8!$B$12:$H$12</c:f>
              <c:strCache>
                <c:ptCount val="7"/>
                <c:pt idx="0">
                  <c:v>Wood</c:v>
                </c:pt>
                <c:pt idx="1">
                  <c:v>Bovine</c:v>
                </c:pt>
                <c:pt idx="2">
                  <c:v>Cocoa</c:v>
                </c:pt>
                <c:pt idx="3">
                  <c:v>Soy</c:v>
                </c:pt>
                <c:pt idx="4">
                  <c:v>Coffee</c:v>
                </c:pt>
                <c:pt idx="5">
                  <c:v>Palm Oil</c:v>
                </c:pt>
                <c:pt idx="6">
                  <c:v>All commodities</c:v>
                </c:pt>
              </c:strCache>
            </c:strRef>
          </c:cat>
          <c:val>
            <c:numRef>
              <c:f>Sheet8!$B$13:$H$13</c:f>
              <c:numCache>
                <c:formatCode>0.0</c:formatCode>
                <c:ptCount val="7"/>
                <c:pt idx="0">
                  <c:v>52.175280525466199</c:v>
                </c:pt>
                <c:pt idx="1">
                  <c:v>57.993276439219585</c:v>
                </c:pt>
                <c:pt idx="2">
                  <c:v>99.730557943117759</c:v>
                </c:pt>
                <c:pt idx="3">
                  <c:v>47.846391310611665</c:v>
                </c:pt>
                <c:pt idx="4">
                  <c:v>95.719654496854318</c:v>
                </c:pt>
                <c:pt idx="5">
                  <c:v>73.537140232667781</c:v>
                </c:pt>
                <c:pt idx="6">
                  <c:v>56.838589502667467</c:v>
                </c:pt>
              </c:numCache>
            </c:numRef>
          </c:val>
          <c:extLst>
            <c:ext xmlns:c16="http://schemas.microsoft.com/office/drawing/2014/chart" uri="{C3380CC4-5D6E-409C-BE32-E72D297353CC}">
              <c16:uniqueId val="{00000000-B0C5-4B8F-BA24-5E4E197B9BCE}"/>
            </c:ext>
          </c:extLst>
        </c:ser>
        <c:ser>
          <c:idx val="1"/>
          <c:order val="1"/>
          <c:tx>
            <c:strRef>
              <c:f>Sheet8!$A$14</c:f>
              <c:strCache>
                <c:ptCount val="1"/>
                <c:pt idx="0">
                  <c:v>Medium</c:v>
                </c:pt>
              </c:strCache>
            </c:strRef>
          </c:tx>
          <c:spPr>
            <a:solidFill>
              <a:schemeClr val="accent2"/>
            </a:solidFill>
            <a:ln>
              <a:noFill/>
            </a:ln>
            <a:effectLst/>
          </c:spPr>
          <c:invertIfNegative val="0"/>
          <c:cat>
            <c:strRef>
              <c:f>Sheet8!$B$12:$H$12</c:f>
              <c:strCache>
                <c:ptCount val="7"/>
                <c:pt idx="0">
                  <c:v>Wood</c:v>
                </c:pt>
                <c:pt idx="1">
                  <c:v>Bovine</c:v>
                </c:pt>
                <c:pt idx="2">
                  <c:v>Cocoa</c:v>
                </c:pt>
                <c:pt idx="3">
                  <c:v>Soy</c:v>
                </c:pt>
                <c:pt idx="4">
                  <c:v>Coffee</c:v>
                </c:pt>
                <c:pt idx="5">
                  <c:v>Palm Oil</c:v>
                </c:pt>
                <c:pt idx="6">
                  <c:v>All commodities</c:v>
                </c:pt>
              </c:strCache>
            </c:strRef>
          </c:cat>
          <c:val>
            <c:numRef>
              <c:f>Sheet8!$B$14:$H$14</c:f>
              <c:numCache>
                <c:formatCode>0.0</c:formatCode>
                <c:ptCount val="7"/>
                <c:pt idx="0">
                  <c:v>22.487058503247923</c:v>
                </c:pt>
                <c:pt idx="1">
                  <c:v>2.0451654257441749</c:v>
                </c:pt>
                <c:pt idx="2">
                  <c:v>0.16575376165118755</c:v>
                </c:pt>
                <c:pt idx="3">
                  <c:v>1.3230428452796767</c:v>
                </c:pt>
                <c:pt idx="4">
                  <c:v>2.0809024551462985</c:v>
                </c:pt>
                <c:pt idx="5">
                  <c:v>26.408047322732319</c:v>
                </c:pt>
                <c:pt idx="6">
                  <c:v>16.489645478749779</c:v>
                </c:pt>
              </c:numCache>
            </c:numRef>
          </c:val>
          <c:extLst>
            <c:ext xmlns:c16="http://schemas.microsoft.com/office/drawing/2014/chart" uri="{C3380CC4-5D6E-409C-BE32-E72D297353CC}">
              <c16:uniqueId val="{00000001-B0C5-4B8F-BA24-5E4E197B9BCE}"/>
            </c:ext>
          </c:extLst>
        </c:ser>
        <c:ser>
          <c:idx val="2"/>
          <c:order val="2"/>
          <c:tx>
            <c:strRef>
              <c:f>Sheet8!$A$15</c:f>
              <c:strCache>
                <c:ptCount val="1"/>
                <c:pt idx="0">
                  <c:v>Lower</c:v>
                </c:pt>
              </c:strCache>
            </c:strRef>
          </c:tx>
          <c:spPr>
            <a:solidFill>
              <a:schemeClr val="accent3"/>
            </a:solidFill>
            <a:ln>
              <a:noFill/>
            </a:ln>
            <a:effectLst/>
          </c:spPr>
          <c:invertIfNegative val="0"/>
          <c:cat>
            <c:strRef>
              <c:f>Sheet8!$B$12:$H$12</c:f>
              <c:strCache>
                <c:ptCount val="7"/>
                <c:pt idx="0">
                  <c:v>Wood</c:v>
                </c:pt>
                <c:pt idx="1">
                  <c:v>Bovine</c:v>
                </c:pt>
                <c:pt idx="2">
                  <c:v>Cocoa</c:v>
                </c:pt>
                <c:pt idx="3">
                  <c:v>Soy</c:v>
                </c:pt>
                <c:pt idx="4">
                  <c:v>Coffee</c:v>
                </c:pt>
                <c:pt idx="5">
                  <c:v>Palm Oil</c:v>
                </c:pt>
                <c:pt idx="6">
                  <c:v>All commodities</c:v>
                </c:pt>
              </c:strCache>
            </c:strRef>
          </c:cat>
          <c:val>
            <c:numRef>
              <c:f>Sheet8!$B$15:$H$15</c:f>
              <c:numCache>
                <c:formatCode>0.0</c:formatCode>
                <c:ptCount val="7"/>
                <c:pt idx="0">
                  <c:v>25.337660971285896</c:v>
                </c:pt>
                <c:pt idx="1">
                  <c:v>39.961558135036242</c:v>
                </c:pt>
                <c:pt idx="2">
                  <c:v>0.10368829523105387</c:v>
                </c:pt>
                <c:pt idx="3">
                  <c:v>50.830565844108655</c:v>
                </c:pt>
                <c:pt idx="4">
                  <c:v>2.1994430479993725</c:v>
                </c:pt>
                <c:pt idx="5">
                  <c:v>5.481244459989492E-2</c:v>
                </c:pt>
                <c:pt idx="6">
                  <c:v>26.671765018582764</c:v>
                </c:pt>
              </c:numCache>
            </c:numRef>
          </c:val>
          <c:extLst>
            <c:ext xmlns:c16="http://schemas.microsoft.com/office/drawing/2014/chart" uri="{C3380CC4-5D6E-409C-BE32-E72D297353CC}">
              <c16:uniqueId val="{00000002-B0C5-4B8F-BA24-5E4E197B9BCE}"/>
            </c:ext>
          </c:extLst>
        </c:ser>
        <c:dLbls>
          <c:showLegendKey val="0"/>
          <c:showVal val="0"/>
          <c:showCatName val="0"/>
          <c:showSerName val="0"/>
          <c:showPercent val="0"/>
          <c:showBubbleSize val="0"/>
        </c:dLbls>
        <c:gapWidth val="219"/>
        <c:overlap val="-27"/>
        <c:axId val="432715616"/>
        <c:axId val="432716272"/>
      </c:barChart>
      <c:catAx>
        <c:axId val="432715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2716272"/>
        <c:crosses val="autoZero"/>
        <c:auto val="1"/>
        <c:lblAlgn val="ctr"/>
        <c:lblOffset val="100"/>
        <c:noMultiLvlLbl val="0"/>
      </c:catAx>
      <c:valAx>
        <c:axId val="43271627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2715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GB" sz="1100"/>
              <a:t>Palm oil</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Charts2!$F$26</c:f>
              <c:strCache>
                <c:ptCount val="1"/>
                <c:pt idx="0">
                  <c:v>000 Ha/y</c:v>
                </c:pt>
              </c:strCache>
            </c:strRef>
          </c:tx>
          <c:spPr>
            <a:solidFill>
              <a:schemeClr val="bg1">
                <a:lumMod val="85000"/>
              </a:schemeClr>
            </a:solidFill>
            <a:ln>
              <a:noFill/>
            </a:ln>
            <a:effectLst/>
          </c:spPr>
          <c:invertIfNegative val="0"/>
          <c:dPt>
            <c:idx val="1"/>
            <c:invertIfNegative val="0"/>
            <c:bubble3D val="0"/>
            <c:spPr>
              <a:solidFill>
                <a:schemeClr val="accent1"/>
              </a:solidFill>
              <a:ln>
                <a:noFill/>
              </a:ln>
              <a:effectLst/>
            </c:spPr>
            <c:extLst>
              <c:ext xmlns:c16="http://schemas.microsoft.com/office/drawing/2014/chart" uri="{C3380CC4-5D6E-409C-BE32-E72D297353CC}">
                <c16:uniqueId val="{00000001-7EBD-47F5-B255-FB882D417AD2}"/>
              </c:ext>
            </c:extLst>
          </c:dPt>
          <c:cat>
            <c:strRef>
              <c:f>Charts2!$E$27:$E$30</c:f>
              <c:strCache>
                <c:ptCount val="4"/>
                <c:pt idx="0">
                  <c:v>India</c:v>
                </c:pt>
                <c:pt idx="1">
                  <c:v>EU27</c:v>
                </c:pt>
                <c:pt idx="2">
                  <c:v>China</c:v>
                </c:pt>
                <c:pt idx="3">
                  <c:v>RoW</c:v>
                </c:pt>
              </c:strCache>
            </c:strRef>
          </c:cat>
          <c:val>
            <c:numRef>
              <c:f>Charts2!$F$27:$F$30</c:f>
              <c:numCache>
                <c:formatCode>0</c:formatCode>
                <c:ptCount val="4"/>
                <c:pt idx="0">
                  <c:v>73.046602351671282</c:v>
                </c:pt>
                <c:pt idx="1">
                  <c:v>67.661707360366719</c:v>
                </c:pt>
                <c:pt idx="2">
                  <c:v>49.855078528838213</c:v>
                </c:pt>
                <c:pt idx="3">
                  <c:v>159.25552913586711</c:v>
                </c:pt>
              </c:numCache>
            </c:numRef>
          </c:val>
          <c:extLst>
            <c:ext xmlns:c16="http://schemas.microsoft.com/office/drawing/2014/chart" uri="{C3380CC4-5D6E-409C-BE32-E72D297353CC}">
              <c16:uniqueId val="{00000002-7EBD-47F5-B255-FB882D417AD2}"/>
            </c:ext>
          </c:extLst>
        </c:ser>
        <c:dLbls>
          <c:showLegendKey val="0"/>
          <c:showVal val="0"/>
          <c:showCatName val="0"/>
          <c:showSerName val="0"/>
          <c:showPercent val="0"/>
          <c:showBubbleSize val="0"/>
        </c:dLbls>
        <c:gapWidth val="150"/>
        <c:axId val="1097822232"/>
        <c:axId val="1097826496"/>
      </c:barChart>
      <c:lineChart>
        <c:grouping val="standard"/>
        <c:varyColors val="0"/>
        <c:ser>
          <c:idx val="1"/>
          <c:order val="1"/>
          <c:tx>
            <c:strRef>
              <c:f>Charts2!$G$26</c:f>
              <c:strCache>
                <c:ptCount val="1"/>
                <c:pt idx="0">
                  <c:v>%</c:v>
                </c:pt>
              </c:strCache>
            </c:strRef>
          </c:tx>
          <c:spPr>
            <a:ln w="25400"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Charts2!$E$27:$E$30</c:f>
              <c:strCache>
                <c:ptCount val="4"/>
                <c:pt idx="0">
                  <c:v>India</c:v>
                </c:pt>
                <c:pt idx="1">
                  <c:v>EU27</c:v>
                </c:pt>
                <c:pt idx="2">
                  <c:v>China</c:v>
                </c:pt>
                <c:pt idx="3">
                  <c:v>RoW</c:v>
                </c:pt>
              </c:strCache>
            </c:strRef>
          </c:cat>
          <c:val>
            <c:numRef>
              <c:f>Charts2!$G$27:$G$30</c:f>
              <c:numCache>
                <c:formatCode>0%</c:formatCode>
                <c:ptCount val="4"/>
                <c:pt idx="0">
                  <c:v>0.20881261339278154</c:v>
                </c:pt>
                <c:pt idx="1">
                  <c:v>0.19341923492232785</c:v>
                </c:pt>
                <c:pt idx="2">
                  <c:v>0.14251681670818833</c:v>
                </c:pt>
                <c:pt idx="3">
                  <c:v>0.45525133497670223</c:v>
                </c:pt>
              </c:numCache>
            </c:numRef>
          </c:val>
          <c:smooth val="0"/>
          <c:extLst>
            <c:ext xmlns:c16="http://schemas.microsoft.com/office/drawing/2014/chart" uri="{C3380CC4-5D6E-409C-BE32-E72D297353CC}">
              <c16:uniqueId val="{00000003-7EBD-47F5-B255-FB882D417AD2}"/>
            </c:ext>
          </c:extLst>
        </c:ser>
        <c:dLbls>
          <c:showLegendKey val="0"/>
          <c:showVal val="0"/>
          <c:showCatName val="0"/>
          <c:showSerName val="0"/>
          <c:showPercent val="0"/>
          <c:showBubbleSize val="0"/>
        </c:dLbls>
        <c:marker val="1"/>
        <c:smooth val="0"/>
        <c:axId val="917511280"/>
        <c:axId val="917505704"/>
      </c:lineChart>
      <c:catAx>
        <c:axId val="1097822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097826496"/>
        <c:crosses val="autoZero"/>
        <c:auto val="1"/>
        <c:lblAlgn val="ctr"/>
        <c:lblOffset val="100"/>
        <c:noMultiLvlLbl val="0"/>
      </c:catAx>
      <c:valAx>
        <c:axId val="1097826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GB" sz="800"/>
                  <a:t>000</a:t>
                </a:r>
                <a:r>
                  <a:rPr lang="en-GB" sz="800" baseline="0"/>
                  <a:t> Ha/y</a:t>
                </a:r>
                <a:endParaRPr lang="en-GB" sz="800"/>
              </a:p>
            </c:rich>
          </c:tx>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097822232"/>
        <c:crosses val="autoZero"/>
        <c:crossBetween val="between"/>
      </c:valAx>
      <c:valAx>
        <c:axId val="917505704"/>
        <c:scaling>
          <c:orientation val="minMax"/>
          <c:max val="0.55000000000000004"/>
        </c:scaling>
        <c:delete val="0"/>
        <c:axPos val="r"/>
        <c:numFmt formatCode="0%" sourceLinked="1"/>
        <c:majorTickMark val="out"/>
        <c:minorTickMark val="none"/>
        <c:tickLblPos val="none"/>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917511280"/>
        <c:crosses val="max"/>
        <c:crossBetween val="between"/>
      </c:valAx>
      <c:catAx>
        <c:axId val="917511280"/>
        <c:scaling>
          <c:orientation val="minMax"/>
        </c:scaling>
        <c:delete val="1"/>
        <c:axPos val="b"/>
        <c:numFmt formatCode="General" sourceLinked="1"/>
        <c:majorTickMark val="out"/>
        <c:minorTickMark val="none"/>
        <c:tickLblPos val="nextTo"/>
        <c:crossAx val="917505704"/>
        <c:crosses val="autoZero"/>
        <c:auto val="1"/>
        <c:lblAlgn val="ctr"/>
        <c:lblOffset val="100"/>
        <c:noMultiLvlLbl val="0"/>
      </c:catAx>
      <c:spPr>
        <a:noFill/>
        <a:ln>
          <a:noFill/>
        </a:ln>
        <a:effectLst/>
      </c:spPr>
    </c:plotArea>
    <c:plotVisOnly val="1"/>
    <c:dispBlanksAs val="gap"/>
    <c:showDLblsOverMax val="0"/>
  </c:chart>
  <c:spPr>
    <a:solidFill>
      <a:schemeClr val="bg1"/>
    </a:solidFill>
    <a:ln w="3175" cap="flat" cmpd="sng" algn="ctr">
      <a:solidFill>
        <a:schemeClr val="bg1">
          <a:lumMod val="7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GB" sz="1100"/>
              <a:t>Soy</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Charts2!$F$35</c:f>
              <c:strCache>
                <c:ptCount val="1"/>
                <c:pt idx="0">
                  <c:v>000 Ha/y</c:v>
                </c:pt>
              </c:strCache>
            </c:strRef>
          </c:tx>
          <c:spPr>
            <a:solidFill>
              <a:schemeClr val="bg1">
                <a:lumMod val="85000"/>
              </a:schemeClr>
            </a:solidFill>
            <a:ln>
              <a:noFill/>
            </a:ln>
            <a:effectLst/>
          </c:spPr>
          <c:invertIfNegative val="0"/>
          <c:dPt>
            <c:idx val="1"/>
            <c:invertIfNegative val="0"/>
            <c:bubble3D val="0"/>
            <c:spPr>
              <a:solidFill>
                <a:schemeClr val="accent1"/>
              </a:solidFill>
              <a:ln>
                <a:noFill/>
              </a:ln>
              <a:effectLst/>
            </c:spPr>
            <c:extLst>
              <c:ext xmlns:c16="http://schemas.microsoft.com/office/drawing/2014/chart" uri="{C3380CC4-5D6E-409C-BE32-E72D297353CC}">
                <c16:uniqueId val="{00000001-121F-47B4-948D-6B0A890C6047}"/>
              </c:ext>
            </c:extLst>
          </c:dPt>
          <c:cat>
            <c:strRef>
              <c:f>Charts2!$E$36:$E$38</c:f>
              <c:strCache>
                <c:ptCount val="3"/>
                <c:pt idx="0">
                  <c:v>China</c:v>
                </c:pt>
                <c:pt idx="1">
                  <c:v>EU27</c:v>
                </c:pt>
                <c:pt idx="2">
                  <c:v>RoW</c:v>
                </c:pt>
              </c:strCache>
            </c:strRef>
          </c:cat>
          <c:val>
            <c:numRef>
              <c:f>Charts2!$F$36:$F$38</c:f>
              <c:numCache>
                <c:formatCode>0</c:formatCode>
                <c:ptCount val="3"/>
                <c:pt idx="0">
                  <c:v>84.287574856542463</c:v>
                </c:pt>
                <c:pt idx="1">
                  <c:v>65.427776130412411</c:v>
                </c:pt>
                <c:pt idx="2">
                  <c:v>108.41795794315382</c:v>
                </c:pt>
              </c:numCache>
            </c:numRef>
          </c:val>
          <c:extLst>
            <c:ext xmlns:c16="http://schemas.microsoft.com/office/drawing/2014/chart" uri="{C3380CC4-5D6E-409C-BE32-E72D297353CC}">
              <c16:uniqueId val="{00000002-121F-47B4-948D-6B0A890C6047}"/>
            </c:ext>
          </c:extLst>
        </c:ser>
        <c:dLbls>
          <c:showLegendKey val="0"/>
          <c:showVal val="0"/>
          <c:showCatName val="0"/>
          <c:showSerName val="0"/>
          <c:showPercent val="0"/>
          <c:showBubbleSize val="0"/>
        </c:dLbls>
        <c:gapWidth val="150"/>
        <c:axId val="1097822232"/>
        <c:axId val="1097826496"/>
      </c:barChart>
      <c:lineChart>
        <c:grouping val="standard"/>
        <c:varyColors val="0"/>
        <c:ser>
          <c:idx val="1"/>
          <c:order val="1"/>
          <c:tx>
            <c:strRef>
              <c:f>Charts2!$G$35</c:f>
              <c:strCache>
                <c:ptCount val="1"/>
                <c:pt idx="0">
                  <c:v>%</c:v>
                </c:pt>
              </c:strCache>
            </c:strRef>
          </c:tx>
          <c:spPr>
            <a:ln w="25400"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Charts2!$E$36:$E$38</c:f>
              <c:strCache>
                <c:ptCount val="3"/>
                <c:pt idx="0">
                  <c:v>China</c:v>
                </c:pt>
                <c:pt idx="1">
                  <c:v>EU27</c:v>
                </c:pt>
                <c:pt idx="2">
                  <c:v>RoW</c:v>
                </c:pt>
              </c:strCache>
            </c:strRef>
          </c:cat>
          <c:val>
            <c:numRef>
              <c:f>Charts2!$G$36:$G$38</c:f>
              <c:numCache>
                <c:formatCode>0%</c:formatCode>
                <c:ptCount val="3"/>
                <c:pt idx="0">
                  <c:v>0.32652730949713998</c:v>
                </c:pt>
                <c:pt idx="1">
                  <c:v>0.25346506578942674</c:v>
                </c:pt>
                <c:pt idx="2">
                  <c:v>0.42000762471343323</c:v>
                </c:pt>
              </c:numCache>
            </c:numRef>
          </c:val>
          <c:smooth val="0"/>
          <c:extLst>
            <c:ext xmlns:c16="http://schemas.microsoft.com/office/drawing/2014/chart" uri="{C3380CC4-5D6E-409C-BE32-E72D297353CC}">
              <c16:uniqueId val="{00000003-121F-47B4-948D-6B0A890C6047}"/>
            </c:ext>
          </c:extLst>
        </c:ser>
        <c:dLbls>
          <c:showLegendKey val="0"/>
          <c:showVal val="0"/>
          <c:showCatName val="0"/>
          <c:showSerName val="0"/>
          <c:showPercent val="0"/>
          <c:showBubbleSize val="0"/>
        </c:dLbls>
        <c:marker val="1"/>
        <c:smooth val="0"/>
        <c:axId val="917511280"/>
        <c:axId val="917505704"/>
      </c:lineChart>
      <c:catAx>
        <c:axId val="1097822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097826496"/>
        <c:crosses val="autoZero"/>
        <c:auto val="1"/>
        <c:lblAlgn val="ctr"/>
        <c:lblOffset val="100"/>
        <c:noMultiLvlLbl val="0"/>
      </c:catAx>
      <c:valAx>
        <c:axId val="1097826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GB" sz="800"/>
                  <a:t>000</a:t>
                </a:r>
                <a:r>
                  <a:rPr lang="en-GB" sz="800" baseline="0"/>
                  <a:t> Ha/y</a:t>
                </a:r>
                <a:endParaRPr lang="en-GB" sz="800"/>
              </a:p>
            </c:rich>
          </c:tx>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097822232"/>
        <c:crosses val="autoZero"/>
        <c:crossBetween val="between"/>
      </c:valAx>
      <c:valAx>
        <c:axId val="917505704"/>
        <c:scaling>
          <c:orientation val="minMax"/>
          <c:max val="0.5"/>
        </c:scaling>
        <c:delete val="0"/>
        <c:axPos val="r"/>
        <c:numFmt formatCode="0%" sourceLinked="1"/>
        <c:majorTickMark val="out"/>
        <c:minorTickMark val="none"/>
        <c:tickLblPos val="none"/>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917511280"/>
        <c:crosses val="max"/>
        <c:crossBetween val="between"/>
      </c:valAx>
      <c:catAx>
        <c:axId val="917511280"/>
        <c:scaling>
          <c:orientation val="minMax"/>
        </c:scaling>
        <c:delete val="1"/>
        <c:axPos val="b"/>
        <c:numFmt formatCode="General" sourceLinked="1"/>
        <c:majorTickMark val="out"/>
        <c:minorTickMark val="none"/>
        <c:tickLblPos val="nextTo"/>
        <c:crossAx val="917505704"/>
        <c:crosses val="autoZero"/>
        <c:auto val="1"/>
        <c:lblAlgn val="ctr"/>
        <c:lblOffset val="100"/>
        <c:noMultiLvlLbl val="0"/>
      </c:catAx>
      <c:spPr>
        <a:noFill/>
        <a:ln>
          <a:noFill/>
        </a:ln>
        <a:effectLst/>
      </c:spPr>
    </c:plotArea>
    <c:plotVisOnly val="1"/>
    <c:dispBlanksAs val="gap"/>
    <c:showDLblsOverMax val="0"/>
  </c:chart>
  <c:spPr>
    <a:solidFill>
      <a:schemeClr val="bg1"/>
    </a:solidFill>
    <a:ln w="3175" cap="flat" cmpd="sng" algn="ctr">
      <a:solidFill>
        <a:schemeClr val="bg1">
          <a:lumMod val="7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GB" sz="1100"/>
              <a:t>Wood</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Charts2!$F$44</c:f>
              <c:strCache>
                <c:ptCount val="1"/>
                <c:pt idx="0">
                  <c:v>000 Ha/y</c:v>
                </c:pt>
              </c:strCache>
            </c:strRef>
          </c:tx>
          <c:spPr>
            <a:solidFill>
              <a:schemeClr val="bg1">
                <a:lumMod val="85000"/>
              </a:schemeClr>
            </a:solidFill>
            <a:ln>
              <a:noFill/>
            </a:ln>
            <a:effectLst/>
          </c:spPr>
          <c:invertIfNegative val="0"/>
          <c:dPt>
            <c:idx val="2"/>
            <c:invertIfNegative val="0"/>
            <c:bubble3D val="0"/>
            <c:spPr>
              <a:solidFill>
                <a:schemeClr val="accent1"/>
              </a:solidFill>
              <a:ln>
                <a:noFill/>
              </a:ln>
              <a:effectLst/>
            </c:spPr>
            <c:extLst>
              <c:ext xmlns:c16="http://schemas.microsoft.com/office/drawing/2014/chart" uri="{C3380CC4-5D6E-409C-BE32-E72D297353CC}">
                <c16:uniqueId val="{00000001-18DA-4B71-A832-AFF19694605F}"/>
              </c:ext>
            </c:extLst>
          </c:dPt>
          <c:cat>
            <c:strRef>
              <c:f>Charts2!$E$45:$E$48</c:f>
              <c:strCache>
                <c:ptCount val="4"/>
                <c:pt idx="0">
                  <c:v>China</c:v>
                </c:pt>
                <c:pt idx="1">
                  <c:v>Japan</c:v>
                </c:pt>
                <c:pt idx="2">
                  <c:v>EU27</c:v>
                </c:pt>
                <c:pt idx="3">
                  <c:v>RoW</c:v>
                </c:pt>
              </c:strCache>
            </c:strRef>
          </c:cat>
          <c:val>
            <c:numRef>
              <c:f>Charts2!$F$45:$F$48</c:f>
              <c:numCache>
                <c:formatCode>0</c:formatCode>
                <c:ptCount val="4"/>
                <c:pt idx="0">
                  <c:v>46.003726568676527</c:v>
                </c:pt>
                <c:pt idx="1">
                  <c:v>21.995540350649641</c:v>
                </c:pt>
                <c:pt idx="2">
                  <c:v>17.170863417786187</c:v>
                </c:pt>
                <c:pt idx="3">
                  <c:v>51.131251970858955</c:v>
                </c:pt>
              </c:numCache>
            </c:numRef>
          </c:val>
          <c:extLst>
            <c:ext xmlns:c16="http://schemas.microsoft.com/office/drawing/2014/chart" uri="{C3380CC4-5D6E-409C-BE32-E72D297353CC}">
              <c16:uniqueId val="{00000002-18DA-4B71-A832-AFF19694605F}"/>
            </c:ext>
          </c:extLst>
        </c:ser>
        <c:dLbls>
          <c:showLegendKey val="0"/>
          <c:showVal val="0"/>
          <c:showCatName val="0"/>
          <c:showSerName val="0"/>
          <c:showPercent val="0"/>
          <c:showBubbleSize val="0"/>
        </c:dLbls>
        <c:gapWidth val="150"/>
        <c:axId val="1097822232"/>
        <c:axId val="1097826496"/>
      </c:barChart>
      <c:lineChart>
        <c:grouping val="standard"/>
        <c:varyColors val="0"/>
        <c:ser>
          <c:idx val="1"/>
          <c:order val="1"/>
          <c:tx>
            <c:strRef>
              <c:f>Charts2!$G$44</c:f>
              <c:strCache>
                <c:ptCount val="1"/>
                <c:pt idx="0">
                  <c:v>%</c:v>
                </c:pt>
              </c:strCache>
            </c:strRef>
          </c:tx>
          <c:spPr>
            <a:ln w="25400"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Charts2!$E$45:$E$48</c:f>
              <c:strCache>
                <c:ptCount val="4"/>
                <c:pt idx="0">
                  <c:v>China</c:v>
                </c:pt>
                <c:pt idx="1">
                  <c:v>Japan</c:v>
                </c:pt>
                <c:pt idx="2">
                  <c:v>EU27</c:v>
                </c:pt>
                <c:pt idx="3">
                  <c:v>RoW</c:v>
                </c:pt>
              </c:strCache>
            </c:strRef>
          </c:cat>
          <c:val>
            <c:numRef>
              <c:f>Charts2!$G$45:$G$48</c:f>
              <c:numCache>
                <c:formatCode>0%</c:formatCode>
                <c:ptCount val="4"/>
                <c:pt idx="0">
                  <c:v>0.33751474702385381</c:v>
                </c:pt>
                <c:pt idx="1">
                  <c:v>0.16137430140621015</c:v>
                </c:pt>
                <c:pt idx="2">
                  <c:v>0.12597717739200054</c:v>
                </c:pt>
                <c:pt idx="3">
                  <c:v>0.37513377417793542</c:v>
                </c:pt>
              </c:numCache>
            </c:numRef>
          </c:val>
          <c:smooth val="0"/>
          <c:extLst>
            <c:ext xmlns:c16="http://schemas.microsoft.com/office/drawing/2014/chart" uri="{C3380CC4-5D6E-409C-BE32-E72D297353CC}">
              <c16:uniqueId val="{00000003-18DA-4B71-A832-AFF19694605F}"/>
            </c:ext>
          </c:extLst>
        </c:ser>
        <c:dLbls>
          <c:showLegendKey val="0"/>
          <c:showVal val="0"/>
          <c:showCatName val="0"/>
          <c:showSerName val="0"/>
          <c:showPercent val="0"/>
          <c:showBubbleSize val="0"/>
        </c:dLbls>
        <c:marker val="1"/>
        <c:smooth val="0"/>
        <c:axId val="917511280"/>
        <c:axId val="917505704"/>
      </c:lineChart>
      <c:catAx>
        <c:axId val="1097822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097826496"/>
        <c:crosses val="autoZero"/>
        <c:auto val="1"/>
        <c:lblAlgn val="ctr"/>
        <c:lblOffset val="100"/>
        <c:noMultiLvlLbl val="0"/>
      </c:catAx>
      <c:valAx>
        <c:axId val="1097826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GB" sz="800"/>
                  <a:t>000</a:t>
                </a:r>
                <a:r>
                  <a:rPr lang="en-GB" sz="800" baseline="0"/>
                  <a:t> Ha/y</a:t>
                </a:r>
                <a:endParaRPr lang="en-GB" sz="800"/>
              </a:p>
            </c:rich>
          </c:tx>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097822232"/>
        <c:crosses val="autoZero"/>
        <c:crossBetween val="between"/>
      </c:valAx>
      <c:valAx>
        <c:axId val="917505704"/>
        <c:scaling>
          <c:orientation val="minMax"/>
          <c:max val="0.45"/>
        </c:scaling>
        <c:delete val="0"/>
        <c:axPos val="r"/>
        <c:numFmt formatCode="0%" sourceLinked="1"/>
        <c:majorTickMark val="out"/>
        <c:minorTickMark val="none"/>
        <c:tickLblPos val="none"/>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917511280"/>
        <c:crosses val="max"/>
        <c:crossBetween val="between"/>
      </c:valAx>
      <c:catAx>
        <c:axId val="917511280"/>
        <c:scaling>
          <c:orientation val="minMax"/>
        </c:scaling>
        <c:delete val="1"/>
        <c:axPos val="b"/>
        <c:numFmt formatCode="General" sourceLinked="1"/>
        <c:majorTickMark val="out"/>
        <c:minorTickMark val="none"/>
        <c:tickLblPos val="nextTo"/>
        <c:crossAx val="917505704"/>
        <c:crosses val="autoZero"/>
        <c:auto val="1"/>
        <c:lblAlgn val="ctr"/>
        <c:lblOffset val="100"/>
        <c:noMultiLvlLbl val="0"/>
      </c:catAx>
      <c:spPr>
        <a:noFill/>
        <a:ln>
          <a:noFill/>
        </a:ln>
        <a:effectLst/>
      </c:spPr>
    </c:plotArea>
    <c:plotVisOnly val="1"/>
    <c:dispBlanksAs val="gap"/>
    <c:showDLblsOverMax val="0"/>
  </c:chart>
  <c:spPr>
    <a:solidFill>
      <a:schemeClr val="bg1"/>
    </a:solidFill>
    <a:ln w="3175" cap="flat" cmpd="sng" algn="ctr">
      <a:solidFill>
        <a:schemeClr val="bg1">
          <a:lumMod val="7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GB" sz="1100"/>
              <a:t>Cattle</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Charts2!$F$73</c:f>
              <c:strCache>
                <c:ptCount val="1"/>
                <c:pt idx="0">
                  <c:v>000 Ha/y</c:v>
                </c:pt>
              </c:strCache>
            </c:strRef>
          </c:tx>
          <c:spPr>
            <a:solidFill>
              <a:schemeClr val="bg1">
                <a:lumMod val="85000"/>
              </a:schemeClr>
            </a:solidFill>
            <a:ln>
              <a:noFill/>
            </a:ln>
            <a:effectLst/>
          </c:spPr>
          <c:invertIfNegative val="0"/>
          <c:dPt>
            <c:idx val="2"/>
            <c:invertIfNegative val="0"/>
            <c:bubble3D val="0"/>
            <c:spPr>
              <a:solidFill>
                <a:schemeClr val="accent1"/>
              </a:solidFill>
              <a:ln>
                <a:noFill/>
              </a:ln>
              <a:effectLst/>
            </c:spPr>
            <c:extLst>
              <c:ext xmlns:c16="http://schemas.microsoft.com/office/drawing/2014/chart" uri="{C3380CC4-5D6E-409C-BE32-E72D297353CC}">
                <c16:uniqueId val="{00000001-D0EF-4787-B5B0-E8C611F9FC7F}"/>
              </c:ext>
            </c:extLst>
          </c:dPt>
          <c:cat>
            <c:strRef>
              <c:f>Charts2!$E$74:$E$77</c:f>
              <c:strCache>
                <c:ptCount val="4"/>
                <c:pt idx="0">
                  <c:v>Russia</c:v>
                </c:pt>
                <c:pt idx="1">
                  <c:v>USA</c:v>
                </c:pt>
                <c:pt idx="2">
                  <c:v>EU27</c:v>
                </c:pt>
                <c:pt idx="3">
                  <c:v>RoW</c:v>
                </c:pt>
              </c:strCache>
            </c:strRef>
          </c:cat>
          <c:val>
            <c:numRef>
              <c:f>Charts2!$F$74:$F$77</c:f>
              <c:numCache>
                <c:formatCode>0</c:formatCode>
                <c:ptCount val="4"/>
                <c:pt idx="0">
                  <c:v>38.400935715170867</c:v>
                </c:pt>
                <c:pt idx="1">
                  <c:v>18.420855622298454</c:v>
                </c:pt>
                <c:pt idx="2">
                  <c:v>9.9757725303799365</c:v>
                </c:pt>
                <c:pt idx="3">
                  <c:v>118.28689970508822</c:v>
                </c:pt>
              </c:numCache>
            </c:numRef>
          </c:val>
          <c:extLst>
            <c:ext xmlns:c16="http://schemas.microsoft.com/office/drawing/2014/chart" uri="{C3380CC4-5D6E-409C-BE32-E72D297353CC}">
              <c16:uniqueId val="{00000002-D0EF-4787-B5B0-E8C611F9FC7F}"/>
            </c:ext>
          </c:extLst>
        </c:ser>
        <c:dLbls>
          <c:showLegendKey val="0"/>
          <c:showVal val="0"/>
          <c:showCatName val="0"/>
          <c:showSerName val="0"/>
          <c:showPercent val="0"/>
          <c:showBubbleSize val="0"/>
        </c:dLbls>
        <c:gapWidth val="150"/>
        <c:axId val="1097822232"/>
        <c:axId val="1097826496"/>
      </c:barChart>
      <c:lineChart>
        <c:grouping val="standard"/>
        <c:varyColors val="0"/>
        <c:ser>
          <c:idx val="1"/>
          <c:order val="1"/>
          <c:tx>
            <c:strRef>
              <c:f>Charts2!$G$73</c:f>
              <c:strCache>
                <c:ptCount val="1"/>
                <c:pt idx="0">
                  <c:v>%</c:v>
                </c:pt>
              </c:strCache>
            </c:strRef>
          </c:tx>
          <c:spPr>
            <a:ln w="25400"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Charts2!$E$74:$E$77</c:f>
              <c:strCache>
                <c:ptCount val="4"/>
                <c:pt idx="0">
                  <c:v>Russia</c:v>
                </c:pt>
                <c:pt idx="1">
                  <c:v>USA</c:v>
                </c:pt>
                <c:pt idx="2">
                  <c:v>EU27</c:v>
                </c:pt>
                <c:pt idx="3">
                  <c:v>RoW</c:v>
                </c:pt>
              </c:strCache>
            </c:strRef>
          </c:cat>
          <c:val>
            <c:numRef>
              <c:f>Charts2!$G$74:$G$77</c:f>
              <c:numCache>
                <c:formatCode>0%</c:formatCode>
                <c:ptCount val="4"/>
                <c:pt idx="0">
                  <c:v>0.20747789940800707</c:v>
                </c:pt>
                <c:pt idx="1">
                  <c:v>9.9526752633341514E-2</c:v>
                </c:pt>
                <c:pt idx="2">
                  <c:v>5.3898486873527975E-2</c:v>
                </c:pt>
                <c:pt idx="3">
                  <c:v>0.63909686108512342</c:v>
                </c:pt>
              </c:numCache>
            </c:numRef>
          </c:val>
          <c:smooth val="0"/>
          <c:extLst>
            <c:ext xmlns:c16="http://schemas.microsoft.com/office/drawing/2014/chart" uri="{C3380CC4-5D6E-409C-BE32-E72D297353CC}">
              <c16:uniqueId val="{00000003-D0EF-4787-B5B0-E8C611F9FC7F}"/>
            </c:ext>
          </c:extLst>
        </c:ser>
        <c:dLbls>
          <c:showLegendKey val="0"/>
          <c:showVal val="0"/>
          <c:showCatName val="0"/>
          <c:showSerName val="0"/>
          <c:showPercent val="0"/>
          <c:showBubbleSize val="0"/>
        </c:dLbls>
        <c:marker val="1"/>
        <c:smooth val="0"/>
        <c:axId val="917511280"/>
        <c:axId val="917505704"/>
      </c:lineChart>
      <c:catAx>
        <c:axId val="1097822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097826496"/>
        <c:crosses val="autoZero"/>
        <c:auto val="1"/>
        <c:lblAlgn val="ctr"/>
        <c:lblOffset val="100"/>
        <c:noMultiLvlLbl val="0"/>
      </c:catAx>
      <c:valAx>
        <c:axId val="1097826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GB" sz="800"/>
                  <a:t>000</a:t>
                </a:r>
                <a:r>
                  <a:rPr lang="en-GB" sz="800" baseline="0"/>
                  <a:t> Ha/y</a:t>
                </a:r>
                <a:endParaRPr lang="en-GB" sz="800"/>
              </a:p>
            </c:rich>
          </c:tx>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097822232"/>
        <c:crosses val="autoZero"/>
        <c:crossBetween val="between"/>
      </c:valAx>
      <c:valAx>
        <c:axId val="917505704"/>
        <c:scaling>
          <c:orientation val="minMax"/>
          <c:max val="0.8"/>
        </c:scaling>
        <c:delete val="0"/>
        <c:axPos val="r"/>
        <c:numFmt formatCode="0%" sourceLinked="1"/>
        <c:majorTickMark val="out"/>
        <c:minorTickMark val="none"/>
        <c:tickLblPos val="none"/>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917511280"/>
        <c:crosses val="max"/>
        <c:crossBetween val="between"/>
      </c:valAx>
      <c:catAx>
        <c:axId val="917511280"/>
        <c:scaling>
          <c:orientation val="minMax"/>
        </c:scaling>
        <c:delete val="1"/>
        <c:axPos val="b"/>
        <c:numFmt formatCode="General" sourceLinked="1"/>
        <c:majorTickMark val="out"/>
        <c:minorTickMark val="none"/>
        <c:tickLblPos val="nextTo"/>
        <c:crossAx val="917505704"/>
        <c:crosses val="autoZero"/>
        <c:auto val="1"/>
        <c:lblAlgn val="ctr"/>
        <c:lblOffset val="100"/>
        <c:noMultiLvlLbl val="0"/>
      </c:catAx>
      <c:spPr>
        <a:noFill/>
        <a:ln>
          <a:noFill/>
        </a:ln>
        <a:effectLst/>
      </c:spPr>
    </c:plotArea>
    <c:plotVisOnly val="1"/>
    <c:dispBlanksAs val="gap"/>
    <c:showDLblsOverMax val="0"/>
  </c:chart>
  <c:spPr>
    <a:solidFill>
      <a:schemeClr val="bg1"/>
    </a:solidFill>
    <a:ln w="3175" cap="flat" cmpd="sng" algn="ctr">
      <a:solidFill>
        <a:schemeClr val="bg1">
          <a:lumMod val="7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GB" sz="1100"/>
              <a:t>Cocoa</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Charts2!$F$53</c:f>
              <c:strCache>
                <c:ptCount val="1"/>
                <c:pt idx="0">
                  <c:v>000 Ha/y</c:v>
                </c:pt>
              </c:strCache>
            </c:strRef>
          </c:tx>
          <c:spPr>
            <a:solidFill>
              <a:schemeClr val="bg1">
                <a:lumMod val="85000"/>
              </a:schemeClr>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B716-4401-AEED-0F207803E1C2}"/>
              </c:ext>
            </c:extLst>
          </c:dPt>
          <c:cat>
            <c:strRef>
              <c:f>Charts2!$E$54:$E$56</c:f>
              <c:strCache>
                <c:ptCount val="3"/>
                <c:pt idx="0">
                  <c:v>EU27</c:v>
                </c:pt>
                <c:pt idx="1">
                  <c:v>USA</c:v>
                </c:pt>
                <c:pt idx="2">
                  <c:v>RoW</c:v>
                </c:pt>
              </c:strCache>
            </c:strRef>
          </c:cat>
          <c:val>
            <c:numRef>
              <c:f>Charts2!$F$54:$F$56</c:f>
              <c:numCache>
                <c:formatCode>0</c:formatCode>
                <c:ptCount val="3"/>
                <c:pt idx="0">
                  <c:v>15.031628883563613</c:v>
                </c:pt>
                <c:pt idx="1">
                  <c:v>8.7185423017243924</c:v>
                </c:pt>
                <c:pt idx="2">
                  <c:v>18.28778189117471</c:v>
                </c:pt>
              </c:numCache>
            </c:numRef>
          </c:val>
          <c:extLst>
            <c:ext xmlns:c16="http://schemas.microsoft.com/office/drawing/2014/chart" uri="{C3380CC4-5D6E-409C-BE32-E72D297353CC}">
              <c16:uniqueId val="{00000002-B716-4401-AEED-0F207803E1C2}"/>
            </c:ext>
          </c:extLst>
        </c:ser>
        <c:dLbls>
          <c:showLegendKey val="0"/>
          <c:showVal val="0"/>
          <c:showCatName val="0"/>
          <c:showSerName val="0"/>
          <c:showPercent val="0"/>
          <c:showBubbleSize val="0"/>
        </c:dLbls>
        <c:gapWidth val="150"/>
        <c:axId val="1097822232"/>
        <c:axId val="1097826496"/>
      </c:barChart>
      <c:lineChart>
        <c:grouping val="standard"/>
        <c:varyColors val="0"/>
        <c:ser>
          <c:idx val="1"/>
          <c:order val="1"/>
          <c:tx>
            <c:strRef>
              <c:f>Charts2!$G$53</c:f>
              <c:strCache>
                <c:ptCount val="1"/>
                <c:pt idx="0">
                  <c:v>%</c:v>
                </c:pt>
              </c:strCache>
            </c:strRef>
          </c:tx>
          <c:spPr>
            <a:ln w="25400"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Charts2!$E$54:$E$56</c:f>
              <c:strCache>
                <c:ptCount val="3"/>
                <c:pt idx="0">
                  <c:v>EU27</c:v>
                </c:pt>
                <c:pt idx="1">
                  <c:v>USA</c:v>
                </c:pt>
                <c:pt idx="2">
                  <c:v>RoW</c:v>
                </c:pt>
              </c:strCache>
            </c:strRef>
          </c:cat>
          <c:val>
            <c:numRef>
              <c:f>Charts2!$G$54:$G$56</c:f>
              <c:numCache>
                <c:formatCode>0%</c:formatCode>
                <c:ptCount val="3"/>
                <c:pt idx="0">
                  <c:v>0.35757280703517191</c:v>
                </c:pt>
                <c:pt idx="1">
                  <c:v>0.20739692738764565</c:v>
                </c:pt>
                <c:pt idx="2">
                  <c:v>0.43503026557718238</c:v>
                </c:pt>
              </c:numCache>
            </c:numRef>
          </c:val>
          <c:smooth val="0"/>
          <c:extLst>
            <c:ext xmlns:c16="http://schemas.microsoft.com/office/drawing/2014/chart" uri="{C3380CC4-5D6E-409C-BE32-E72D297353CC}">
              <c16:uniqueId val="{00000003-B716-4401-AEED-0F207803E1C2}"/>
            </c:ext>
          </c:extLst>
        </c:ser>
        <c:dLbls>
          <c:showLegendKey val="0"/>
          <c:showVal val="0"/>
          <c:showCatName val="0"/>
          <c:showSerName val="0"/>
          <c:showPercent val="0"/>
          <c:showBubbleSize val="0"/>
        </c:dLbls>
        <c:marker val="1"/>
        <c:smooth val="0"/>
        <c:axId val="917511280"/>
        <c:axId val="917505704"/>
      </c:lineChart>
      <c:catAx>
        <c:axId val="1097822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097826496"/>
        <c:crosses val="autoZero"/>
        <c:auto val="1"/>
        <c:lblAlgn val="ctr"/>
        <c:lblOffset val="100"/>
        <c:noMultiLvlLbl val="0"/>
      </c:catAx>
      <c:valAx>
        <c:axId val="1097826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GB" sz="800"/>
                  <a:t>000</a:t>
                </a:r>
                <a:r>
                  <a:rPr lang="en-GB" sz="800" baseline="0"/>
                  <a:t> Ha/y</a:t>
                </a:r>
                <a:endParaRPr lang="en-GB" sz="800"/>
              </a:p>
            </c:rich>
          </c:tx>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097822232"/>
        <c:crosses val="autoZero"/>
        <c:crossBetween val="between"/>
      </c:valAx>
      <c:valAx>
        <c:axId val="917505704"/>
        <c:scaling>
          <c:orientation val="minMax"/>
        </c:scaling>
        <c:delete val="0"/>
        <c:axPos val="r"/>
        <c:numFmt formatCode="0%" sourceLinked="1"/>
        <c:majorTickMark val="out"/>
        <c:minorTickMark val="none"/>
        <c:tickLblPos val="none"/>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917511280"/>
        <c:crosses val="max"/>
        <c:crossBetween val="between"/>
      </c:valAx>
      <c:catAx>
        <c:axId val="917511280"/>
        <c:scaling>
          <c:orientation val="minMax"/>
        </c:scaling>
        <c:delete val="1"/>
        <c:axPos val="b"/>
        <c:numFmt formatCode="General" sourceLinked="1"/>
        <c:majorTickMark val="out"/>
        <c:minorTickMark val="none"/>
        <c:tickLblPos val="nextTo"/>
        <c:crossAx val="917505704"/>
        <c:crosses val="autoZero"/>
        <c:auto val="1"/>
        <c:lblAlgn val="ctr"/>
        <c:lblOffset val="100"/>
        <c:noMultiLvlLbl val="0"/>
      </c:catAx>
      <c:spPr>
        <a:noFill/>
        <a:ln>
          <a:noFill/>
        </a:ln>
        <a:effectLst/>
      </c:spPr>
    </c:plotArea>
    <c:plotVisOnly val="1"/>
    <c:dispBlanksAs val="gap"/>
    <c:showDLblsOverMax val="0"/>
  </c:chart>
  <c:spPr>
    <a:solidFill>
      <a:schemeClr val="bg1"/>
    </a:solidFill>
    <a:ln w="3175" cap="flat" cmpd="sng" algn="ctr">
      <a:solidFill>
        <a:schemeClr val="bg1">
          <a:lumMod val="7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GB" sz="1100"/>
              <a:t>Coffee</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Charts2!$F$63</c:f>
              <c:strCache>
                <c:ptCount val="1"/>
                <c:pt idx="0">
                  <c:v>000 Ha/y</c:v>
                </c:pt>
              </c:strCache>
            </c:strRef>
          </c:tx>
          <c:spPr>
            <a:solidFill>
              <a:schemeClr val="bg1">
                <a:lumMod val="85000"/>
              </a:schemeClr>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DA93-492C-8EF8-A3FDFECBE662}"/>
              </c:ext>
            </c:extLst>
          </c:dPt>
          <c:cat>
            <c:strRef>
              <c:f>Charts2!$E$64:$E$67</c:f>
              <c:strCache>
                <c:ptCount val="4"/>
                <c:pt idx="0">
                  <c:v>EU27</c:v>
                </c:pt>
                <c:pt idx="1">
                  <c:v>USA</c:v>
                </c:pt>
                <c:pt idx="2">
                  <c:v>Algeria</c:v>
                </c:pt>
                <c:pt idx="3">
                  <c:v>RoW</c:v>
                </c:pt>
              </c:strCache>
            </c:strRef>
          </c:cat>
          <c:val>
            <c:numRef>
              <c:f>Charts2!$F$64:$F$67</c:f>
              <c:numCache>
                <c:formatCode>0</c:formatCode>
                <c:ptCount val="4"/>
                <c:pt idx="0">
                  <c:v>13.96775960936472</c:v>
                </c:pt>
                <c:pt idx="1">
                  <c:v>4.8805223830372242</c:v>
                </c:pt>
                <c:pt idx="2">
                  <c:v>3.3098791494663189</c:v>
                </c:pt>
                <c:pt idx="3">
                  <c:v>9.2955580706225245</c:v>
                </c:pt>
              </c:numCache>
            </c:numRef>
          </c:val>
          <c:extLst>
            <c:ext xmlns:c16="http://schemas.microsoft.com/office/drawing/2014/chart" uri="{C3380CC4-5D6E-409C-BE32-E72D297353CC}">
              <c16:uniqueId val="{00000002-DA93-492C-8EF8-A3FDFECBE662}"/>
            </c:ext>
          </c:extLst>
        </c:ser>
        <c:dLbls>
          <c:showLegendKey val="0"/>
          <c:showVal val="0"/>
          <c:showCatName val="0"/>
          <c:showSerName val="0"/>
          <c:showPercent val="0"/>
          <c:showBubbleSize val="0"/>
        </c:dLbls>
        <c:gapWidth val="150"/>
        <c:axId val="1097822232"/>
        <c:axId val="1097826496"/>
      </c:barChart>
      <c:lineChart>
        <c:grouping val="standard"/>
        <c:varyColors val="0"/>
        <c:ser>
          <c:idx val="1"/>
          <c:order val="1"/>
          <c:tx>
            <c:strRef>
              <c:f>Charts2!$G$63</c:f>
              <c:strCache>
                <c:ptCount val="1"/>
                <c:pt idx="0">
                  <c:v>%</c:v>
                </c:pt>
              </c:strCache>
            </c:strRef>
          </c:tx>
          <c:spPr>
            <a:ln w="25400"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Charts2!$E$64:$E$67</c:f>
              <c:strCache>
                <c:ptCount val="4"/>
                <c:pt idx="0">
                  <c:v>EU27</c:v>
                </c:pt>
                <c:pt idx="1">
                  <c:v>USA</c:v>
                </c:pt>
                <c:pt idx="2">
                  <c:v>Algeria</c:v>
                </c:pt>
                <c:pt idx="3">
                  <c:v>RoW</c:v>
                </c:pt>
              </c:strCache>
            </c:strRef>
          </c:cat>
          <c:val>
            <c:numRef>
              <c:f>Charts2!$G$64:$G$67</c:f>
              <c:numCache>
                <c:formatCode>0%</c:formatCode>
                <c:ptCount val="4"/>
                <c:pt idx="0">
                  <c:v>0.44407338652078676</c:v>
                </c:pt>
                <c:pt idx="1">
                  <c:v>0.15516519207366389</c:v>
                </c:pt>
                <c:pt idx="2">
                  <c:v>0.10523013596916422</c:v>
                </c:pt>
                <c:pt idx="3">
                  <c:v>0.29553128543638513</c:v>
                </c:pt>
              </c:numCache>
            </c:numRef>
          </c:val>
          <c:smooth val="0"/>
          <c:extLst>
            <c:ext xmlns:c16="http://schemas.microsoft.com/office/drawing/2014/chart" uri="{C3380CC4-5D6E-409C-BE32-E72D297353CC}">
              <c16:uniqueId val="{00000003-DA93-492C-8EF8-A3FDFECBE662}"/>
            </c:ext>
          </c:extLst>
        </c:ser>
        <c:dLbls>
          <c:showLegendKey val="0"/>
          <c:showVal val="0"/>
          <c:showCatName val="0"/>
          <c:showSerName val="0"/>
          <c:showPercent val="0"/>
          <c:showBubbleSize val="0"/>
        </c:dLbls>
        <c:marker val="1"/>
        <c:smooth val="0"/>
        <c:axId val="917511280"/>
        <c:axId val="917505704"/>
      </c:lineChart>
      <c:catAx>
        <c:axId val="1097822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097826496"/>
        <c:crosses val="autoZero"/>
        <c:auto val="1"/>
        <c:lblAlgn val="ctr"/>
        <c:lblOffset val="100"/>
        <c:noMultiLvlLbl val="0"/>
      </c:catAx>
      <c:valAx>
        <c:axId val="1097826496"/>
        <c:scaling>
          <c:orientation val="minMax"/>
          <c:max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GB" sz="800"/>
                  <a:t>000</a:t>
                </a:r>
                <a:r>
                  <a:rPr lang="en-GB" sz="800" baseline="0"/>
                  <a:t> Ha/y</a:t>
                </a:r>
                <a:endParaRPr lang="en-GB" sz="800"/>
              </a:p>
            </c:rich>
          </c:tx>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097822232"/>
        <c:crosses val="autoZero"/>
        <c:crossBetween val="between"/>
      </c:valAx>
      <c:valAx>
        <c:axId val="917505704"/>
        <c:scaling>
          <c:orientation val="minMax"/>
          <c:max val="0.65000000000000013"/>
          <c:min val="0"/>
        </c:scaling>
        <c:delete val="0"/>
        <c:axPos val="r"/>
        <c:numFmt formatCode="0%" sourceLinked="1"/>
        <c:majorTickMark val="out"/>
        <c:minorTickMark val="none"/>
        <c:tickLblPos val="none"/>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917511280"/>
        <c:crosses val="max"/>
        <c:crossBetween val="between"/>
      </c:valAx>
      <c:catAx>
        <c:axId val="917511280"/>
        <c:scaling>
          <c:orientation val="minMax"/>
        </c:scaling>
        <c:delete val="1"/>
        <c:axPos val="b"/>
        <c:numFmt formatCode="General" sourceLinked="1"/>
        <c:majorTickMark val="out"/>
        <c:minorTickMark val="none"/>
        <c:tickLblPos val="nextTo"/>
        <c:crossAx val="917505704"/>
        <c:crosses val="autoZero"/>
        <c:auto val="1"/>
        <c:lblAlgn val="ctr"/>
        <c:lblOffset val="100"/>
        <c:noMultiLvlLbl val="0"/>
      </c:catAx>
      <c:spPr>
        <a:noFill/>
        <a:ln>
          <a:noFill/>
        </a:ln>
        <a:effectLst/>
      </c:spPr>
    </c:plotArea>
    <c:plotVisOnly val="1"/>
    <c:dispBlanksAs val="gap"/>
    <c:showDLblsOverMax val="0"/>
  </c:chart>
  <c:spPr>
    <a:solidFill>
      <a:schemeClr val="bg1"/>
    </a:solidFill>
    <a:ln w="3175" cap="flat" cmpd="sng" algn="ctr">
      <a:solidFill>
        <a:schemeClr val="bg1">
          <a:lumMod val="7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a:t>Import of commodities by the EU and the rest of the world</a:t>
            </a:r>
          </a:p>
        </c:rich>
      </c:tx>
      <c:layout/>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 Quantity'!$A$6</c:f>
              <c:strCache>
                <c:ptCount val="1"/>
                <c:pt idx="0">
                  <c:v>Rest of the world</c:v>
                </c:pt>
              </c:strCache>
            </c:strRef>
          </c:tx>
          <c:spPr>
            <a:ln w="28575" cap="rnd">
              <a:solidFill>
                <a:schemeClr val="accent1"/>
              </a:solidFill>
              <a:round/>
            </a:ln>
            <a:effectLst/>
          </c:spPr>
          <c:marker>
            <c:symbol val="none"/>
          </c:marker>
          <c:cat>
            <c:numRef>
              <c:f>'Graph Quantity'!$B$5:$K$5</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'Graph Quantity'!$B$6:$K$6</c:f>
              <c:numCache>
                <c:formatCode>0</c:formatCode>
                <c:ptCount val="10"/>
                <c:pt idx="0" formatCode="General">
                  <c:v>100</c:v>
                </c:pt>
                <c:pt idx="1">
                  <c:v>106.18265762751649</c:v>
                </c:pt>
                <c:pt idx="2">
                  <c:v>123.17321767680441</c:v>
                </c:pt>
                <c:pt idx="3">
                  <c:v>122.45336500030558</c:v>
                </c:pt>
                <c:pt idx="4">
                  <c:v>131.12685826397788</c:v>
                </c:pt>
                <c:pt idx="5">
                  <c:v>140.20433205773048</c:v>
                </c:pt>
                <c:pt idx="6">
                  <c:v>152.69513672023209</c:v>
                </c:pt>
                <c:pt idx="7">
                  <c:v>169.27975475548791</c:v>
                </c:pt>
                <c:pt idx="8">
                  <c:v>169.74069372013392</c:v>
                </c:pt>
                <c:pt idx="9">
                  <c:v>188.23659451973208</c:v>
                </c:pt>
              </c:numCache>
            </c:numRef>
          </c:val>
          <c:smooth val="0"/>
          <c:extLst>
            <c:ext xmlns:c16="http://schemas.microsoft.com/office/drawing/2014/chart" uri="{C3380CC4-5D6E-409C-BE32-E72D297353CC}">
              <c16:uniqueId val="{00000000-D82B-4F27-97AE-2E274747F526}"/>
            </c:ext>
          </c:extLst>
        </c:ser>
        <c:ser>
          <c:idx val="1"/>
          <c:order val="1"/>
          <c:tx>
            <c:strRef>
              <c:f>'Graph Quantity'!$A$7</c:f>
              <c:strCache>
                <c:ptCount val="1"/>
                <c:pt idx="0">
                  <c:v>EU27</c:v>
                </c:pt>
              </c:strCache>
            </c:strRef>
          </c:tx>
          <c:spPr>
            <a:ln w="28575" cap="rnd">
              <a:solidFill>
                <a:schemeClr val="accent2"/>
              </a:solidFill>
              <a:round/>
            </a:ln>
            <a:effectLst/>
          </c:spPr>
          <c:marker>
            <c:symbol val="none"/>
          </c:marker>
          <c:cat>
            <c:numRef>
              <c:f>'Graph Quantity'!$B$5:$K$5</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'Graph Quantity'!$B$7:$K$7</c:f>
              <c:numCache>
                <c:formatCode>0</c:formatCode>
                <c:ptCount val="10"/>
                <c:pt idx="0" formatCode="General">
                  <c:v>100</c:v>
                </c:pt>
                <c:pt idx="1">
                  <c:v>94.318730410129845</c:v>
                </c:pt>
                <c:pt idx="2">
                  <c:v>98.330872298256281</c:v>
                </c:pt>
                <c:pt idx="3">
                  <c:v>95.554322785067612</c:v>
                </c:pt>
                <c:pt idx="4">
                  <c:v>95.368545662306374</c:v>
                </c:pt>
                <c:pt idx="5">
                  <c:v>95.866078324399766</c:v>
                </c:pt>
                <c:pt idx="6">
                  <c:v>95.583998200420012</c:v>
                </c:pt>
                <c:pt idx="7">
                  <c:v>97.42767193638592</c:v>
                </c:pt>
                <c:pt idx="8">
                  <c:v>97.779773728093062</c:v>
                </c:pt>
                <c:pt idx="9">
                  <c:v>97.849598330606824</c:v>
                </c:pt>
              </c:numCache>
            </c:numRef>
          </c:val>
          <c:smooth val="0"/>
          <c:extLst>
            <c:ext xmlns:c16="http://schemas.microsoft.com/office/drawing/2014/chart" uri="{C3380CC4-5D6E-409C-BE32-E72D297353CC}">
              <c16:uniqueId val="{00000001-D82B-4F27-97AE-2E274747F526}"/>
            </c:ext>
          </c:extLst>
        </c:ser>
        <c:dLbls>
          <c:showLegendKey val="0"/>
          <c:showVal val="0"/>
          <c:showCatName val="0"/>
          <c:showSerName val="0"/>
          <c:showPercent val="0"/>
          <c:showBubbleSize val="0"/>
        </c:dLbls>
        <c:smooth val="0"/>
        <c:axId val="380284224"/>
        <c:axId val="380289144"/>
      </c:lineChart>
      <c:catAx>
        <c:axId val="38028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80289144"/>
        <c:crosses val="autoZero"/>
        <c:auto val="1"/>
        <c:lblAlgn val="ctr"/>
        <c:lblOffset val="100"/>
        <c:noMultiLvlLbl val="0"/>
      </c:catAx>
      <c:valAx>
        <c:axId val="380289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802842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r>
              <a:rPr lang="en-GB"/>
              <a:t>Individual share of EU-embodied deforestation due to the eight pre-selected commodities between 2008-2017</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'Per exporter 2008-2017'!$A$3</c:f>
              <c:strCache>
                <c:ptCount val="1"/>
                <c:pt idx="0">
                  <c:v>Commodities responsible for risk of embodied deforestation of EU imports 2008-2017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661-420C-A74D-D3850A9938D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661-420C-A74D-D3850A9938D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661-420C-A74D-D3850A9938D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661-420C-A74D-D3850A9938D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661-420C-A74D-D3850A9938D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661-420C-A74D-D3850A9938D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D661-420C-A74D-D3850A9938DA}"/>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D661-420C-A74D-D3850A9938DA}"/>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'Per exporter 2008-2017'!$B$2:$I$2</c:f>
              <c:strCache>
                <c:ptCount val="8"/>
                <c:pt idx="0">
                  <c:v>Palm oil</c:v>
                </c:pt>
                <c:pt idx="1">
                  <c:v>Soy</c:v>
                </c:pt>
                <c:pt idx="2">
                  <c:v>Wood</c:v>
                </c:pt>
                <c:pt idx="3">
                  <c:v>Cocoa</c:v>
                </c:pt>
                <c:pt idx="4">
                  <c:v>Coffee</c:v>
                </c:pt>
                <c:pt idx="5">
                  <c:v>Beef</c:v>
                </c:pt>
                <c:pt idx="6">
                  <c:v>Rubber</c:v>
                </c:pt>
                <c:pt idx="7">
                  <c:v>Maize</c:v>
                </c:pt>
              </c:strCache>
            </c:strRef>
          </c:cat>
          <c:val>
            <c:numRef>
              <c:f>'Per exporter 2008-2017'!$B$3:$I$3</c:f>
              <c:numCache>
                <c:formatCode>0.00</c:formatCode>
                <c:ptCount val="8"/>
                <c:pt idx="0">
                  <c:v>33.951665527716784</c:v>
                </c:pt>
                <c:pt idx="1">
                  <c:v>32.830711166819931</c:v>
                </c:pt>
                <c:pt idx="2">
                  <c:v>8.6160907598419296</c:v>
                </c:pt>
                <c:pt idx="3">
                  <c:v>7.5426538303770139</c:v>
                </c:pt>
                <c:pt idx="4">
                  <c:v>7.008819625300875</c:v>
                </c:pt>
                <c:pt idx="5">
                  <c:v>5.0056982826069909</c:v>
                </c:pt>
                <c:pt idx="6">
                  <c:v>3.427472704665592</c:v>
                </c:pt>
                <c:pt idx="7">
                  <c:v>1.6164368852465614</c:v>
                </c:pt>
              </c:numCache>
            </c:numRef>
          </c:val>
          <c:extLst>
            <c:ext xmlns:c16="http://schemas.microsoft.com/office/drawing/2014/chart" uri="{C3380CC4-5D6E-409C-BE32-E72D297353CC}">
              <c16:uniqueId val="{00000010-D661-420C-A74D-D3850A9938D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B45CE35AD23C734EAEF0D72453580FCB" ma:contentTypeVersion="0" ma:contentTypeDescription="Create a new document in this library." ma:contentTypeScope="" ma:versionID="f0a89958ae16e65b0b5e332e38731222">
  <xsd:schema xmlns:xsd="http://www.w3.org/2001/XMLSchema" xmlns:xs="http://www.w3.org/2001/XMLSchema" xmlns:p="http://schemas.microsoft.com/office/2006/metadata/properties" xmlns:ns2="http://schemas.microsoft.com/sharepoint/v3/fields" xmlns:ns3="ab8809e1-2236-4ad4-b427-c3775de3e162" targetNamespace="http://schemas.microsoft.com/office/2006/metadata/properties" ma:root="true" ma:fieldsID="682b3a9de30045767d3ee38070c83321" ns2:_="" ns3:_="">
    <xsd:import namespace="http://schemas.microsoft.com/sharepoint/v3/fields"/>
    <xsd:import namespace="ab8809e1-2236-4ad4-b427-c3775de3e162"/>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b8809e1-2236-4ad4-b427-c3775de3e16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ab8809e1-2236-4ad4-b427-c3775de3e162">Not Started</EC_Collab_Status>
    <EC_Collab_DocumentLanguage xmlns="ab8809e1-2236-4ad4-b427-c3775de3e162">EN</EC_Collab_DocumentLanguage>
    <EC_Collab_Reference xmlns="ab8809e1-2236-4ad4-b427-c3775de3e1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Ach20</b:Tag>
    <b:SourceType>JournalArticle</b:SourceType>
    <b:Guid>{9EE60083-04EE-46BC-A73E-351C4719A85A}</b:Guid>
    <b:Title>Avoiding legality: Timber producers’strategies and motivations under FLEGT in Ghana and Indonesia</b:Title>
    <b:JournalName>Forest Policy and Economics</b:JournalName>
    <b:Year>2020</b:Year>
    <b:Pages>111 102047</b:Pages>
    <b:Author>
      <b:Author>
        <b:NameList>
          <b:Person>
            <b:Last>Acheampong</b:Last>
            <b:First>Emmanuel </b:First>
          </b:Person>
          <b:Person>
            <b:Last>Maryudi</b:Last>
            <b:First>Ahmad </b:First>
          </b:Person>
        </b:NameList>
      </b:Author>
    </b:Author>
    <b:RefOrder>7</b:RefOrder>
  </b:Source>
  <b:Source>
    <b:Tag>COW19</b:Tag>
    <b:SourceType>Report</b:SourceType>
    <b:Guid>{615AB568-8F4A-434C-B0AA-288E27AEEB83}</b:Guid>
    <b:Author>
      <b:Author>
        <b:Corporate>COWI A/S, Indufor &amp; Milieu</b:Corporate>
      </b:Author>
    </b:Author>
    <b:Title>Impact Assessment Study for the Revision of the Product Scope of the EU Timber Regulation</b:Title>
    <b:Year>2019</b:Year>
    <b:Publisher>European Commission</b:Publisher>
    <b:City>Brussels</b:City>
    <b:RefOrder>9</b:RefOrder>
  </b:Source>
</b:Sources>
</file>

<file path=customXml/itemProps1.xml><?xml version="1.0" encoding="utf-8"?>
<ds:datastoreItem xmlns:ds="http://schemas.openxmlformats.org/officeDocument/2006/customXml" ds:itemID="{C9B0D495-554C-4346-A35F-C208343D6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b8809e1-2236-4ad4-b427-c3775de3e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FD2B0-0E43-4278-A86A-C408C076AC4E}">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b8809e1-2236-4ad4-b427-c3775de3e162"/>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E99A4B6D-33F9-4413-B67C-EF8B72CAF554}">
  <ds:schemaRefs>
    <ds:schemaRef ds:uri="http://schemas.microsoft.com/sharepoint/v3/contenttype/forms"/>
  </ds:schemaRefs>
</ds:datastoreItem>
</file>

<file path=customXml/itemProps4.xml><?xml version="1.0" encoding="utf-8"?>
<ds:datastoreItem xmlns:ds="http://schemas.openxmlformats.org/officeDocument/2006/customXml" ds:itemID="{AEF2F998-6698-4EC9-AD51-C0A79E40E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87</Pages>
  <Words>30596</Words>
  <Characters>168282</Characters>
  <Application>Microsoft Office Word</Application>
  <DocSecurity>0</DocSecurity>
  <Lines>3236</Lines>
  <Paragraphs>1041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IA SWD</dc:description>
  <cp:lastModifiedBy>PAREDES ECHAURI Cristina (SG)</cp:lastModifiedBy>
  <cp:revision>30</cp:revision>
  <cp:lastPrinted>2021-11-10T10:36:00Z</cp:lastPrinted>
  <dcterms:created xsi:type="dcterms:W3CDTF">2021-11-14T16:42:00Z</dcterms:created>
  <dcterms:modified xsi:type="dcterms:W3CDTF">2021-11-16T08:33:00Z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2</vt:lpwstr>
  </property>
  <property fmtid="{D5CDD505-2E9C-101B-9397-08002B2CF9AE}" pid="4" name="Level of sensitivity">
    <vt:lpwstr>Standard treatment</vt:lpwstr>
  </property>
  <property fmtid="{D5CDD505-2E9C-101B-9397-08002B2CF9AE}" pid="5" name="CPTemplateID">
    <vt:lpwstr>CP-026</vt:lpwstr>
  </property>
  <property fmtid="{D5CDD505-2E9C-101B-9397-08002B2CF9AE}" pid="6" name="Last edited using">
    <vt:lpwstr>LW 7.0.1, Build 20200226</vt:lpwstr>
  </property>
  <property fmtid="{D5CDD505-2E9C-101B-9397-08002B2CF9AE}" pid="7" name="DocStatus">
    <vt:lpwstr>Green</vt:lpwstr>
  </property>
  <property fmtid="{D5CDD505-2E9C-101B-9397-08002B2CF9AE}" pid="8" name="_LW_INVALIDATED__LW_INVALIDATED__LW_INVALIDATED__LW_INVALIDATED__LW_INVALIDATED__LW_INVALIDATED__LW_INVALIDATED_ContentTypeId">
    <vt:lpwstr>0x010100258AA79CEB83498886A3A0868112325000B45CE35AD23C734EAEF0D72453580FCB</vt:lpwstr>
  </property>
  <property fmtid="{D5CDD505-2E9C-101B-9397-08002B2CF9AE}" pid="9" name="_LW_INVALIDATED__LW_INVALIDATED__LW_INVALIDATED__LW_INVALIDATED__LW_INVALIDATED_ContentTypeId">
    <vt:lpwstr>0x010100258AA79CEB83498886A3A0868112325000B45CE35AD23C734EAEF0D72453580FCB</vt:lpwstr>
  </property>
  <property fmtid="{D5CDD505-2E9C-101B-9397-08002B2CF9AE}" pid="10" name="_LW_INVALIDATED__LW_INVALIDATED__LW_INVALIDATED__LW_INVALIDATED_ContentTypeId">
    <vt:lpwstr>0x010100258AA79CEB83498886A3A0868112325000B45CE35AD23C734EAEF0D72453580FCB</vt:lpwstr>
  </property>
</Properties>
</file>