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1C263" w14:textId="011AE5D9" w:rsidR="007553FA" w:rsidRPr="006E6037" w:rsidRDefault="007318B7" w:rsidP="007318B7">
      <w:pPr>
        <w:pStyle w:val="Pagedecouverture"/>
        <w:rPr>
          <w:noProof/>
        </w:rPr>
      </w:pPr>
      <w:bookmarkStart w:id="0" w:name="LW_BM_COVERPAGE"/>
      <w:r>
        <w:rPr>
          <w:noProof/>
        </w:rPr>
        <w:pict w14:anchorId="0532F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5C3D83C7-B12B-428E-8EB7-60E2B563DE04" style="width:455.25pt;height:399pt">
            <v:imagedata r:id="rId10" o:title=""/>
          </v:shape>
        </w:pict>
      </w:r>
    </w:p>
    <w:bookmarkEnd w:id="0"/>
    <w:p w14:paraId="666B3C62" w14:textId="77777777" w:rsidR="007553FA" w:rsidRPr="006E6037" w:rsidRDefault="007553FA" w:rsidP="007553FA">
      <w:pPr>
        <w:rPr>
          <w:noProof/>
          <w:lang w:val="en-GB"/>
        </w:rPr>
        <w:sectPr w:rsidR="007553FA" w:rsidRPr="006E6037" w:rsidSect="007318B7">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14:paraId="3AF87570" w14:textId="77777777" w:rsidR="00A22F7B" w:rsidRPr="006E6037" w:rsidRDefault="00393A5B" w:rsidP="00393A5B">
      <w:pPr>
        <w:jc w:val="center"/>
        <w:rPr>
          <w:rFonts w:ascii="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A. EU:n toimien tarve</w:t>
      </w:r>
    </w:p>
    <w:p w14:paraId="68BE0A80" w14:textId="5277901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Mihin ongelmaan puututaan?</w:t>
      </w:r>
    </w:p>
    <w:p w14:paraId="5DA5AEE8" w14:textId="6D228BF7" w:rsidR="00393A5B" w:rsidRDefault="006E6037" w:rsidP="006E6037">
      <w:pPr>
        <w:jc w:val="both"/>
        <w:rPr>
          <w:rFonts w:ascii="Times New Roman" w:hAnsi="Times New Roman" w:cs="Times New Roman"/>
          <w:bCs/>
          <w:noProof/>
          <w:sz w:val="24"/>
          <w:szCs w:val="24"/>
        </w:rPr>
      </w:pPr>
      <w:r>
        <w:rPr>
          <w:rFonts w:ascii="Times New Roman" w:hAnsi="Times New Roman"/>
          <w:bCs/>
          <w:noProof/>
          <w:sz w:val="24"/>
          <w:szCs w:val="24"/>
        </w:rPr>
        <w:t>Osa työtä välittävien digitaalisten alustojen kautta työskentelevistä henkilöistä kärsii heikoista työoloista ja riittämättömästä sosiaaliturvan saatavuudesta. Monissa tapauksissa ongelma koskee näennäisesti itsenäisiä ammatinharjoittajia eli henkilöitä, joiden ammattiasema on luokiteltu virheellisesti. Alustojen kautta työskenteleviltä henkilöiltä, joiden ammattiasema on luokiteltu virheellisesti, puuttuvat työntekijöille kansallisen ja EU:n työvoimalainsäädännön nojalla kuuluvat oikeudet ja suoja, mutta myös aidosti itsenäisten ammatinharjoittajien itsemääräämisoikeus ja vahva työmarkkina-asema. On arvioitu, että alustojen kautta työskentelee EU:ssa noin 28 miljoonaa henkilöä. Näistä 22,5 miljoonan ammattiasema on todennäköisesti oikein määritetty, eli heidät on luokiteltu joko työntekijöiksi tai, kuten suurin osa, itsenäisiksi amma</w:t>
      </w:r>
      <w:r w:rsidR="00FD4495">
        <w:rPr>
          <w:rFonts w:ascii="Times New Roman" w:hAnsi="Times New Roman"/>
          <w:bCs/>
          <w:noProof/>
          <w:sz w:val="24"/>
          <w:szCs w:val="24"/>
        </w:rPr>
        <w:t>tinharjoittajiksi. Kaikkiaan 28 </w:t>
      </w:r>
      <w:r>
        <w:rPr>
          <w:rFonts w:ascii="Times New Roman" w:hAnsi="Times New Roman"/>
          <w:bCs/>
          <w:noProof/>
          <w:sz w:val="24"/>
          <w:szCs w:val="24"/>
        </w:rPr>
        <w:t>miljoonan henkilön joukossa on kuitenkin peräti 5,5 miljoonaa henkilöä, joiden ammattiasema on saatettu määrittää virheellisesti. Ammattiaseman virheellisestä luokittelusta alustatyössä on tehty EU:ssa yli sata tuomioistuimen päätöstä ja 15 hallinnollista päätöstä.</w:t>
      </w:r>
    </w:p>
    <w:p w14:paraId="3833F564" w14:textId="38B20BAC" w:rsidR="006E6037" w:rsidRDefault="00FB425D" w:rsidP="006E6037">
      <w:pPr>
        <w:jc w:val="both"/>
        <w:rPr>
          <w:rFonts w:ascii="Times New Roman" w:hAnsi="Times New Roman" w:cs="Times New Roman"/>
          <w:bCs/>
          <w:noProof/>
          <w:sz w:val="24"/>
          <w:szCs w:val="24"/>
        </w:rPr>
      </w:pPr>
      <w:r>
        <w:rPr>
          <w:rFonts w:ascii="Times New Roman" w:hAnsi="Times New Roman"/>
          <w:bCs/>
          <w:noProof/>
          <w:sz w:val="24"/>
          <w:szCs w:val="24"/>
        </w:rPr>
        <w:t xml:space="preserve">Osa ihmisistä kokee olevansa alustan jonkinasteisen määräysvallan kohteena, kun alusta, jonka kautta he työskentelevät, käyttää algoritmeja työtehtävien jakamiseen, seurantaan, valvontaan, arviointiin ja seurauksiltaan mahdollisesti ikävien johtopäätösten tekemiseen. Tällaisella algoritmijohtamisella voi olla kielteisiä vaikutuksia henkilöiden työoloihin, ja se kasvattaa ammattiaseman virheellisen luokittelun riskiä, kun alisteisen aseman olemassaoloa hämärretään monimutkaisilla digitaalisilla järjestelyillä. Alustojen kautta työskentelevien henkilöiden on tiedettävä, kuinka heidän käyttäytymisensä vaikuttaa algoritmien avulla päätettävään työtehtävien myöhempään jakamiseen, sillä tämä vaikuttaa heidän tuloihinsa ammattiasemasta riippumatta. Algoritmijohtamisen haasteet koskevat siis kaikkia alustojen kautta työskenteleviä, niin työntekijöitä kuin itsenäisiä ammatinharjoittajia. </w:t>
      </w:r>
    </w:p>
    <w:p w14:paraId="3C59C183" w14:textId="45746834" w:rsidR="00FB425D" w:rsidRDefault="003451B8" w:rsidP="006E6037">
      <w:pPr>
        <w:jc w:val="both"/>
        <w:rPr>
          <w:rFonts w:ascii="Times New Roman" w:hAnsi="Times New Roman" w:cs="Times New Roman"/>
          <w:bCs/>
          <w:noProof/>
          <w:sz w:val="24"/>
          <w:szCs w:val="24"/>
        </w:rPr>
      </w:pPr>
      <w:r>
        <w:rPr>
          <w:rFonts w:ascii="Times New Roman" w:hAnsi="Times New Roman"/>
          <w:bCs/>
          <w:noProof/>
          <w:sz w:val="24"/>
          <w:szCs w:val="24"/>
        </w:rPr>
        <w:t>Työoloihin ja sosiaaliturvan saatavuuteen vaikuttavat myös hankaluudet nykyisten velvoitteiden täytäntöönpanossa, jotka johtuvat ongelmista alustatyön läpinäkyvyydessä ja jäljitettävyydessä, ja tämä koskee myös rajatylittäviä tilanteita. Kansallisten viranomaisten on vaikeaa saada tietoa alustoista ja niiden kautta työskentelevistä ihmisistä sekä alustojen sopimusehdoista. Jäljitettävyysongelmilla on merkitystä etenkin silloin, kun alusta toimii yli rajojen useissa jäsenvaltioissa, jolloin ei ole selvää, kuka alustatyötä tekee ja missä. Tavoitteena olisi oltava oikeusvarmuuden parantaminen, työtä välittävien digitaalisten alustojen ja palveluja verkon ulkopuolella tarjoavien toimijoiden toimintaedellytysten tasapuolistaminen sekä työtä välittävien digitaalisten alustojen kestävän kasvun tukeminen unionissa.</w:t>
      </w:r>
    </w:p>
    <w:p w14:paraId="5A61A3AB"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Mitä toimenpiteellä on tarkoitus saada aikaan?</w:t>
      </w:r>
    </w:p>
    <w:p w14:paraId="6ED0B23B" w14:textId="44A9A752" w:rsidR="00305775" w:rsidRDefault="00305775" w:rsidP="00305775">
      <w:pPr>
        <w:jc w:val="both"/>
        <w:rPr>
          <w:rFonts w:ascii="Times New Roman" w:hAnsi="Times New Roman" w:cs="Times New Roman"/>
          <w:bCs/>
          <w:noProof/>
          <w:sz w:val="24"/>
          <w:szCs w:val="24"/>
        </w:rPr>
      </w:pPr>
      <w:r>
        <w:rPr>
          <w:rFonts w:ascii="Times New Roman" w:hAnsi="Times New Roman"/>
          <w:bCs/>
          <w:noProof/>
          <w:sz w:val="24"/>
          <w:szCs w:val="24"/>
        </w:rPr>
        <w:t>Aloitteen yleisenä tavoitteena on kohentaa työtä välittävien digitaalisten alustojen kautta työskentelevien henkilöiden työoloja ja sosiaalisia oikeuksia tavalla, joka tukee myös EU:ssa toimivien työtä välittävien digitaalisten alustojen kestävän kasvun edellytyksiä.</w:t>
      </w:r>
      <w:r>
        <w:rPr>
          <w:noProof/>
        </w:rPr>
        <w:t xml:space="preserve"> </w:t>
      </w:r>
      <w:r>
        <w:rPr>
          <w:rFonts w:ascii="Times New Roman" w:hAnsi="Times New Roman"/>
          <w:bCs/>
          <w:noProof/>
          <w:sz w:val="24"/>
          <w:szCs w:val="24"/>
        </w:rPr>
        <w:t>Aloitteen erityisinä tavoitteina on i) varmistaa, että alustojen kautta työskentelevien henkilöiden ammattiasema on oikein määritetty sen perusteella, mikä on heidän tosiasiallinen suhteensa näihin alustoihin, ja että he saavat nauttia heihin sovellettavista työntekijöiden oikeuksista ja sosiaaliturvaoikeuksista, ii) taata läpinäkyvyys, oikeudenmukaisuus ja vastuuvelvollisuus alustatyössä käytettävässä algoritmijohtamisessa, sekä iii) lisätä alustatyön läpinäkyvyyttä ja jäljitettävyyttä ja tietoisuutta alustatyön kehityksestä sekä parantaa sovellettavien sääntöjen täytäntöönpanoa jokaisen alustojen kautta työskentelevän, myös rajojen yli toimivan, henkilön osalta.</w:t>
      </w:r>
    </w:p>
    <w:p w14:paraId="0BCA8ADF" w14:textId="77777777" w:rsidR="0030606C" w:rsidRPr="00FD4495" w:rsidRDefault="0030606C" w:rsidP="00305775">
      <w:pPr>
        <w:jc w:val="both"/>
        <w:rPr>
          <w:rFonts w:ascii="Times New Roman" w:hAnsi="Times New Roman" w:cs="Times New Roman"/>
          <w:bCs/>
          <w:noProof/>
          <w:sz w:val="24"/>
          <w:szCs w:val="24"/>
        </w:rPr>
      </w:pPr>
    </w:p>
    <w:p w14:paraId="57527CD7" w14:textId="280D3001"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Mitä lisäarvoa saadaan toimenpiteen toteuttamisesta EU:n tasolla?</w:t>
      </w:r>
    </w:p>
    <w:p w14:paraId="0648C5BA" w14:textId="11B7F27F" w:rsidR="0030606C" w:rsidRDefault="00006D33" w:rsidP="00F50ABA">
      <w:pPr>
        <w:jc w:val="both"/>
        <w:rPr>
          <w:rFonts w:ascii="Times New Roman" w:hAnsi="Times New Roman" w:cs="Times New Roman"/>
          <w:bCs/>
          <w:noProof/>
          <w:sz w:val="24"/>
          <w:szCs w:val="24"/>
        </w:rPr>
      </w:pPr>
      <w:r>
        <w:rPr>
          <w:rFonts w:ascii="Times New Roman" w:hAnsi="Times New Roman"/>
          <w:bCs/>
          <w:noProof/>
          <w:sz w:val="24"/>
          <w:szCs w:val="24"/>
        </w:rPr>
        <w:t xml:space="preserve">EU:n toimia tarvitaan, jotta voidaan saavuttaa EU:n perussopimuksiin pohjautuvat ydintavoitteet eli kestävän talouskasvun ja sosiaalisen edistyksen tukeminen (SEU-sopimuksen 3 artikla). Vain EU:n tason aloitteella voidaan vahvistaa yhteiset, kaikkiin EU:ssa toimiviin alustoihin sovellettavat säännöt sille, miten ammattiaseman virheellisen luokittelun riskiin voidaan puuttua, ja samalla torjua algoritmijohtamista koskevan nykyisen ja tulevan sääntelyn pirstaloitumista ja käsitellä alustatyön rajatylittäviä puolia. </w:t>
      </w:r>
    </w:p>
    <w:p w14:paraId="45CF325C" w14:textId="77777777" w:rsidR="00393A5B" w:rsidRPr="006E6037" w:rsidRDefault="00393A5B" w:rsidP="00393A5B">
      <w:pPr>
        <w:jc w:val="center"/>
        <w:rPr>
          <w:rFonts w:ascii="Times New Roman" w:hAnsi="Times New Roman" w:cs="Times New Roman"/>
          <w:b/>
          <w:bCs/>
          <w:noProof/>
          <w:sz w:val="24"/>
          <w:szCs w:val="24"/>
        </w:rPr>
      </w:pPr>
      <w:r>
        <w:rPr>
          <w:rFonts w:ascii="Times New Roman" w:hAnsi="Times New Roman"/>
          <w:b/>
          <w:bCs/>
          <w:noProof/>
          <w:sz w:val="24"/>
          <w:szCs w:val="24"/>
        </w:rPr>
        <w:t>B. Toimintavaihtoehdot</w:t>
      </w:r>
    </w:p>
    <w:p w14:paraId="38CBCA44"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Mitä lainsäädännöllisiä ja muita toimenpidevaihtoehtoja on harkittu? Onko jokin vaihtoehto arvioitu parhaaksi? Miksi?</w:t>
      </w:r>
    </w:p>
    <w:p w14:paraId="7D1B5A2E" w14:textId="63F9BA5C" w:rsidR="00E00AB8" w:rsidRDefault="000754E7" w:rsidP="000754E7">
      <w:pPr>
        <w:jc w:val="both"/>
        <w:rPr>
          <w:rFonts w:ascii="Times New Roman" w:hAnsi="Times New Roman" w:cs="Times New Roman"/>
          <w:bCs/>
          <w:noProof/>
          <w:sz w:val="24"/>
          <w:szCs w:val="24"/>
        </w:rPr>
      </w:pPr>
      <w:r>
        <w:rPr>
          <w:rFonts w:ascii="Times New Roman" w:hAnsi="Times New Roman"/>
          <w:bCs/>
          <w:noProof/>
          <w:sz w:val="24"/>
          <w:szCs w:val="24"/>
        </w:rPr>
        <w:t xml:space="preserve">Vaikutustenarvioinnissa tarkasteltiin kolmea toimintapoliittista osa-aluetta (A: virheellisen luokittelun riskin torjunta, B: algoritmijohtamiseen liittyvät ongelmat, C: täytäntöönpanon valvontaan, jäljitettävyyteen ja läpinäkyvyyteen liittyvät ongelmat, myös rajat ylittävissä tilanteissa), joita kaikkia tarvitaan havaittuihin ongelmiin puuttumiseksi. Näiden toimintapoliittisten osa-alueiden puitteissa tarkastellut toimintavaihtoehdot erosivat toisistaan henkilöllisen ja aineellisen soveltamisalansa osalta. Varhaisessa vaiheessa hylättiin vaihtoehdot, jotka koskivat työntekijän käsitteen määrittelemistä, kolmannen ammattiaseman vahvistamista EU:n tasolla tai ammattiasemaa koskevan kumoamattoman olettaman käyttöön ottamista. </w:t>
      </w:r>
    </w:p>
    <w:p w14:paraId="1D5FA1DB" w14:textId="36C968F0" w:rsidR="000754E7" w:rsidRDefault="00D911E0" w:rsidP="000754E7">
      <w:pPr>
        <w:jc w:val="both"/>
        <w:rPr>
          <w:rFonts w:ascii="Times New Roman" w:hAnsi="Times New Roman" w:cs="Times New Roman"/>
          <w:bCs/>
          <w:noProof/>
          <w:sz w:val="24"/>
          <w:szCs w:val="24"/>
        </w:rPr>
      </w:pPr>
      <w:r>
        <w:rPr>
          <w:rFonts w:ascii="Times New Roman" w:hAnsi="Times New Roman"/>
          <w:bCs/>
          <w:noProof/>
          <w:sz w:val="24"/>
          <w:szCs w:val="24"/>
        </w:rPr>
        <w:t xml:space="preserve">Toimintapoliittisella osa-alueella A (virheellisen luokittelun riskin torjunta) parhaaksi arvioitu vaihtoehto on </w:t>
      </w:r>
      <w:r>
        <w:rPr>
          <w:rFonts w:ascii="Times New Roman" w:hAnsi="Times New Roman"/>
          <w:b/>
          <w:bCs/>
          <w:noProof/>
          <w:sz w:val="24"/>
          <w:szCs w:val="24"/>
        </w:rPr>
        <w:t>kumottavissa oleva olettama, joka koskee vain sellaisia alustoja, joilla on tietynasteista määräysvaltaa</w:t>
      </w:r>
      <w:r>
        <w:rPr>
          <w:rFonts w:ascii="Times New Roman" w:hAnsi="Times New Roman"/>
          <w:bCs/>
          <w:noProof/>
          <w:sz w:val="24"/>
          <w:szCs w:val="24"/>
        </w:rPr>
        <w:t xml:space="preserve">. </w:t>
      </w:r>
      <w:r>
        <w:rPr>
          <w:rFonts w:ascii="Times New Roman" w:hAnsi="Times New Roman"/>
          <w:noProof/>
          <w:sz w:val="24"/>
        </w:rPr>
        <w:t xml:space="preserve">Vaihtoehtoon liittyy myös </w:t>
      </w:r>
      <w:r>
        <w:rPr>
          <w:rFonts w:ascii="Times New Roman" w:hAnsi="Times New Roman"/>
          <w:b/>
          <w:noProof/>
          <w:sz w:val="24"/>
        </w:rPr>
        <w:t>todistustaakan siirtäminen</w:t>
      </w:r>
      <w:r>
        <w:rPr>
          <w:rFonts w:ascii="Times New Roman" w:hAnsi="Times New Roman"/>
          <w:noProof/>
          <w:sz w:val="24"/>
        </w:rPr>
        <w:t>: jos olettama riitautetaan, työnantajiksi oletettujen alustojen vastuulla on osoittaa, ettei olettama pidä paikkaansa.</w:t>
      </w:r>
      <w:r>
        <w:rPr>
          <w:rFonts w:ascii="Times New Roman" w:hAnsi="Times New Roman"/>
          <w:noProof/>
          <w:color w:val="000000"/>
          <w:sz w:val="24"/>
          <w:szCs w:val="24"/>
        </w:rPr>
        <w:t xml:space="preserve"> </w:t>
      </w:r>
      <w:r>
        <w:rPr>
          <w:rFonts w:ascii="Times New Roman" w:hAnsi="Times New Roman"/>
          <w:bCs/>
          <w:noProof/>
          <w:sz w:val="24"/>
          <w:szCs w:val="24"/>
        </w:rPr>
        <w:t xml:space="preserve"> Toimintapoliittisella osa-alueella B (algoritmijohtaminen) parhaaksi arvioitu vaihtoehto on joukko läpinäkyvyyttä, kuulluksi tulemista, ihmisen suorittamaa valvontaa ja muutoksenhakua koskevia oikeuksia sekä työntekijöille että itsenäisille ammatinharjoittajille. </w:t>
      </w:r>
      <w:r>
        <w:rPr>
          <w:rFonts w:ascii="Times New Roman" w:hAnsi="Times New Roman"/>
          <w:noProof/>
          <w:sz w:val="24"/>
          <w:szCs w:val="24"/>
        </w:rPr>
        <w:t>Toimintapoliittisella osa-alueella C (täytäntöönpanon valvonta, jäljitettävyys ja läpinäkyvyys, myös rajat ylittävissä tilanteissa) parhaaksi arvioitu vaihtoehto on kokonaisuus, jossa selkeytetään velvoitetta ilmoittaa alustatyöstä viranomaisille, myös rajat ylittävissä tilanteissa, ja yhdistetään siihen alustojen velvoite julkistaa tietoa niin sopimusehdoistaan kuin alustojen kautta työskentelevien henkilöiden lukumäärästä, ammattiasemasta, sosiaaliturvasta ja muista asiaankuuluvista seikoista.</w:t>
      </w:r>
      <w:r>
        <w:rPr>
          <w:rFonts w:ascii="Times New Roman" w:hAnsi="Times New Roman"/>
          <w:bCs/>
          <w:noProof/>
          <w:sz w:val="24"/>
          <w:szCs w:val="24"/>
        </w:rPr>
        <w:t xml:space="preserve"> </w:t>
      </w:r>
    </w:p>
    <w:p w14:paraId="78D10DDF" w14:textId="0F7201D4" w:rsidR="00E00AB8" w:rsidRPr="00E00AB8" w:rsidRDefault="00E00AB8" w:rsidP="000754E7">
      <w:pPr>
        <w:jc w:val="both"/>
        <w:rPr>
          <w:rFonts w:ascii="Times New Roman" w:hAnsi="Times New Roman" w:cs="Times New Roman"/>
          <w:bCs/>
          <w:noProof/>
          <w:sz w:val="24"/>
          <w:szCs w:val="24"/>
        </w:rPr>
      </w:pPr>
      <w:r>
        <w:rPr>
          <w:rFonts w:ascii="Times New Roman" w:hAnsi="Times New Roman"/>
          <w:noProof/>
          <w:sz w:val="24"/>
          <w:szCs w:val="24"/>
        </w:rPr>
        <w:t xml:space="preserve">Oikeudellisen välineen valinnan osalta paketin perustana olisi direktiivi. Direktiivi katsotaan sopivimmaksi, oikeasuhteisimmaksi ja tehokkaimmaksi välineeksi aloitteen tavoitteiden saavuttamisessa. Direktiivissä voidaan säätää sitovista vähimmäisvaatimuksista, mutta samalla jätetään jäsenvaltioille liikkumavaraa, jotta ne voivat mukauttaa vaatimuksia omiin kansallisiin olosuhteisiinsa sopiviksi. </w:t>
      </w:r>
    </w:p>
    <w:p w14:paraId="070E1083"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Mitkä toimijat kannattavat mitäkin vaihtoehtoa?</w:t>
      </w:r>
    </w:p>
    <w:p w14:paraId="74F424DA" w14:textId="69C407BD" w:rsidR="0030606C" w:rsidRPr="00906BE8" w:rsidRDefault="00E00AB8" w:rsidP="00E00AB8">
      <w:pPr>
        <w:jc w:val="both"/>
        <w:rPr>
          <w:rFonts w:ascii="Times New Roman" w:eastAsia="Calibri" w:hAnsi="Times New Roman" w:cs="Times New Roman"/>
          <w:noProof/>
          <w:sz w:val="24"/>
          <w:szCs w:val="24"/>
        </w:rPr>
      </w:pPr>
      <w:r>
        <w:rPr>
          <w:rFonts w:ascii="Times New Roman" w:hAnsi="Times New Roman"/>
          <w:bCs/>
          <w:noProof/>
          <w:sz w:val="24"/>
          <w:szCs w:val="24"/>
        </w:rPr>
        <w:t xml:space="preserve">Toimintapoliittisten osa-alueiden A ja B parhaiksi arvioituja vaihtoehtoja kannattavat ammattijärjestöt, alustojen kautta työskentelevien henkilöiden edustajat sekä monet kansallisten viranomaisten edustajat ja eräät alustat. Useimmat sidosryhmät kiinnittivät vähemmän huomiota toimintapoliittisen osa-alueen C vaihtoehtoihin. Ammattijärjestöt kannattavat rajojen yli tehtävän alustatyön läpinäkyvyyden ja jäljitettävyyden lisäämistä. </w:t>
      </w:r>
      <w:r>
        <w:rPr>
          <w:rFonts w:ascii="Times New Roman" w:hAnsi="Times New Roman"/>
          <w:noProof/>
          <w:sz w:val="24"/>
          <w:szCs w:val="24"/>
        </w:rPr>
        <w:t xml:space="preserve">Kansallisten viranomaisten edustajat kannattavat alustoille määrättävää velvollisuutta julkistaa tiettyjä tietoja, jos tämä velvollisuus koskee vain tiettyä rajaa suurempia alustoja. Työnantajajärjestöt kannattavat virheellisen luokittelun riskiin puuttumista, vaikka ne katsovatkin, että asia olisi hoidettava kansallisella tasolla. Ne ovat yhtä mieltä tarpeesta lisätä läpinäkyvyyttä algoritmijohtamisessa ja painottavat, että tavoitteeseen pyrittäessä olisi otettava huomioon voimassa olevat säännökset. Parhaaksi arvioitu vaihtoehtojen kokonaisuus on oikeudenmukaisista työoloista, oikeuksista ja sosiaalisesta suojelusta alustatalouden työntekijöille 16. syyskuuta 2021 annetun Euroopan parlamentin päätöslauselman (2019/2186(INI)) mukainen. </w:t>
      </w:r>
    </w:p>
    <w:p w14:paraId="1E5DCDD1" w14:textId="77777777" w:rsidR="00393A5B" w:rsidRPr="006E6037" w:rsidRDefault="00393A5B" w:rsidP="00393A5B">
      <w:pPr>
        <w:jc w:val="center"/>
        <w:rPr>
          <w:rFonts w:ascii="Times New Roman" w:hAnsi="Times New Roman" w:cs="Times New Roman"/>
          <w:b/>
          <w:bCs/>
          <w:noProof/>
          <w:sz w:val="24"/>
          <w:szCs w:val="24"/>
        </w:rPr>
      </w:pPr>
      <w:r>
        <w:rPr>
          <w:rFonts w:ascii="Times New Roman" w:hAnsi="Times New Roman"/>
          <w:b/>
          <w:bCs/>
          <w:noProof/>
          <w:sz w:val="24"/>
          <w:szCs w:val="24"/>
        </w:rPr>
        <w:t>C. Parhaaksi arvioidun vaihtoehdon vaikutukset</w:t>
      </w:r>
    </w:p>
    <w:p w14:paraId="0FAD835A"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Mitkä ovat parhaaksi arvioidun vaihtoehdon hyödyt?</w:t>
      </w:r>
    </w:p>
    <w:p w14:paraId="0E94BE8F" w14:textId="2471FE29" w:rsidR="00A276E3" w:rsidRPr="00A276E3" w:rsidRDefault="00A276E3" w:rsidP="00A276E3">
      <w:pPr>
        <w:jc w:val="both"/>
        <w:rPr>
          <w:rFonts w:ascii="Times New Roman" w:hAnsi="Times New Roman" w:cs="Times New Roman"/>
          <w:bCs/>
          <w:noProof/>
          <w:sz w:val="24"/>
          <w:szCs w:val="24"/>
        </w:rPr>
      </w:pPr>
      <w:r>
        <w:rPr>
          <w:rFonts w:ascii="Times New Roman" w:hAnsi="Times New Roman"/>
          <w:bCs/>
          <w:noProof/>
          <w:sz w:val="24"/>
          <w:szCs w:val="24"/>
        </w:rPr>
        <w:t>Virheellisen luokittelun riskin torjumiseksi (toimintapoliittinen osa-alue A) toteutettavien toimien tuloksena arviolta 1,7–4,1 miljoonaa henkilöä luokitellaan uudelleen työntekijöiksi. Näin he saavat EU:n ja kansallisen työlainsäädännön mukaiset oikeudet ja suojelun. Alustojen kautta työskentelevien henkilöiden tulot saattavat kasvaa jopa 484 miljoonaa euroa vuodessa. Algoritmijohtamisen hyödyntämiseen alustatyössä liittyvien uusien oikeuksien (toimintapoliittinen osa-alue B) johdosta 28 miljoonan henkilön työolot saattavat kohentua. Velvoitteella ilmoittaa alustatyöstä viranomaisille ja julkistamista koskevat vaatimukset (toimintapoliittisen osa-alueen C parhaaksi katsottu vaihtoehtojen kokonaisuus) parannetaan epäsuorasti työoloja, oikeusvarmuutta ja liiketoiminnan läpinäkyvyyttä.</w:t>
      </w:r>
    </w:p>
    <w:p w14:paraId="7B5F2387"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Mitkä ovat parhaaksi arvioidun vaihtoehdon kustannukset?</w:t>
      </w:r>
    </w:p>
    <w:p w14:paraId="0BE2D8FF" w14:textId="30412442" w:rsidR="00393A5B" w:rsidRPr="00A276E3" w:rsidRDefault="00C0390E" w:rsidP="005970BA">
      <w:pPr>
        <w:jc w:val="both"/>
        <w:rPr>
          <w:rFonts w:ascii="Times New Roman" w:hAnsi="Times New Roman" w:cs="Times New Roman"/>
          <w:bCs/>
          <w:noProof/>
          <w:sz w:val="24"/>
          <w:szCs w:val="24"/>
        </w:rPr>
      </w:pPr>
      <w:r>
        <w:rPr>
          <w:rFonts w:ascii="Times New Roman" w:hAnsi="Times New Roman"/>
          <w:bCs/>
          <w:noProof/>
          <w:sz w:val="24"/>
          <w:szCs w:val="24"/>
        </w:rPr>
        <w:t>Virheellisen luokittelun riskin torjumiseksi (toimintapoliittinen osa-alue A) toteutettavien toimien tuloksena alustojen kustannukset saattaisivat kasvaa 1,9–4,5 miljardia euroa vuodessa. Alustoja käyttävät yritykset ja kuluttajat saattavat joutua vastaamaan osasta näistä kustannuksista riippuen siitä, päättävätkö alustat siirtää ne eteenpäin kolmansille osapuolille ja millä tavoin. Uudet algoritmijohtamiseen liittyvät oikeudet (toimintapoliittinen osa-alue B) sekä täytäntöönpanon valvontaa, läpinäkyvyyttä ja jäljitettävyyttä koskeva parhaaksi katsottu vaihtoehtojen kokonaisuus (toimintapoliittinen osa-alue C) aiheuttavat vain vähän kustannuksia.</w:t>
      </w:r>
    </w:p>
    <w:p w14:paraId="18AB784B"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Mitkä ovat vaikutukset yrityksiin, mukaan lukien pk-yritykset?</w:t>
      </w:r>
    </w:p>
    <w:p w14:paraId="05329DEE" w14:textId="573EF046" w:rsidR="00F461F0" w:rsidRDefault="00305565" w:rsidP="00FB425D">
      <w:pPr>
        <w:jc w:val="both"/>
        <w:rPr>
          <w:rFonts w:ascii="Times New Roman" w:hAnsi="Times New Roman" w:cs="Times New Roman"/>
          <w:bCs/>
          <w:noProof/>
          <w:sz w:val="24"/>
          <w:szCs w:val="24"/>
        </w:rPr>
      </w:pPr>
      <w:r>
        <w:rPr>
          <w:rFonts w:ascii="Times New Roman" w:hAnsi="Times New Roman"/>
          <w:bCs/>
          <w:noProof/>
          <w:sz w:val="24"/>
          <w:szCs w:val="24"/>
        </w:rPr>
        <w:t xml:space="preserve">Varovaisissa arvioissa on todettu, että EU:ssa toimii yli 500 alustaa, joista suurin osa välittää itse paikalla tuotettavia palveluja. Näistä noin 360 on pk-yrityksiä. Suuremmat alustat saattavat kilpailla epäreilusti pk-yritysten kanssa, minkä vuoksi pk-yritysten uskotaan hyötyvän tasapuolisista toimintaedellytyksistä. </w:t>
      </w:r>
    </w:p>
    <w:p w14:paraId="01E16E49"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Kohdistuuko jäsenvaltioiden budjettiin ja julkishallintoon merkittäviä vaikutuksia?</w:t>
      </w:r>
    </w:p>
    <w:p w14:paraId="40508A30" w14:textId="2427F4AD" w:rsidR="00393A5B" w:rsidRPr="00F461F0" w:rsidRDefault="00F461F0" w:rsidP="00F461F0">
      <w:pPr>
        <w:jc w:val="both"/>
        <w:rPr>
          <w:rFonts w:ascii="Times New Roman" w:hAnsi="Times New Roman" w:cs="Times New Roman"/>
          <w:bCs/>
          <w:noProof/>
          <w:sz w:val="24"/>
          <w:szCs w:val="24"/>
        </w:rPr>
      </w:pPr>
      <w:r>
        <w:rPr>
          <w:rFonts w:ascii="Times New Roman" w:hAnsi="Times New Roman"/>
          <w:bCs/>
          <w:noProof/>
          <w:sz w:val="24"/>
          <w:szCs w:val="24"/>
        </w:rPr>
        <w:t>Virheellisen luokittelun riskin torjumiseksi toteutettavien toimien tuloksena jäsenvaltioiden tulot (sosiaaliturvamaksuna ja veroina) kasvavat jopa neljä miljardia euroa vuodessa.</w:t>
      </w:r>
    </w:p>
    <w:p w14:paraId="6CD21899"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Onko toimenpiteellä muita merkittäviä vaikutuksia?</w:t>
      </w:r>
    </w:p>
    <w:p w14:paraId="6F914B93" w14:textId="2A801401" w:rsidR="0030606C" w:rsidRPr="00002AF7" w:rsidRDefault="00083CC0" w:rsidP="00002AF7">
      <w:pPr>
        <w:jc w:val="both"/>
        <w:rPr>
          <w:rFonts w:ascii="Times New Roman" w:hAnsi="Times New Roman" w:cs="Times New Roman"/>
          <w:bCs/>
          <w:noProof/>
          <w:sz w:val="24"/>
          <w:szCs w:val="24"/>
        </w:rPr>
      </w:pPr>
      <w:r>
        <w:rPr>
          <w:rFonts w:ascii="Times New Roman" w:hAnsi="Times New Roman"/>
          <w:bCs/>
          <w:noProof/>
          <w:sz w:val="24"/>
          <w:szCs w:val="24"/>
        </w:rPr>
        <w:t>Toimenpiteellä ei pitäisi olla muita merkittäviä vaikutuksia.</w:t>
      </w:r>
    </w:p>
    <w:p w14:paraId="3CC8D32B" w14:textId="77777777" w:rsidR="00393A5B" w:rsidRPr="006E6037" w:rsidRDefault="00393A5B" w:rsidP="00393A5B">
      <w:pPr>
        <w:jc w:val="center"/>
        <w:rPr>
          <w:rFonts w:ascii="Times New Roman" w:hAnsi="Times New Roman" w:cs="Times New Roman"/>
          <w:b/>
          <w:bCs/>
          <w:noProof/>
          <w:sz w:val="24"/>
          <w:szCs w:val="24"/>
        </w:rPr>
      </w:pPr>
      <w:r>
        <w:rPr>
          <w:rFonts w:ascii="Times New Roman" w:hAnsi="Times New Roman"/>
          <w:b/>
          <w:bCs/>
          <w:noProof/>
          <w:sz w:val="24"/>
          <w:szCs w:val="24"/>
        </w:rPr>
        <w:t>D. Seuranta</w:t>
      </w:r>
    </w:p>
    <w:p w14:paraId="7F59FA53" w14:textId="77777777" w:rsidR="00393A5B" w:rsidRPr="006E6037" w:rsidRDefault="00393A5B" w:rsidP="00393A5B">
      <w:pPr>
        <w:rPr>
          <w:rFonts w:ascii="Times New Roman" w:hAnsi="Times New Roman" w:cs="Times New Roman"/>
          <w:noProof/>
          <w:sz w:val="24"/>
          <w:szCs w:val="24"/>
        </w:rPr>
      </w:pPr>
      <w:r>
        <w:rPr>
          <w:rFonts w:ascii="Times New Roman" w:hAnsi="Times New Roman"/>
          <w:b/>
          <w:bCs/>
          <w:noProof/>
          <w:sz w:val="24"/>
          <w:szCs w:val="24"/>
        </w:rPr>
        <w:t>Milloin asiaa tarkastellaan uudelleen?</w:t>
      </w:r>
    </w:p>
    <w:p w14:paraId="39E53CF6" w14:textId="71ABAD03" w:rsidR="00393A5B" w:rsidRPr="006E6037" w:rsidRDefault="0036431B" w:rsidP="00420B5C">
      <w:pPr>
        <w:jc w:val="both"/>
        <w:rPr>
          <w:rFonts w:ascii="Times New Roman" w:hAnsi="Times New Roman" w:cs="Times New Roman"/>
          <w:noProof/>
          <w:sz w:val="24"/>
          <w:szCs w:val="24"/>
        </w:rPr>
      </w:pPr>
      <w:r>
        <w:rPr>
          <w:rFonts w:ascii="Times New Roman" w:hAnsi="Times New Roman"/>
          <w:noProof/>
          <w:sz w:val="24"/>
          <w:szCs w:val="24"/>
        </w:rPr>
        <w:t>Direktiiviä on tarkoitus arvioida uudelleen viiden vuoden kuluttua sen voimaantulosta. Tässä otetaan huomioon kahden vuoden määräaika, jonka kuluessa jäsenvaltioiden on saatettava direktiivi osaksi kansallista lainsäädäntöä.</w:t>
      </w:r>
    </w:p>
    <w:sectPr w:rsidR="00393A5B" w:rsidRPr="006E6037" w:rsidSect="007553F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519CD" w14:textId="77777777" w:rsidR="007D3AF8" w:rsidRDefault="007D3AF8" w:rsidP="007553FA">
      <w:pPr>
        <w:spacing w:after="0" w:line="240" w:lineRule="auto"/>
      </w:pPr>
      <w:r>
        <w:separator/>
      </w:r>
    </w:p>
  </w:endnote>
  <w:endnote w:type="continuationSeparator" w:id="0">
    <w:p w14:paraId="1FF46A4D" w14:textId="77777777" w:rsidR="007D3AF8" w:rsidRDefault="007D3AF8" w:rsidP="007553FA">
      <w:pPr>
        <w:spacing w:after="0" w:line="240" w:lineRule="auto"/>
      </w:pPr>
      <w:r>
        <w:continuationSeparator/>
      </w:r>
    </w:p>
  </w:endnote>
  <w:endnote w:type="continuationNotice" w:id="1">
    <w:p w14:paraId="2DA4739C" w14:textId="77777777" w:rsidR="007D3AF8" w:rsidRDefault="007D3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8B1E0" w14:textId="77777777" w:rsidR="007318B7" w:rsidRPr="007318B7" w:rsidRDefault="007318B7" w:rsidP="00731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B9789" w14:textId="682B79C1" w:rsidR="003F2CF7" w:rsidRPr="007318B7" w:rsidRDefault="007318B7" w:rsidP="007318B7">
    <w:pPr>
      <w:pStyle w:val="FooterCoverPage"/>
      <w:rPr>
        <w:rFonts w:ascii="Arial" w:hAnsi="Arial" w:cs="Arial"/>
        <w:b/>
        <w:sz w:val="48"/>
      </w:rPr>
    </w:pPr>
    <w:r w:rsidRPr="007318B7">
      <w:rPr>
        <w:rFonts w:ascii="Arial" w:hAnsi="Arial" w:cs="Arial"/>
        <w:b/>
        <w:sz w:val="48"/>
      </w:rPr>
      <w:t>FI</w:t>
    </w:r>
    <w:r w:rsidRPr="007318B7">
      <w:rPr>
        <w:rFonts w:ascii="Arial" w:hAnsi="Arial" w:cs="Arial"/>
        <w:b/>
        <w:sz w:val="48"/>
      </w:rPr>
      <w:tab/>
    </w:r>
    <w:r w:rsidRPr="007318B7">
      <w:rPr>
        <w:rFonts w:ascii="Arial" w:hAnsi="Arial" w:cs="Arial"/>
        <w:b/>
        <w:sz w:val="48"/>
      </w:rPr>
      <w:tab/>
    </w:r>
    <w:r w:rsidRPr="007318B7">
      <w:tab/>
    </w:r>
    <w:r w:rsidRPr="007318B7">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E32C1" w14:textId="77777777" w:rsidR="007318B7" w:rsidRPr="007318B7" w:rsidRDefault="007318B7" w:rsidP="007318B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C12B" w14:textId="77777777" w:rsidR="00C52289" w:rsidRDefault="00C522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87280"/>
      <w:docPartObj>
        <w:docPartGallery w:val="Page Numbers (Bottom of Page)"/>
        <w:docPartUnique/>
      </w:docPartObj>
    </w:sdtPr>
    <w:sdtEndPr>
      <w:rPr>
        <w:rFonts w:ascii="Times New Roman" w:hAnsi="Times New Roman" w:cs="Times New Roman"/>
        <w:noProof/>
        <w:sz w:val="20"/>
        <w:szCs w:val="20"/>
      </w:rPr>
    </w:sdtEndPr>
    <w:sdtContent>
      <w:p w14:paraId="14F632FF" w14:textId="0ACA9702" w:rsidR="0030606C" w:rsidRPr="0030606C" w:rsidRDefault="0030606C">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7318B7">
          <w:rPr>
            <w:rFonts w:ascii="Times New Roman" w:hAnsi="Times New Roman" w:cs="Times New Roman"/>
            <w:noProof/>
            <w:sz w:val="20"/>
            <w:szCs w:val="20"/>
          </w:rPr>
          <w:t>1</w:t>
        </w:r>
        <w:r>
          <w:rPr>
            <w:rFonts w:ascii="Times New Roman" w:hAnsi="Times New Roman" w:cs="Times New Roman"/>
            <w:sz w:val="20"/>
            <w:szCs w:val="20"/>
          </w:rPr>
          <w:fldChar w:fldCharType="end"/>
        </w:r>
      </w:p>
    </w:sdtContent>
  </w:sdt>
  <w:p w14:paraId="27132217" w14:textId="77777777" w:rsidR="00C52289" w:rsidRPr="0030606C" w:rsidRDefault="00C52289">
    <w:pPr>
      <w:pStyle w:val="Footer"/>
      <w:rPr>
        <w:rFonts w:ascii="Times New Roman" w:hAnsi="Times New Roman" w:cs="Times New Roman"/>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F5516" w14:textId="77777777" w:rsidR="00C52289" w:rsidRDefault="00C52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AA732" w14:textId="77777777" w:rsidR="007D3AF8" w:rsidRDefault="007D3AF8" w:rsidP="007553FA">
      <w:pPr>
        <w:spacing w:after="0" w:line="240" w:lineRule="auto"/>
      </w:pPr>
      <w:r>
        <w:separator/>
      </w:r>
    </w:p>
  </w:footnote>
  <w:footnote w:type="continuationSeparator" w:id="0">
    <w:p w14:paraId="69BF25CB" w14:textId="77777777" w:rsidR="007D3AF8" w:rsidRDefault="007D3AF8" w:rsidP="007553FA">
      <w:pPr>
        <w:spacing w:after="0" w:line="240" w:lineRule="auto"/>
      </w:pPr>
      <w:r>
        <w:continuationSeparator/>
      </w:r>
    </w:p>
  </w:footnote>
  <w:footnote w:type="continuationNotice" w:id="1">
    <w:p w14:paraId="2BA8AEAD" w14:textId="77777777" w:rsidR="007D3AF8" w:rsidRDefault="007D3A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C1D35" w14:textId="77777777" w:rsidR="007318B7" w:rsidRPr="007318B7" w:rsidRDefault="007318B7" w:rsidP="00731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2B771" w14:textId="77777777" w:rsidR="007318B7" w:rsidRPr="007318B7" w:rsidRDefault="007318B7" w:rsidP="007318B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A23C6" w14:textId="77777777" w:rsidR="007318B7" w:rsidRPr="007318B7" w:rsidRDefault="007318B7" w:rsidP="007318B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131BE" w14:textId="77777777" w:rsidR="00C52289" w:rsidRDefault="00C522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C9B83" w14:textId="77777777" w:rsidR="00C52289" w:rsidRDefault="00C522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6EB8C" w14:textId="77777777" w:rsidR="00C52289" w:rsidRDefault="00C52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i-FI" w:vendorID="64" w:dllVersion="131078" w:nlCheck="1" w:checkStyle="0"/>
  <w:revisionView w:markup="0"/>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Oheisasiakirja"/>
    <w:docVar w:name="LW_CORRIGENDUM" w:val="&lt;UNUSED&gt;"/>
    <w:docVar w:name="LW_COVERPAGE_EXISTS" w:val="True"/>
    <w:docVar w:name="LW_COVERPAGE_GUID" w:val="5C3D83C7-B12B-428E-8EB7-60E2B563DE04"/>
    <w:docVar w:name="LW_COVERPAGE_TYPE" w:val="1"/>
    <w:docVar w:name="LW_CROSSREFERENCE" w:val="{COM(2021) 762 final} - {SEC(2021) 581 final} - {SWD(2021) 395 final} - {SWD(2021) 396 final}"/>
    <w:docVar w:name="LW_DocType" w:val="NORMAL"/>
    <w:docVar w:name="LW_EMISSION" w:val="9.12.2021"/>
    <w:docVar w:name="LW_EMISSION_ISODATE" w:val="2021-12-09"/>
    <w:docVar w:name="LW_EMISSION_LOCATION" w:val="BRX"/>
    <w:docVar w:name="LW_EMISSION_PREFIX" w:val="Bryssel "/>
    <w:docVar w:name="LW_EMISSION_SUFFIX" w:val=" "/>
    <w:docVar w:name="LW_ID_DOCTYPE_NONLW" w:val="CP-027"/>
    <w:docVar w:name="LW_LANGUE" w:val="FI"/>
    <w:docVar w:name="LW_LEVEL_OF_SENSITIVITY" w:val="Standard treatment"/>
    <w:docVar w:name="LW_NOM.INST" w:val="EUROOPAN KOMISSIO"/>
    <w:docVar w:name="LW_NOM.INST_JOINTDOC" w:val="&lt;EMPTY&gt;"/>
    <w:docVar w:name="LW_OBJETACTEPRINCIPAL.CP" w:val="työolojen parantamisesta alustatyössä"/>
    <w:docVar w:name="LW_PART_NBR" w:val="1"/>
    <w:docVar w:name="LW_PART_NBR_TOTAL" w:val="1"/>
    <w:docVar w:name="LW_REF.INST.NEW" w:val="SWD"/>
    <w:docVar w:name="LW_REF.INST.NEW_ADOPTED" w:val="final"/>
    <w:docVar w:name="LW_REF.INST.NEW_TEXT" w:val="(2021) 3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KOMISSION YKSIKÖIDEN VALMISTELUASIAKIRJA_x000b__x000b_TIIVISTELMÄ VAIKUTUSTENARVIOINNISTA_x000b_"/>
    <w:docVar w:name="LW_TYPEACTEPRINCIPAL.CP" w:val="Ehdotus Euroopan parlamentin ja neuvoston direktiiviksi"/>
    <w:docVar w:name="LwApiVersions" w:val="LW4CoDe 1.23.2.0; LW 8.0, Build 20211117"/>
  </w:docVars>
  <w:rsids>
    <w:rsidRoot w:val="007553FA"/>
    <w:rsid w:val="00002AF7"/>
    <w:rsid w:val="00006D33"/>
    <w:rsid w:val="000115D1"/>
    <w:rsid w:val="00011A39"/>
    <w:rsid w:val="00034B86"/>
    <w:rsid w:val="00037572"/>
    <w:rsid w:val="00037E4C"/>
    <w:rsid w:val="00047A3E"/>
    <w:rsid w:val="000633AB"/>
    <w:rsid w:val="00064B89"/>
    <w:rsid w:val="00074DDC"/>
    <w:rsid w:val="000754E7"/>
    <w:rsid w:val="00083CC0"/>
    <w:rsid w:val="000F05C5"/>
    <w:rsid w:val="000F1DCC"/>
    <w:rsid w:val="000F3B4A"/>
    <w:rsid w:val="00103A74"/>
    <w:rsid w:val="0014774F"/>
    <w:rsid w:val="001508EC"/>
    <w:rsid w:val="00156A25"/>
    <w:rsid w:val="00156CB3"/>
    <w:rsid w:val="00164987"/>
    <w:rsid w:val="00174A5E"/>
    <w:rsid w:val="00192A70"/>
    <w:rsid w:val="001A1BB2"/>
    <w:rsid w:val="001D209C"/>
    <w:rsid w:val="001F596D"/>
    <w:rsid w:val="00203619"/>
    <w:rsid w:val="0022285C"/>
    <w:rsid w:val="002270BF"/>
    <w:rsid w:val="002817E9"/>
    <w:rsid w:val="00283D6D"/>
    <w:rsid w:val="002B66B3"/>
    <w:rsid w:val="002B7A37"/>
    <w:rsid w:val="002D7758"/>
    <w:rsid w:val="002F1B6E"/>
    <w:rsid w:val="00305565"/>
    <w:rsid w:val="00305775"/>
    <w:rsid w:val="0030606C"/>
    <w:rsid w:val="003451B8"/>
    <w:rsid w:val="0036431B"/>
    <w:rsid w:val="003744BF"/>
    <w:rsid w:val="00381104"/>
    <w:rsid w:val="00393A5B"/>
    <w:rsid w:val="00394D64"/>
    <w:rsid w:val="00395FDE"/>
    <w:rsid w:val="00397594"/>
    <w:rsid w:val="003A1B5A"/>
    <w:rsid w:val="003A60E1"/>
    <w:rsid w:val="003A6938"/>
    <w:rsid w:val="003E792C"/>
    <w:rsid w:val="003F2CF7"/>
    <w:rsid w:val="003F7631"/>
    <w:rsid w:val="00406931"/>
    <w:rsid w:val="00417E31"/>
    <w:rsid w:val="00420B5C"/>
    <w:rsid w:val="004345BE"/>
    <w:rsid w:val="00470D33"/>
    <w:rsid w:val="004A180A"/>
    <w:rsid w:val="00515A23"/>
    <w:rsid w:val="00526024"/>
    <w:rsid w:val="0057521F"/>
    <w:rsid w:val="00582143"/>
    <w:rsid w:val="005970BA"/>
    <w:rsid w:val="005A3EBB"/>
    <w:rsid w:val="005B145E"/>
    <w:rsid w:val="005C10A5"/>
    <w:rsid w:val="005D010C"/>
    <w:rsid w:val="005D2ECD"/>
    <w:rsid w:val="00601E80"/>
    <w:rsid w:val="00632C4C"/>
    <w:rsid w:val="006349DD"/>
    <w:rsid w:val="006525AC"/>
    <w:rsid w:val="00654E4A"/>
    <w:rsid w:val="006746DF"/>
    <w:rsid w:val="00677CA2"/>
    <w:rsid w:val="00686C27"/>
    <w:rsid w:val="006A61A0"/>
    <w:rsid w:val="006B4C99"/>
    <w:rsid w:val="006E6037"/>
    <w:rsid w:val="0070234B"/>
    <w:rsid w:val="00715DB1"/>
    <w:rsid w:val="007172BE"/>
    <w:rsid w:val="00725D43"/>
    <w:rsid w:val="007318B7"/>
    <w:rsid w:val="007553FA"/>
    <w:rsid w:val="007662F3"/>
    <w:rsid w:val="007A0C97"/>
    <w:rsid w:val="007C5D8D"/>
    <w:rsid w:val="007D0F08"/>
    <w:rsid w:val="007D3AF8"/>
    <w:rsid w:val="00811BC0"/>
    <w:rsid w:val="00815B6B"/>
    <w:rsid w:val="00851A99"/>
    <w:rsid w:val="008539D4"/>
    <w:rsid w:val="008547B8"/>
    <w:rsid w:val="00872088"/>
    <w:rsid w:val="008A6819"/>
    <w:rsid w:val="008C118D"/>
    <w:rsid w:val="00906BE8"/>
    <w:rsid w:val="009222CF"/>
    <w:rsid w:val="00943747"/>
    <w:rsid w:val="00944D5C"/>
    <w:rsid w:val="009617C9"/>
    <w:rsid w:val="00970FA3"/>
    <w:rsid w:val="00973DC5"/>
    <w:rsid w:val="00977AA9"/>
    <w:rsid w:val="009840E5"/>
    <w:rsid w:val="009B0B92"/>
    <w:rsid w:val="009D6A1C"/>
    <w:rsid w:val="00A03FC9"/>
    <w:rsid w:val="00A1717C"/>
    <w:rsid w:val="00A22F7B"/>
    <w:rsid w:val="00A276E3"/>
    <w:rsid w:val="00A35CEA"/>
    <w:rsid w:val="00A41AEE"/>
    <w:rsid w:val="00A42898"/>
    <w:rsid w:val="00A64CC5"/>
    <w:rsid w:val="00A76465"/>
    <w:rsid w:val="00A941E3"/>
    <w:rsid w:val="00AA3808"/>
    <w:rsid w:val="00AD7DB4"/>
    <w:rsid w:val="00AF573E"/>
    <w:rsid w:val="00B014B6"/>
    <w:rsid w:val="00B02238"/>
    <w:rsid w:val="00B34A45"/>
    <w:rsid w:val="00B47D2D"/>
    <w:rsid w:val="00B56CC0"/>
    <w:rsid w:val="00B82772"/>
    <w:rsid w:val="00BB43E0"/>
    <w:rsid w:val="00BD68A2"/>
    <w:rsid w:val="00BE011E"/>
    <w:rsid w:val="00C00169"/>
    <w:rsid w:val="00C0390E"/>
    <w:rsid w:val="00C127A5"/>
    <w:rsid w:val="00C149F4"/>
    <w:rsid w:val="00C52289"/>
    <w:rsid w:val="00C91B89"/>
    <w:rsid w:val="00CC5A57"/>
    <w:rsid w:val="00CC6D3A"/>
    <w:rsid w:val="00CD186B"/>
    <w:rsid w:val="00CE68FD"/>
    <w:rsid w:val="00D34F76"/>
    <w:rsid w:val="00D61430"/>
    <w:rsid w:val="00D65457"/>
    <w:rsid w:val="00D840D3"/>
    <w:rsid w:val="00D911E0"/>
    <w:rsid w:val="00DA12AD"/>
    <w:rsid w:val="00E00AB8"/>
    <w:rsid w:val="00E07721"/>
    <w:rsid w:val="00E147C3"/>
    <w:rsid w:val="00E21D93"/>
    <w:rsid w:val="00E80F3C"/>
    <w:rsid w:val="00E814F7"/>
    <w:rsid w:val="00E95C76"/>
    <w:rsid w:val="00EA2700"/>
    <w:rsid w:val="00EB45DA"/>
    <w:rsid w:val="00EB5668"/>
    <w:rsid w:val="00EB64FB"/>
    <w:rsid w:val="00ED26FA"/>
    <w:rsid w:val="00ED3CD6"/>
    <w:rsid w:val="00EE096D"/>
    <w:rsid w:val="00F243E8"/>
    <w:rsid w:val="00F30A1E"/>
    <w:rsid w:val="00F401CC"/>
    <w:rsid w:val="00F44D7B"/>
    <w:rsid w:val="00F461F0"/>
    <w:rsid w:val="00F50ABA"/>
    <w:rsid w:val="00F523EC"/>
    <w:rsid w:val="00F90095"/>
    <w:rsid w:val="00FB425D"/>
    <w:rsid w:val="00FD4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58960E6"/>
  <w15:chartTrackingRefBased/>
  <w15:docId w15:val="{87AD604C-5426-4AE2-B493-C2A6A909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553FA"/>
    <w:rPr>
      <w:color w:val="0000FF"/>
      <w:shd w:val="clear" w:color="auto" w:fill="auto"/>
    </w:rPr>
  </w:style>
  <w:style w:type="paragraph" w:customStyle="1" w:styleId="Pagedecouverture">
    <w:name w:val="Page de couverture"/>
    <w:basedOn w:val="Normal"/>
    <w:next w:val="Normal"/>
    <w:rsid w:val="007553FA"/>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755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3FA"/>
  </w:style>
  <w:style w:type="paragraph" w:styleId="Footer">
    <w:name w:val="footer"/>
    <w:basedOn w:val="Normal"/>
    <w:link w:val="FooterChar"/>
    <w:uiPriority w:val="99"/>
    <w:unhideWhenUsed/>
    <w:rsid w:val="00755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3FA"/>
  </w:style>
  <w:style w:type="paragraph" w:customStyle="1" w:styleId="FooterCoverPage">
    <w:name w:val="Footer Cover Page"/>
    <w:basedOn w:val="Normal"/>
    <w:link w:val="FooterCoverPageChar"/>
    <w:rsid w:val="007553F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553FA"/>
    <w:rPr>
      <w:rFonts w:ascii="Times New Roman" w:hAnsi="Times New Roman" w:cs="Times New Roman"/>
      <w:sz w:val="24"/>
    </w:rPr>
  </w:style>
  <w:style w:type="paragraph" w:customStyle="1" w:styleId="FooterSensitivity">
    <w:name w:val="Footer Sensitivity"/>
    <w:basedOn w:val="Normal"/>
    <w:link w:val="FooterSensitivityChar"/>
    <w:rsid w:val="007553F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553FA"/>
    <w:rPr>
      <w:rFonts w:ascii="Times New Roman" w:hAnsi="Times New Roman" w:cs="Times New Roman"/>
      <w:b/>
      <w:sz w:val="32"/>
    </w:rPr>
  </w:style>
  <w:style w:type="paragraph" w:customStyle="1" w:styleId="HeaderCoverPage">
    <w:name w:val="Header Cover Page"/>
    <w:basedOn w:val="Normal"/>
    <w:link w:val="HeaderCoverPageChar"/>
    <w:rsid w:val="007553F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553FA"/>
    <w:rPr>
      <w:rFonts w:ascii="Times New Roman" w:hAnsi="Times New Roman" w:cs="Times New Roman"/>
      <w:sz w:val="24"/>
    </w:rPr>
  </w:style>
  <w:style w:type="paragraph" w:customStyle="1" w:styleId="HeaderSensitivity">
    <w:name w:val="Header Sensitivity"/>
    <w:basedOn w:val="Normal"/>
    <w:link w:val="HeaderSensitivityChar"/>
    <w:rsid w:val="007553F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553FA"/>
    <w:rPr>
      <w:rFonts w:ascii="Times New Roman" w:hAnsi="Times New Roman" w:cs="Times New Roman"/>
      <w:b/>
      <w:sz w:val="32"/>
    </w:rPr>
  </w:style>
  <w:style w:type="paragraph" w:customStyle="1" w:styleId="HeaderSensitivityRight">
    <w:name w:val="Header Sensitivity Right"/>
    <w:basedOn w:val="Normal"/>
    <w:link w:val="HeaderSensitivityRightChar"/>
    <w:rsid w:val="007553F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553FA"/>
    <w:rPr>
      <w:rFonts w:ascii="Times New Roman" w:hAnsi="Times New Roman" w:cs="Times New Roman"/>
      <w:sz w:val="28"/>
    </w:rPr>
  </w:style>
  <w:style w:type="character" w:styleId="CommentReference">
    <w:name w:val="annotation reference"/>
    <w:basedOn w:val="DefaultParagraphFont"/>
    <w:uiPriority w:val="99"/>
    <w:semiHidden/>
    <w:unhideWhenUsed/>
    <w:rsid w:val="00B02238"/>
    <w:rPr>
      <w:sz w:val="16"/>
      <w:szCs w:val="16"/>
    </w:rPr>
  </w:style>
  <w:style w:type="paragraph" w:styleId="CommentText">
    <w:name w:val="annotation text"/>
    <w:basedOn w:val="Normal"/>
    <w:link w:val="CommentTextChar"/>
    <w:uiPriority w:val="99"/>
    <w:semiHidden/>
    <w:unhideWhenUsed/>
    <w:rsid w:val="00B02238"/>
    <w:pPr>
      <w:spacing w:line="240" w:lineRule="auto"/>
    </w:pPr>
    <w:rPr>
      <w:sz w:val="20"/>
      <w:szCs w:val="20"/>
    </w:rPr>
  </w:style>
  <w:style w:type="character" w:customStyle="1" w:styleId="CommentTextChar">
    <w:name w:val="Comment Text Char"/>
    <w:basedOn w:val="DefaultParagraphFont"/>
    <w:link w:val="CommentText"/>
    <w:uiPriority w:val="99"/>
    <w:semiHidden/>
    <w:rsid w:val="00B02238"/>
    <w:rPr>
      <w:sz w:val="20"/>
      <w:szCs w:val="20"/>
    </w:rPr>
  </w:style>
  <w:style w:type="paragraph" w:styleId="CommentSubject">
    <w:name w:val="annotation subject"/>
    <w:basedOn w:val="CommentText"/>
    <w:next w:val="CommentText"/>
    <w:link w:val="CommentSubjectChar"/>
    <w:uiPriority w:val="99"/>
    <w:semiHidden/>
    <w:unhideWhenUsed/>
    <w:rsid w:val="00B02238"/>
    <w:rPr>
      <w:b/>
      <w:bCs/>
    </w:rPr>
  </w:style>
  <w:style w:type="character" w:customStyle="1" w:styleId="CommentSubjectChar">
    <w:name w:val="Comment Subject Char"/>
    <w:basedOn w:val="CommentTextChar"/>
    <w:link w:val="CommentSubject"/>
    <w:uiPriority w:val="99"/>
    <w:semiHidden/>
    <w:rsid w:val="00B02238"/>
    <w:rPr>
      <w:b/>
      <w:bCs/>
      <w:sz w:val="20"/>
      <w:szCs w:val="20"/>
    </w:rPr>
  </w:style>
  <w:style w:type="paragraph" w:styleId="BalloonText">
    <w:name w:val="Balloon Text"/>
    <w:basedOn w:val="Normal"/>
    <w:link w:val="BalloonTextChar"/>
    <w:uiPriority w:val="99"/>
    <w:semiHidden/>
    <w:unhideWhenUsed/>
    <w:rsid w:val="00B02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954202">
      <w:bodyDiv w:val="1"/>
      <w:marLeft w:val="0"/>
      <w:marRight w:val="0"/>
      <w:marTop w:val="0"/>
      <w:marBottom w:val="0"/>
      <w:divBdr>
        <w:top w:val="none" w:sz="0" w:space="0" w:color="auto"/>
        <w:left w:val="none" w:sz="0" w:space="0" w:color="auto"/>
        <w:bottom w:val="none" w:sz="0" w:space="0" w:color="auto"/>
        <w:right w:val="none" w:sz="0" w:space="0" w:color="auto"/>
      </w:divBdr>
    </w:div>
    <w:div w:id="13680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EC Document" ma:contentTypeID="0x010100258AA79CEB83498886A3A086811232500013474F87E96564419940A5CCF6AFB011" ma:contentTypeVersion="0" ma:contentTypeDescription="Create a new document in this library." ma:contentTypeScope="" ma:versionID="e49b80d28ad0e74f08d5e8fe4c5e5f1c" xmlns:ct="http://schemas.microsoft.com/office/2006/metadata/contentType" xmlns:ma="http://schemas.microsoft.com/office/2006/metadata/properties/metaAttributes">
<xsd:schema targetNamespace="http://schemas.microsoft.com/office/2006/metadata/properties" ma:root="true" ma:fieldsID="ae74be22634a101112b16dfca5eb9985" ns2:_="" ns3:_="" xmlns:xsd="http://www.w3.org/2001/XMLSchema" xmlns:xs="http://www.w3.org/2001/XMLSchema" xmlns:p="http://schemas.microsoft.com/office/2006/metadata/properties" xmlns:ns2="http://schemas.microsoft.com/sharepoint/v3/fields" xmlns:ns3="$ListId:Working Documents;">
<xsd:import namespace="http://schemas.microsoft.com/sharepoint/v3/fields"/>
<xsd:import namespace="$ListId:Working Documents;"/>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targetNamespace="http://schemas.microsoft.com/sharepoint/v3/field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targetNamespace="$ListId:Working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p:properties xmlns:p="http://schemas.microsoft.com/office/2006/metadata/properties" xmlns:xsi="http://www.w3.org/2001/XMLSchema-instance" xmlns:pc="http://schemas.microsoft.com/office/infopath/2007/PartnerControls"><documentManagement><EC_Collab_Reference xmlns="$ListId:Working Documents;" xsi:nil="true"></EC_Collab_Reference><_Status xmlns="http://schemas.microsoft.com/sharepoint/v3/fields">Not Started</_Status><EC_Collab_DocumentLanguage xmlns="$ListId:Working Documents;">EN</EC_Collab_DocumentLanguage><EC_Collab_Status xmlns="$ListId:Working Documents;">Not Started</EC_Collab_Status></documentManagement></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58B7-E6EA-4012-9FE1-06209B83F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ListId:Working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C16DD-6C4E-45EE-9D3D-0EE33C70BBB9}">
  <ds:schemaRefs>
    <ds:schemaRef ds:uri="http://schemas.microsoft.com/sharepoint/v3/contenttype/forms"/>
  </ds:schemaRefs>
</ds:datastoreItem>
</file>

<file path=customXml/itemProps3.xml><?xml version="1.0" encoding="utf-8"?>
<ds:datastoreItem xmlns:ds="http://schemas.openxmlformats.org/officeDocument/2006/customXml" ds:itemID="{BBFE4063-81EF-4D48-83E0-105801C1AEA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ListId:Working Documents;"/>
    <ds:schemaRef ds:uri="http://purl.org/dc/elements/1.1/"/>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06AD284A-F355-4A68-8EC2-E9A8FCD5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1096</Words>
  <Characters>9697</Characters>
  <Application>Microsoft Office Word</Application>
  <DocSecurity>0</DocSecurity>
  <Lines>138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36</cp:revision>
  <dcterms:created xsi:type="dcterms:W3CDTF">2021-12-08T13:46:00Z</dcterms:created>
  <dcterms:modified xsi:type="dcterms:W3CDTF">2021-12-17T12:38:00Z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_LW_INVALIDATED__LW_INVALIDATED__LW_INVALIDATED__LW_INVALIDATED__LW_INVALIDATED__LW_INVALIDATED_ContentTypeId">
    <vt:lpwstr>0x010100258AA79CEB83498886A3A086811232500013474F87E96564419940A5CCF6AFB011</vt:lpwstr>
  </property>
</Properties>
</file>