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79D9E42-2C78-4985-A917-DCD34A6354B0"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Ettepaneku põhjused ja eesmärgid</w:t>
      </w:r>
    </w:p>
    <w:p>
      <w:pPr>
        <w:pStyle w:val="Text1"/>
        <w:ind w:left="0"/>
        <w:rPr>
          <w:noProof/>
        </w:rPr>
      </w:pPr>
      <w:r>
        <w:rPr>
          <w:noProof/>
        </w:rPr>
        <w:t>Käibemaks on üldine tarbimismaks, mida tasub lõpptarbija, kuid mida koguvad ettevõtjad, kes kaupu tarnivad või teenuseid osutavad. Käibemaksudirektiivi</w:t>
      </w:r>
      <w:r>
        <w:rPr>
          <w:rStyle w:val="FootnoteReference"/>
          <w:noProof/>
        </w:rPr>
        <w:footnoteReference w:id="2"/>
      </w:r>
      <w:r>
        <w:rPr>
          <w:noProof/>
        </w:rPr>
        <w:t xml:space="preserve"> artiklis 2 sätestatud käibemaksu kohaldamisala on väga lai, hõlmates igasugust tasu eest kaupade tarnimist ja teenuste osutamist maksukohustuslase poolt liikmesriigi territooriumil ning igasugust kaupade importimist Euroopa Liitu (EL). Käibemaksudirektiivi üks eesmärk oli koostada ühine käibemaksuvabastuste loetelu, nii et ELi omavahendeid saaks kõikides liikmesriikides koguda ühtlustatud viisil</w:t>
      </w:r>
      <w:r>
        <w:rPr>
          <w:rStyle w:val="FootnoteReference"/>
          <w:noProof/>
        </w:rPr>
        <w:footnoteReference w:id="3"/>
      </w:r>
      <w:r>
        <w:rPr>
          <w:noProof/>
        </w:rPr>
        <w:t>. Seepärast tuleb mis tahes tehingu vabastamine käibemaksust sätestada käibemaksudirektiivis.</w:t>
      </w:r>
    </w:p>
    <w:p>
      <w:pPr>
        <w:pStyle w:val="Text1"/>
        <w:ind w:left="0"/>
        <w:rPr>
          <w:rFonts w:eastAsia="Times New Roman"/>
          <w:noProof/>
          <w:szCs w:val="20"/>
        </w:rPr>
      </w:pPr>
      <w:r>
        <w:rPr>
          <w:noProof/>
        </w:rPr>
        <w:t>Käibemaksudirektiivis ei ole ette nähtud üldist maksuvabastust julgeoleku ja kaitse eesmärgil kaupade tarnimisele või teenuste osutamisele. Põhimõtteliselt maksustatakse seega relvajõududele tarnitud kaubad või osutatud teenused ning relvajõudude poolt imporditud kaubad käibemaksuga</w:t>
      </w:r>
      <w:r>
        <w:rPr>
          <w:rStyle w:val="FootnoteReference"/>
          <w:rFonts w:eastAsia="Times New Roman"/>
          <w:noProof/>
          <w:szCs w:val="20"/>
        </w:rPr>
        <w:footnoteReference w:id="4"/>
      </w:r>
      <w:r>
        <w:rPr>
          <w:noProof/>
        </w:rPr>
        <w:t>. Käibemaksukulu kajastub tuludes, mida see maks annab riigikassasse (osana avalikust sektorist ei saa sõjalised üksused käibemaksu tagasi) ja millest omakorda rahastatakse selliseid valdkondi nagu riigikaitse.</w:t>
      </w:r>
    </w:p>
    <w:p>
      <w:pPr>
        <w:pStyle w:val="Text1"/>
        <w:ind w:left="0"/>
        <w:rPr>
          <w:rFonts w:eastAsia="Times New Roman"/>
          <w:noProof/>
          <w:szCs w:val="20"/>
        </w:rPr>
      </w:pPr>
      <w:r>
        <w:rPr>
          <w:noProof/>
        </w:rPr>
        <w:t>Direktiiviga vabastatakse käibemaksust kaubatarned ja teenuste osutamine Põhja-Atlandi lepingu osalisriikide relvajõududele, kes osalevad ühises kaitsetegevuses väljaspool oma riiki. Kõnealune maksuvabastus kehtestati selleks, et lahendada olukord, kus tulude ja kulude ring katkeb, kuna selliste tarnete ja teenuste käibemaks loob tulu riigile, kus relvajõud asuvad, ja mitte nende koduriigile.</w:t>
      </w:r>
    </w:p>
    <w:p>
      <w:pPr>
        <w:pStyle w:val="Text1"/>
        <w:ind w:left="0"/>
        <w:rPr>
          <w:noProof/>
        </w:rPr>
      </w:pPr>
      <w:r>
        <w:rPr>
          <w:noProof/>
        </w:rPr>
        <w:t>Aktsiisidirektiiviga</w:t>
      </w:r>
      <w:r>
        <w:rPr>
          <w:rStyle w:val="FootnoteReference"/>
          <w:noProof/>
        </w:rPr>
        <w:footnoteReference w:id="5"/>
      </w:r>
      <w:r>
        <w:rPr>
          <w:noProof/>
        </w:rPr>
        <w:t xml:space="preserve"> on ette nähtud sarnane aktsiisivabastus</w:t>
      </w:r>
      <w:r>
        <w:rPr>
          <w:rStyle w:val="FootnoteReference"/>
          <w:noProof/>
        </w:rPr>
        <w:footnoteReference w:id="6"/>
      </w:r>
      <w:r>
        <w:rPr>
          <w:noProof/>
        </w:rPr>
        <w:t xml:space="preserve"> aktsiisikauba liikumisel Põhja-Atlandi Lepingu Organisatsiooni (NATO) liikme relvajõududele.</w:t>
      </w:r>
    </w:p>
    <w:p>
      <w:pPr>
        <w:pStyle w:val="Text1"/>
        <w:ind w:left="0"/>
        <w:rPr>
          <w:noProof/>
        </w:rPr>
      </w:pPr>
      <w:r>
        <w:rPr>
          <w:noProof/>
        </w:rPr>
        <w:t>Kui NATO kaitsetegevus on olnud hõlmatud käibemaksudirektiiviga alates 1977. aastast</w:t>
      </w:r>
      <w:r>
        <w:rPr>
          <w:rStyle w:val="FootnoteReference"/>
          <w:noProof/>
        </w:rPr>
        <w:footnoteReference w:id="7"/>
      </w:r>
      <w:r>
        <w:rPr>
          <w:noProof/>
        </w:rPr>
        <w:t xml:space="preserve"> ning aktsiisidirektiiviga alates 1993. aastast, siis kumbagi erandit ei kohaldata liidu raamistikus elluviidava ühise kaitsetegevusega seotud kaubatarnete ja teenuste osutamise suhtes, sest siiani puudub liidu ühine kaitsepoliitika. 2000. aastal Euroopa julgeoleku- ja kaitsepoliitikana</w:t>
      </w:r>
      <w:r>
        <w:rPr>
          <w:rStyle w:val="FootnoteReference"/>
          <w:noProof/>
        </w:rPr>
        <w:footnoteReference w:id="8"/>
      </w:r>
      <w:r>
        <w:rPr>
          <w:noProof/>
        </w:rPr>
        <w:t xml:space="preserve"> loodud ühine julgeoleku- ja kaitsepoliitika (ÜJKP) on siiski välistegevuse peamine vahend ning selle raames kujundatakse järk-järgult liidu ühist kaitsepoliitikat</w:t>
      </w:r>
      <w:r>
        <w:rPr>
          <w:rStyle w:val="FootnoteReference"/>
          <w:noProof/>
        </w:rPr>
        <w:footnoteReference w:id="9"/>
      </w:r>
      <w:r>
        <w:rPr>
          <w:noProof/>
        </w:rPr>
        <w:t>.</w:t>
      </w:r>
    </w:p>
    <w:p>
      <w:pPr>
        <w:pStyle w:val="Text1"/>
        <w:ind w:left="0"/>
        <w:rPr>
          <w:noProof/>
        </w:rPr>
      </w:pPr>
      <w:r>
        <w:rPr>
          <w:noProof/>
        </w:rPr>
        <w:t>2009. aasta detsembris jõustunud Lissaboni leping oli üks teetähis ÜJKP väljaarendamises. Euroopa Liidu leping (ELi leping), mida muudeti Lissaboni lepinguga, sisaldab vastastikuse abi klauslit</w:t>
      </w:r>
      <w:r>
        <w:rPr>
          <w:rStyle w:val="FootnoteReference"/>
          <w:noProof/>
        </w:rPr>
        <w:footnoteReference w:id="10"/>
      </w:r>
      <w:r>
        <w:rPr>
          <w:noProof/>
        </w:rPr>
        <w:t xml:space="preserve"> ja võimaldab liikmesriikidel tihendada oma sõjalist koostööd alalise struktureeritud koostöö (PESCO) kaudu</w:t>
      </w:r>
      <w:r>
        <w:rPr>
          <w:rStyle w:val="FootnoteReference"/>
          <w:noProof/>
        </w:rPr>
        <w:footnoteReference w:id="11"/>
      </w:r>
      <w:r>
        <w:rPr>
          <w:noProof/>
        </w:rPr>
        <w:t>. Lissaboni lepinguga loodi ka Euroopa välisteenistus, mis abistab liidu välisasjade ja julgeolekupoliitika kõrget esindajat kõigis tema vastutusvaldkondades, sealhulgas ÜJKPs. Asjaolu, et kõrge esindaja on ühtlasi üks komisjoni asepresidentidest, hõlbustab kõigi vajalike ELi varade koondamist ning ELi kriisiohje suhtes tervikliku lähenemisviisi rakendamist.</w:t>
      </w:r>
    </w:p>
    <w:p>
      <w:pPr>
        <w:pStyle w:val="Text1"/>
        <w:ind w:left="0"/>
        <w:rPr>
          <w:noProof/>
        </w:rPr>
      </w:pPr>
      <w:r>
        <w:rPr>
          <w:noProof/>
        </w:rPr>
        <w:t>2001. aastal loodud ELi sõjaline komitee</w:t>
      </w:r>
      <w:r>
        <w:rPr>
          <w:rStyle w:val="FootnoteReference"/>
          <w:noProof/>
        </w:rPr>
        <w:footnoteReference w:id="12"/>
      </w:r>
      <w:r>
        <w:rPr>
          <w:noProof/>
        </w:rPr>
        <w:t xml:space="preserve"> on nõukogu kõrgeim sõjaline organ. See juhib kõiki ELi raamistikus elluviidavaid sõjaväelisi tegevusi ning annab nõu ÜJKP sõjaliste missioonide ja operatsioonide planeerimise ja elluviimise ning sõjaliste võimete arendamise kohta. </w:t>
      </w:r>
    </w:p>
    <w:p>
      <w:pPr>
        <w:pStyle w:val="Text1"/>
        <w:ind w:left="0"/>
        <w:rPr>
          <w:noProof/>
        </w:rPr>
      </w:pPr>
      <w:r>
        <w:rPr>
          <w:noProof/>
        </w:rPr>
        <w:t>ELi sõjalise komitee sõjaliste suuniste alusel tegutsev ning samuti 2001. aastal loodud</w:t>
      </w:r>
      <w:r>
        <w:rPr>
          <w:rStyle w:val="FootnoteReference"/>
          <w:noProof/>
        </w:rPr>
        <w:footnoteReference w:id="13"/>
      </w:r>
      <w:r>
        <w:rPr>
          <w:noProof/>
        </w:rPr>
        <w:t xml:space="preserve"> Euroopa Liidu sõjaline staap on ELi sõjalise oskusteabe allikas</w:t>
      </w:r>
      <w:r>
        <w:rPr>
          <w:rStyle w:val="FootnoteReference"/>
          <w:noProof/>
        </w:rPr>
        <w:footnoteReference w:id="14"/>
      </w:r>
      <w:r>
        <w:rPr>
          <w:noProof/>
        </w:rPr>
        <w:t>. Staabi ülesanded on varajane hoiatamine, olukorra hindamine ja strateegiline planeerimine seoses ELi lepingu artikli 42 lõikes 1 ja artikli 43 lõikes 1 osutatud missioonide ja ülesannetega. Samuti aitab see välja töötada, hinnata ja läbi vaadata võimetealaseid eesmärke.</w:t>
      </w:r>
    </w:p>
    <w:p>
      <w:pPr>
        <w:pStyle w:val="Text1"/>
        <w:ind w:left="0"/>
        <w:rPr>
          <w:noProof/>
        </w:rPr>
      </w:pPr>
      <w:r>
        <w:rPr>
          <w:noProof/>
        </w:rPr>
        <w:t>2016. aasta juunis vastu võetud Euroopa Liidu üldises välis- ja julgeolekupoliitika strateegias</w:t>
      </w:r>
      <w:r>
        <w:rPr>
          <w:rStyle w:val="FootnoteReference"/>
          <w:noProof/>
        </w:rPr>
        <w:footnoteReference w:id="15"/>
      </w:r>
      <w:r>
        <w:rPr>
          <w:noProof/>
        </w:rPr>
        <w:t xml:space="preserve"> pandi alus ÜJKP edasiarendamisele, pidades silmas kolme põhiprioriteeti: 1) välistele konfliktidele ja kriisidele reageerimine, 2) partnerite võimete suurendamine ning 3) liidu ja selle kodanike kaitsmine. 2017. aasta detsembris</w:t>
      </w:r>
      <w:r>
        <w:rPr>
          <w:rStyle w:val="FootnoteReference"/>
          <w:rFonts w:eastAsia="Arial Unicode MS"/>
          <w:noProof/>
        </w:rPr>
        <w:footnoteReference w:id="16"/>
      </w:r>
      <w:r>
        <w:rPr>
          <w:noProof/>
        </w:rPr>
        <w:t xml:space="preserve"> kutsus Euroopa Ülemkogu kõrget esindajat, komisjoni ja liikmesriike üles jätkama tööd sõjaväelise liikuvuse valdkonnas nii alalise struktureeritud koostöö alusel kui ka ELi ja NATO vahelise koostöö kontekstis.</w:t>
      </w:r>
    </w:p>
    <w:p>
      <w:pPr>
        <w:rPr>
          <w:noProof/>
        </w:rPr>
      </w:pPr>
      <w:r>
        <w:rPr>
          <w:noProof/>
        </w:rPr>
        <w:t>Komisjon ja kõrge esindaja esitasid jätkuna 2017. aasta novembris avaldatud sõjalise liikuvuse parandamist käsitlevale ühisteatisele</w:t>
      </w:r>
      <w:r>
        <w:rPr>
          <w:rStyle w:val="FootnoteReference"/>
          <w:noProof/>
        </w:rPr>
        <w:footnoteReference w:id="17"/>
      </w:r>
      <w:r>
        <w:rPr>
          <w:noProof/>
        </w:rPr>
        <w:t xml:space="preserve"> 2018. aasta märtsis ühisteate sõjaväelise liikuvuse tegevuskava kohta</w:t>
      </w:r>
      <w:r>
        <w:rPr>
          <w:rStyle w:val="FootnoteReference"/>
          <w:rFonts w:eastAsia="Arial Unicode MS"/>
          <w:noProof/>
        </w:rPr>
        <w:footnoteReference w:id="18"/>
      </w:r>
      <w:r>
        <w:rPr>
          <w:noProof/>
        </w:rPr>
        <w:t>. Tegevuskavas tunnistatakse, et kaitsealaseid jõupingutusi tuleb kohelda võrdselt, et vähendada halduskoormust ja seeläbi sõjaväelise liikuvuse puhul tekkivaid viivitusi ja kulusid ning anda liikmesriikidele stiimul koostöö tegemiseks</w:t>
      </w:r>
      <w:r>
        <w:rPr>
          <w:rStyle w:val="FootnoteReference"/>
          <w:noProof/>
        </w:rPr>
        <w:footnoteReference w:id="19"/>
      </w:r>
      <w:r>
        <w:rPr>
          <w:noProof/>
        </w:rPr>
        <w:t>. Selles nõutakse, et komisjon hindaks, kas ELi ja NATO kaitsetegevuse puhul on võimalik ühtlustada käibemaksuga maksustamist.</w:t>
      </w:r>
    </w:p>
    <w:p>
      <w:pPr>
        <w:rPr>
          <w:noProof/>
        </w:rPr>
      </w:pPr>
      <w:r>
        <w:rPr>
          <w:noProof/>
        </w:rPr>
        <w:t>19. novembril 2018 võttis nõukogu vastu järeldused julgeoleku ja kaitse kohta ELi üldise välis- ja julgeolekupoliitika strateegia raames</w:t>
      </w:r>
      <w:r>
        <w:rPr>
          <w:rStyle w:val="FootnoteReference"/>
          <w:noProof/>
        </w:rPr>
        <w:footnoteReference w:id="20"/>
      </w:r>
      <w:r>
        <w:rPr>
          <w:noProof/>
        </w:rPr>
        <w:t>. Nõukogu tunnustas julgeoleku- ja kaitsevaldkonnas viimase kahe aasta jooksul tehtud olulisi edusamme ning rõhutas, kui oluline on selle tempo säilitamine liikmesriikide ja ELi institutsioonide jätkuva osalemise kaudu. Eelkõige pidas nõukogu tervitatavaks PESCO rakendamisel saavutatud edu ning käimasolevaid jõupingutusi, mida tehakse sõjaväe isikkoosseisu, materjali ja varustuse liikuvuse parandamiseks tavapärases tegevuses ning kriisi- ja konfliktiolukorras nii ELis kui ka mujal.</w:t>
      </w:r>
    </w:p>
    <w:p>
      <w:pPr>
        <w:rPr>
          <w:noProof/>
        </w:rPr>
      </w:pPr>
      <w:r>
        <w:rPr>
          <w:noProof/>
        </w:rPr>
        <w:t>Kooskõlas eespool nimetatud tegevuskava ja nõukogu järeldustega soovitakse käesoleva ettepaneku abil ühtlustada nii palju kui võimalik ELi ja NATO kaitsetegevuse vallas käibemaksuga maksustamist. Tuleb tunnistada, et kui Põhja-Atlandi lepingu alusel eksisteerib ühine kaitsetegevus, siis liidu ühist kaitsepoliitikat veel ei ole.</w:t>
      </w:r>
    </w:p>
    <w:p>
      <w:pPr>
        <w:rPr>
          <w:noProof/>
        </w:rPr>
      </w:pPr>
      <w:r>
        <w:rPr>
          <w:noProof/>
        </w:rPr>
        <w:t>Aktsiisidirektiivis ette nähtud aktsiisivabastuste korda tuleks samamoodi ühtlustada.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Kooskõla poliitikavaldkonnas praegu kehtivate õigusnormidega</w:t>
      </w:r>
    </w:p>
    <w:p>
      <w:pPr>
        <w:spacing w:before="0"/>
        <w:rPr>
          <w:noProof/>
          <w:color w:val="000000"/>
          <w:szCs w:val="24"/>
        </w:rPr>
      </w:pPr>
      <w:r>
        <w:rPr>
          <w:noProof/>
        </w:rPr>
        <w:t>Ettepanekuga täiendatakse 2016. aasta käibemaksu tegevuskava</w:t>
      </w:r>
      <w:r>
        <w:rPr>
          <w:rStyle w:val="FootnoteReference"/>
          <w:noProof/>
        </w:rPr>
        <w:footnoteReference w:id="21"/>
      </w:r>
      <w:r>
        <w:rPr>
          <w:noProof/>
        </w:rPr>
        <w:t>, milles kirjeldatakse viise, kuidas ajakohastada käibemaksusüsteemi, nii et see oleks lihtsam, pettusekindlam ja ettevõtjasõbralikum.</w:t>
      </w:r>
      <w:r>
        <w:rPr>
          <w:noProof/>
          <w:color w:val="000000"/>
          <w:szCs w:val="24"/>
        </w:rPr>
        <w:t xml:space="preserve"> </w:t>
      </w:r>
    </w:p>
    <w:p>
      <w:pPr>
        <w:spacing w:before="0"/>
        <w:rPr>
          <w:noProof/>
          <w:color w:val="000000"/>
          <w:szCs w:val="24"/>
        </w:rPr>
      </w:pPr>
      <w:r>
        <w:rPr>
          <w:noProof/>
        </w:rPr>
        <w:t>Kooskõla käibemaksudirektiivi IX jaotise 8. peatükiga (eksporditehingutena käsitatavate tehingute maksuvabastused), eelkõige artikli 151 lõike 1 punktiga c (ja punktiga d) ja selle tõlgendusega Euroopa Liidu Kohtu poolt</w:t>
      </w:r>
      <w:r>
        <w:rPr>
          <w:rStyle w:val="FootnoteReference"/>
          <w:noProof/>
          <w:szCs w:val="24"/>
          <w:lang w:eastAsia="en-GB"/>
        </w:rPr>
        <w:footnoteReference w:id="22"/>
      </w:r>
      <w:r>
        <w:rPr>
          <w:noProof/>
        </w:rPr>
        <w:t>, ning aktsiisidirektiivi artikli 12 lõike 1 punktiga c on saavutatud sel teel, et maksuvabastustest on välja jäetud kaupade tarnimine ja teenuste osutamine selle liikmesriigi relvajõududele, kus neid kaupu tarnitakse või teenuseid osutatakse.</w:t>
      </w:r>
      <w:r>
        <w:rPr>
          <w:noProof/>
          <w:color w:val="000000"/>
          <w:szCs w:val="24"/>
        </w:rPr>
        <w:t xml:space="preserve"> </w:t>
      </w:r>
    </w:p>
    <w:p>
      <w:pPr>
        <w:spacing w:before="0"/>
        <w:rPr>
          <w:noProof/>
          <w:color w:val="000000"/>
          <w:szCs w:val="24"/>
        </w:rPr>
      </w:pPr>
      <w:r>
        <w:rPr>
          <w:noProof/>
        </w:rPr>
        <w:t>Lisaks on ettepaneku kohaldamisala piiramine olukordadega, kus tulude ja kulude ring katkeb, kooskõlas käibemaksudirektiivi artikli 151 lõike 1 punktiga aa (ja punktiga b).</w:t>
      </w:r>
      <w:r>
        <w:rPr>
          <w:noProof/>
          <w:color w:val="000000"/>
          <w:szCs w:val="24"/>
        </w:rPr>
        <w:t xml:space="preserve"> Riigisisesed kaubatarned või riigisisese teenuste osutamise saab maksust vabastada üksnes juhul, kui nende saajaks on EL, ELi loodud asutused või rahvusvahelised organisatsioonid. </w:t>
      </w:r>
      <w:r>
        <w:rPr>
          <w:noProof/>
        </w:rPr>
        <w:t>Nii nagu see on NATO kui tunnustatud rahvusvahelise organisatsiooni ning EDA kui privileegide ja immuniteetide protokolliga hõlmatud ning selles kehtestatud piiranguid ja tingimusi järgiva ELi asutuse puhul, võiks operatsioonide peakorteri ja muude ÜJKP raames kaitse eesmärgil loodud üksuste korral kohaldada maksuvabastust vastavalt vastuvõtva liikmesriigi tingimustele ja piirangutele, kui nad täidavad käibemaksudirektiivi artikli 151 lõike 1 punktis aa (või b) sätestatud nõudeid.</w:t>
      </w:r>
      <w:r>
        <w:rPr>
          <w:noProof/>
          <w:color w:val="000000"/>
          <w:szCs w:val="24"/>
        </w:rPr>
        <w:t xml:space="preserve"> Ettepanekuga ei looda võimalust nendest nõuetest kõrvale hoida või jätta vastuvõttev liikmesriik ilma tingimuste ja piirangute kindlaksmääramise õigusest</w:t>
      </w:r>
      <w:r>
        <w:rPr>
          <w:rStyle w:val="FootnoteReference"/>
          <w:noProof/>
          <w:color w:val="000000"/>
          <w:szCs w:val="24"/>
          <w:lang w:eastAsia="en-GB"/>
        </w:rPr>
        <w:footnoteReference w:id="23"/>
      </w:r>
      <w:r>
        <w:rPr>
          <w:noProof/>
          <w:color w:val="000000"/>
          <w:szCs w:val="24"/>
        </w:rPr>
        <w:t>.</w:t>
      </w:r>
    </w:p>
    <w:p>
      <w:pPr>
        <w:spacing w:before="0"/>
        <w:rPr>
          <w:noProof/>
          <w:color w:val="000000"/>
          <w:szCs w:val="24"/>
        </w:rPr>
      </w:pPr>
      <w:r>
        <w:rPr>
          <w:noProof/>
        </w:rPr>
        <w:t>Lõpetuseks, kooskõlas käibemaksudirektiivi artikli 151 lõike 1 punkti c (ja punkti d) sõnastusega saab kaubatarned ja teenuste osutamise relvajõududele ja nendega kaasas olevale tsiviilpersonalile vabastada maksust ainult juhul, kui need relvajõud osalevad kaitsetegevuses, millega rakendatakse ÜJKP raames liidu meetmeid.</w:t>
      </w:r>
      <w:r>
        <w:rPr>
          <w:noProof/>
          <w:color w:val="000000"/>
          <w:szCs w:val="24"/>
        </w:rPr>
        <w:t xml:space="preserve"> </w:t>
      </w:r>
      <w:r>
        <w:rPr>
          <w:noProof/>
        </w:rPr>
        <w:t>Seega ei kohaldata maksuvabastusi juhul, kui relvajõudusid kasutatakse üksnes julgeoleku eesmärgil, humanitaarabi- ja päästeoperatsioonide tarvis või kui kasutatakse Euroopa Liidu toimimise lepingu artiklis 222 sätestatud solidaarsusklauslit, mis ei ole kaitsepoliitilise tähendusega.</w:t>
      </w:r>
      <w:r>
        <w:rPr>
          <w:noProof/>
          <w:color w:val="000000"/>
          <w:szCs w:val="24"/>
        </w:rPr>
        <w:t xml:space="preserve"> </w:t>
      </w:r>
      <w:r>
        <w:rPr>
          <w:noProof/>
        </w:rPr>
        <w:t>Võttes arvesse asjaolu, et vastavalt käibemaksudirektiivile ei ole võimalik maksust vabastada peale relvajõudude muudele avaliku sektori organitele tarnitavaid kaupu ja osutatavaid teenuseid, on kohaldamisala piiramine kaitsetegevusega ja seega meetmetega, mida rakendavad tavaliselt üksnes relvajõud, kooskõlas neutraalse maksustamise põhimõttega, mis iseloomustab ühist käibemaksusüsteemi ja on ette nähtud Euroopa Liidu põhiõiguste harta artiklis 20.</w:t>
      </w:r>
      <w:r>
        <w:rPr>
          <w:noProof/>
          <w:color w:val="000000"/>
          <w:szCs w:val="24"/>
        </w:rPr>
        <w:t xml:space="preserve"> ELi õigus üldiselt välistab relvajõudude ja muude valitsusorganite (nt politsei) või mittetulundusühenduste puhul erineva käibemaksustamise, kui need täidavad sarnaseid ülesandeid. </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Kooskõla muude liidu tegevuspõhimõtetega</w:t>
      </w:r>
    </w:p>
    <w:p>
      <w:pPr>
        <w:rPr>
          <w:noProof/>
        </w:rPr>
      </w:pPr>
      <w:r>
        <w:rPr>
          <w:noProof/>
        </w:rPr>
        <w:t>Ettepanek on kooskõlas ELi üldise välis- ja julgeolekupoliitika strateegiaga ning julgeoleku- ja kaitseküsimuste rakenduskavaga</w:t>
      </w:r>
      <w:r>
        <w:rPr>
          <w:rStyle w:val="FootnoteReference"/>
          <w:noProof/>
        </w:rPr>
        <w:footnoteReference w:id="24"/>
      </w:r>
      <w:r>
        <w:rPr>
          <w:noProof/>
        </w:rPr>
        <w:t>, mis sisaldab ettepanekuid ELi üldise välis- ja julgeolekupoliitika strateegia rakendamiseks julgeoleku- ja kaitsevaldkonnas.</w:t>
      </w:r>
    </w:p>
    <w:p>
      <w:pPr>
        <w:pBdr>
          <w:top w:val="nil"/>
          <w:left w:val="nil"/>
          <w:bottom w:val="nil"/>
          <w:right w:val="nil"/>
          <w:between w:val="nil"/>
          <w:bar w:val="nil"/>
        </w:pBdr>
        <w:spacing w:before="0"/>
        <w:rPr>
          <w:noProof/>
        </w:rPr>
      </w:pPr>
      <w:r>
        <w:rPr>
          <w:noProof/>
        </w:rPr>
        <w:t>Ettepaneku esitamisega täidab komisjon sõjaväelist liikuvust käsitlevas tegevuskavas võetud kohustust hinnata ELi ja NATO kaitsetegevuse puhul käibemaksuga maksustamise ühtlustamise teostatavust.</w:t>
      </w:r>
    </w:p>
    <w:p>
      <w:pPr>
        <w:rPr>
          <w:noProof/>
        </w:rPr>
      </w:pPr>
      <w:r>
        <w:rPr>
          <w:noProof/>
        </w:rPr>
        <w:t>Ettepanek on samuti kooskõlas Euroopa kaitsealase tegevuskavaga</w:t>
      </w:r>
      <w:r>
        <w:rPr>
          <w:rStyle w:val="FootnoteReference"/>
          <w:noProof/>
        </w:rPr>
        <w:footnoteReference w:id="25"/>
      </w:r>
      <w:r>
        <w:rPr>
          <w:noProof/>
        </w:rPr>
        <w:t>, millega nähakse ette Euroopa Kaitsefondi loomine</w:t>
      </w:r>
      <w:r>
        <w:rPr>
          <w:rStyle w:val="FootnoteReference"/>
          <w:noProof/>
        </w:rPr>
        <w:footnoteReference w:id="26"/>
      </w:r>
      <w:r>
        <w:rPr>
          <w:noProof/>
        </w:rPr>
        <w:t>, ja Athena mehhanismiga</w:t>
      </w:r>
      <w:r>
        <w:rPr>
          <w:rStyle w:val="FootnoteReference"/>
          <w:noProof/>
        </w:rPr>
        <w:footnoteReference w:id="27"/>
      </w:r>
      <w:r>
        <w:rPr>
          <w:noProof/>
        </w:rPr>
        <w:t>, mille alusel hallatakse (ELi lepingu artikli 41 lõike 2 kohaselt) ELi ÜJKP sõjaliste missioonide ja operatsioonide ühiste kulude rahastamist.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pBdr>
          <w:top w:val="nil"/>
          <w:left w:val="nil"/>
          <w:bottom w:val="nil"/>
          <w:right w:val="nil"/>
          <w:between w:val="nil"/>
          <w:bar w:val="nil"/>
        </w:pBdr>
        <w:rPr>
          <w:rFonts w:eastAsia="Arial Unicode MS"/>
          <w:noProof/>
        </w:rPr>
      </w:pPr>
      <w:r>
        <w:rPr>
          <w:noProof/>
        </w:rPr>
        <w:t>Kavandatava direktiiviga muudetakse käibemaksudirektiivi ja aktsiisidirektiivi Euroopa Liidu toimimise lepingu artikli 113 alusel. Selles artiklis on sätestatud, et nõukogu võtab pärast Euroopa Parlamendi ning Euroopa Majandus- ja Sotsiaalkomiteega konsulteerimist seadusandliku erimenetluse teel ühehäälselt vastu sätted liikmesriikide kaudseid makse käsitlevate õigusnormide ühtlustamiseks.</w:t>
      </w:r>
    </w:p>
    <w:p>
      <w:pPr>
        <w:pStyle w:val="ManualHeading2"/>
        <w:ind w:left="0" w:firstLine="0"/>
        <w:rPr>
          <w:rFonts w:eastAsia="Arial Unicode MS"/>
          <w:noProof/>
          <w:u w:color="000000"/>
          <w:bdr w:val="nil"/>
        </w:rPr>
      </w:pPr>
      <w:r>
        <w:rPr>
          <w:noProof/>
          <w:u w:color="000000"/>
          <w:bdr w:val="nil"/>
        </w:rPr>
        <w:t>•</w:t>
      </w:r>
      <w:r>
        <w:rPr>
          <w:noProof/>
          <w:u w:color="000000"/>
          <w:bdr w:val="nil"/>
        </w:rPr>
        <w:tab/>
        <w:t>Subsidiaarsus (ainupädevusse mittekuuluva valdkonna puhul)</w:t>
      </w:r>
    </w:p>
    <w:p>
      <w:pPr>
        <w:rPr>
          <w:noProof/>
        </w:rPr>
      </w:pPr>
      <w:r>
        <w:rPr>
          <w:noProof/>
        </w:rPr>
        <w:t>ELi ja NATO kaitsetegevuse erinev maksustamine käibemaksu ja aktsiisiga tuleneb kehtivast käibemaksudirektiivist ja aktsiisidirektiivist. Liikmesriigid ei suudaks seda probleemi üksi tegutsedes lahendada. Ühtlustamiseks peab komisjon esitama mõlema direktiivi muutmise ettepaneku.</w:t>
      </w:r>
    </w:p>
    <w:p>
      <w:pPr>
        <w:pStyle w:val="ManualHeading2"/>
        <w:ind w:left="0" w:firstLine="0"/>
        <w:rPr>
          <w:rFonts w:eastAsia="Arial Unicode MS"/>
          <w:noProof/>
          <w:u w:color="000000"/>
          <w:bdr w:val="nil"/>
        </w:rPr>
      </w:pPr>
      <w:r>
        <w:rPr>
          <w:noProof/>
          <w:u w:color="000000"/>
          <w:bdr w:val="nil"/>
        </w:rPr>
        <w:t>•</w:t>
      </w:r>
      <w:r>
        <w:rPr>
          <w:noProof/>
          <w:u w:color="000000"/>
          <w:bdr w:val="nil"/>
        </w:rPr>
        <w:tab/>
        <w:t>Proportsionaalsus</w:t>
      </w:r>
    </w:p>
    <w:p>
      <w:pPr>
        <w:rPr>
          <w:noProof/>
        </w:rPr>
      </w:pPr>
      <w:r>
        <w:rPr>
          <w:noProof/>
        </w:rPr>
        <w:t>Ettepanek on kooskõlas proportsionaalsuse põhimõttega, kuna see ei lähe kaugemale sellest, mis on vajalik, et saavutada aluslepingute eesmärgid, mis on seotud ühtse turu sujuva toimimise ja  ÜJKP raames ühise kaitsepoliitika järkjärgulise kujundamisega. NATO kaitsetegevuse suhtes praegu kehtivaid maksuvabastusi, mille ulatus on juba piiritletud ja piiratud, ei laiendata. Käesoleva ettepaneku tulemusel kehtivad liidu ja NATO kaitsetegevuse puhul sarnase ulatusega maksuvabastused. Kuigi iga maksuvabastus mõjutab maksutulusid, avaldab ELi kaitsetegevuse lisamine kõnealuste maksuvabastuste kohaldamisalasse maksubaasile minimaalset mõju.</w:t>
      </w:r>
    </w:p>
    <w:p>
      <w:pPr>
        <w:pStyle w:val="ManualHeading2"/>
        <w:rPr>
          <w:rFonts w:eastAsia="Arial Unicode MS"/>
          <w:noProof/>
          <w:u w:color="000000"/>
          <w:bdr w:val="nil"/>
        </w:rPr>
      </w:pPr>
      <w:r>
        <w:rPr>
          <w:noProof/>
          <w:u w:color="000000"/>
          <w:bdr w:val="nil"/>
        </w:rPr>
        <w:t>•</w:t>
      </w:r>
      <w:r>
        <w:rPr>
          <w:noProof/>
          <w:u w:color="000000"/>
          <w:bdr w:val="nil"/>
        </w:rPr>
        <w:tab/>
        <w:t>Õigusakti valik</w:t>
      </w:r>
    </w:p>
    <w:p>
      <w:pPr>
        <w:pBdr>
          <w:top w:val="nil"/>
          <w:left w:val="nil"/>
          <w:bottom w:val="nil"/>
          <w:right w:val="nil"/>
          <w:between w:val="nil"/>
          <w:bar w:val="nil"/>
        </w:pBdr>
        <w:spacing w:before="0" w:after="240"/>
        <w:rPr>
          <w:noProof/>
        </w:rPr>
      </w:pPr>
      <w:r>
        <w:rPr>
          <w:noProof/>
        </w:rPr>
        <w:t>Muudetakse kehtivat käibemaksudirektiivi ja aktsiisidirektiivi ning seega valitakse vahendiks direktiiv.</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u w:color="000000"/>
          <w:bdr w:val="nil"/>
        </w:rPr>
        <w:tab/>
        <w:t>Praegu kehtivate õigusaktide järelhindamine või toimivuse kontroll</w:t>
      </w:r>
    </w:p>
    <w:p>
      <w:pPr>
        <w:rPr>
          <w:noProof/>
        </w:rPr>
      </w:pPr>
      <w:r>
        <w:rPr>
          <w:noProof/>
        </w:rPr>
        <w:t>Praegu puuduvad õigusaktid, mis reguleeriksid ELi kaitsetegevuse raames tehtud tarnete või osutatud teenuste käibemaksu või aktsiisiga maksustamist. Andmed NATO kaitsetegevuse raames tehtud tarnete või osutatud teenuste kohta ei ole saadaval.</w:t>
      </w:r>
    </w:p>
    <w:p>
      <w:pPr>
        <w:pStyle w:val="ManualHeading2"/>
        <w:rPr>
          <w:rFonts w:eastAsia="Arial Unicode MS"/>
          <w:noProof/>
          <w:u w:color="000000"/>
          <w:bdr w:val="nil"/>
        </w:rPr>
      </w:pPr>
      <w:r>
        <w:rPr>
          <w:noProof/>
          <w:u w:color="000000"/>
          <w:bdr w:val="nil"/>
        </w:rPr>
        <w:t>•</w:t>
      </w:r>
      <w:r>
        <w:rPr>
          <w:noProof/>
          <w:u w:color="000000"/>
          <w:bdr w:val="nil"/>
        </w:rPr>
        <w:tab/>
        <w:t>Konsulteerimine sidusrühmadega</w:t>
      </w:r>
    </w:p>
    <w:p>
      <w:pPr>
        <w:rPr>
          <w:rFonts w:eastAsiaTheme="majorEastAsia"/>
          <w:b/>
          <w:bCs/>
          <w:smallCaps/>
          <w:noProof/>
        </w:rPr>
      </w:pPr>
      <w:r>
        <w:rPr>
          <w:noProof/>
        </w:rPr>
        <w:t>Liikmesriikidega konsulteeriti käibemaksu tulevikku käsitlevas töörühmas</w:t>
      </w:r>
      <w:r>
        <w:rPr>
          <w:rStyle w:val="FootnoteReference"/>
          <w:noProof/>
        </w:rPr>
        <w:footnoteReference w:id="28"/>
      </w:r>
      <w:r>
        <w:rPr>
          <w:noProof/>
        </w:rPr>
        <w:t xml:space="preserve"> ja üldiselt nad kinnitasid, et ELi tasandil on vaja tegutseda, kehtestades ELi kaitsetegevusega seotud kaubatarnete ja teenuste suhtes käibemaksuvabastuse, mis on sarnane NATO kaitsetegevusega seotud kaubatarnete ja teenuste maksuvabastusega, nagu on sätestatud käibemaksudirektiivi artikli 151 lõike 1 punktides c ja d. Käesoleva ettepanekuga täidetakse seda eesmärki ning säilitatakse käibemaksu ja aktsiisi kooskõla.</w:t>
      </w:r>
    </w:p>
    <w:p>
      <w:pPr>
        <w:pStyle w:val="ManualHeading2"/>
        <w:rPr>
          <w:rFonts w:eastAsia="Arial Unicode MS"/>
          <w:noProof/>
          <w:u w:color="000000"/>
          <w:bdr w:val="nil"/>
        </w:rPr>
      </w:pPr>
      <w:r>
        <w:rPr>
          <w:noProof/>
          <w:u w:color="000000"/>
          <w:bdr w:val="nil"/>
        </w:rPr>
        <w:t>•</w:t>
      </w:r>
      <w:r>
        <w:rPr>
          <w:noProof/>
          <w:u w:color="000000"/>
          <w:bdr w:val="nil"/>
        </w:rPr>
        <w:tab/>
        <w:t>Eksperdiarvamuste kogumine ja kasutamine</w:t>
      </w:r>
    </w:p>
    <w:p>
      <w:pPr>
        <w:rPr>
          <w:noProof/>
        </w:rPr>
      </w:pPr>
      <w:r>
        <w:rPr>
          <w:noProof/>
        </w:rPr>
        <w:t>Eksperdiarvamused, mis saadi konsulteerimistest Euroopa välisteenistuse ja EDA esindajate ning kaitsevaldkonna ekspertidega, kes andsid tuge käibemaksu tulevikku käsitleva töörühma liikmetele, olid käesoleva ettepaneku jaoks piisavad.</w:t>
      </w:r>
    </w:p>
    <w:p>
      <w:pPr>
        <w:pStyle w:val="ManualHeading2"/>
        <w:rPr>
          <w:rFonts w:eastAsia="Arial Unicode MS"/>
          <w:noProof/>
          <w:u w:color="000000"/>
          <w:bdr w:val="nil"/>
        </w:rPr>
      </w:pPr>
      <w:r>
        <w:rPr>
          <w:noProof/>
          <w:u w:color="000000"/>
          <w:bdr w:val="nil"/>
        </w:rPr>
        <w:t>•</w:t>
      </w:r>
      <w:r>
        <w:rPr>
          <w:noProof/>
          <w:u w:color="000000"/>
          <w:bdr w:val="nil"/>
        </w:rPr>
        <w:tab/>
        <w:t>Mõjuanalüüs</w:t>
      </w:r>
    </w:p>
    <w:p>
      <w:pPr>
        <w:pBdr>
          <w:top w:val="nil"/>
          <w:left w:val="nil"/>
          <w:bottom w:val="nil"/>
          <w:right w:val="nil"/>
          <w:between w:val="nil"/>
          <w:bar w:val="nil"/>
        </w:pBdr>
        <w:rPr>
          <w:noProof/>
        </w:rPr>
      </w:pPr>
      <w:r>
        <w:rPr>
          <w:noProof/>
        </w:rPr>
        <w:t>Ettepanekule ei ole lisatud mõjuhinnangut, kuna selle eesmärk iseenesest määrab ära poliitikavariandi. Ning kuna kavandatava erandi ulatus on piiratud, puudub ka sotsiaalne, majanduslik või keskkonnamõju.</w:t>
      </w:r>
    </w:p>
    <w:p>
      <w:pPr>
        <w:pBdr>
          <w:top w:val="nil"/>
          <w:left w:val="nil"/>
          <w:bottom w:val="nil"/>
          <w:right w:val="nil"/>
          <w:between w:val="nil"/>
          <w:bar w:val="nil"/>
        </w:pBdr>
        <w:rPr>
          <w:noProof/>
        </w:rPr>
      </w:pPr>
      <w:r>
        <w:rPr>
          <w:noProof/>
        </w:rPr>
        <w:t>Käesolevas jaos analüüsitakse meetme mõju käibemaksutulule võrreldes lähtestsenaariumiga, mille korral reegleid ei muudetaks. Kuna üksikasjalikud andmed sõjaliste kulutuste kohta on kas salajased või need ei ole kättesaadavad, põhineb analüüs umbkaudsel hinnangul.</w:t>
      </w:r>
    </w:p>
    <w:p>
      <w:pPr>
        <w:pBdr>
          <w:top w:val="nil"/>
          <w:left w:val="nil"/>
          <w:bottom w:val="nil"/>
          <w:right w:val="nil"/>
          <w:between w:val="nil"/>
          <w:bar w:val="nil"/>
        </w:pBdr>
        <w:rPr>
          <w:noProof/>
        </w:rPr>
      </w:pPr>
      <w:r>
        <w:rPr>
          <w:noProof/>
        </w:rPr>
        <w:t>Maksuvabastusi kohaldataks järgmiste ÜJKP meetmete suhtes</w:t>
      </w:r>
    </w:p>
    <w:p>
      <w:pPr>
        <w:pStyle w:val="Point0number"/>
        <w:keepNext/>
        <w:numPr>
          <w:ilvl w:val="0"/>
          <w:numId w:val="13"/>
        </w:numPr>
        <w:ind w:left="851" w:hanging="851"/>
        <w:rPr>
          <w:noProof/>
        </w:rPr>
      </w:pPr>
      <w:r>
        <w:rPr>
          <w:noProof/>
        </w:rPr>
        <w:t>Sõjalised missioonid ja operatsioonid</w:t>
      </w:r>
    </w:p>
    <w:p>
      <w:pPr>
        <w:pStyle w:val="Text1"/>
        <w:rPr>
          <w:noProof/>
        </w:rPr>
      </w:pPr>
      <w:r>
        <w:rPr>
          <w:noProof/>
        </w:rPr>
        <w:t>EL on alates 2003. aastast korraldanud ÜJKP raames sõjalisi missioone ja operatsioone, mille (praeguseks) õiguslikuks aluseks on ELi lepingu artikli 42 lõige 4 ja artikli 43 lõige 2. Praegu on liidu naabruses ja Aafrikas käimas kuus sõjalist missiooni/operatsiooni</w:t>
      </w:r>
      <w:r>
        <w:rPr>
          <w:rStyle w:val="FootnoteReference"/>
          <w:rFonts w:eastAsia="Arial Unicode MS"/>
          <w:noProof/>
        </w:rPr>
        <w:footnoteReference w:id="29"/>
      </w:r>
      <w:r>
        <w:rPr>
          <w:noProof/>
        </w:rPr>
        <w:t>. ÜJKP missioonid ja operatsioonid võivad toimuda ainult väljaspool liitu, kuid maksuvabastused hõlmaksid sellise siirmise (ümberpaigutamise) osana liidus sooritatavaid tegevusi (siirmine operatsiooni peakorterisse, transiit, liikumine, siirmiseelne väljaõpe, õppused, koosolekud jne).</w:t>
      </w:r>
    </w:p>
    <w:p>
      <w:pPr>
        <w:pStyle w:val="Point0number"/>
        <w:keepNext/>
        <w:ind w:left="851" w:hanging="851"/>
        <w:rPr>
          <w:noProof/>
        </w:rPr>
      </w:pPr>
      <w:r>
        <w:rPr>
          <w:noProof/>
        </w:rPr>
        <w:t>Lahingugrupid</w:t>
      </w:r>
    </w:p>
    <w:p>
      <w:pPr>
        <w:pStyle w:val="Text1"/>
        <w:rPr>
          <w:noProof/>
        </w:rPr>
      </w:pPr>
      <w:r>
        <w:rPr>
          <w:noProof/>
        </w:rPr>
        <w:t>Mis puudutab ELi lepingu artikli 42 lõikel 1 põhinevaid ELi lahingugruppe</w:t>
      </w:r>
      <w:r>
        <w:rPr>
          <w:rStyle w:val="FootnoteReference"/>
          <w:rFonts w:eastAsia="Arial Unicode MS"/>
          <w:noProof/>
        </w:rPr>
        <w:footnoteReference w:id="30"/>
      </w:r>
      <w:r>
        <w:rPr>
          <w:noProof/>
        </w:rPr>
        <w:t>, siis ei mõjuta maksuvabastuste laiendamine praeguse seisuga käibemaksu- ega aktsiisitulu, kuna lahingugruppe ei ole siiani siirdud. Kui siirmine (ümberpaigutamine) aset leiab (mis toimuks väljaspool liitu),</w:t>
      </w:r>
      <w:r>
        <w:rPr>
          <w:rStyle w:val="FootnoteReference"/>
          <w:rFonts w:eastAsia="Arial Unicode MS"/>
          <w:noProof/>
        </w:rPr>
        <w:footnoteReference w:id="31"/>
      </w:r>
      <w:r>
        <w:rPr>
          <w:noProof/>
        </w:rPr>
        <w:t xml:space="preserve"> hõlmaksid maksuvabastused ka sellega seotud ÜJKP meetmeid, mida rakendatakse liidus.</w:t>
      </w:r>
    </w:p>
    <w:p>
      <w:pPr>
        <w:pStyle w:val="Point0number"/>
        <w:keepNext/>
        <w:ind w:left="851" w:hanging="851"/>
        <w:rPr>
          <w:noProof/>
        </w:rPr>
      </w:pPr>
      <w:r>
        <w:rPr>
          <w:noProof/>
        </w:rPr>
        <w:t>Vastastikune abi</w:t>
      </w:r>
    </w:p>
    <w:p>
      <w:pPr>
        <w:pStyle w:val="Text1"/>
        <w:rPr>
          <w:noProof/>
        </w:rPr>
      </w:pPr>
      <w:r>
        <w:rPr>
          <w:noProof/>
        </w:rPr>
        <w:t>Seda, kui suurt mõju avaldaksid käibemaksu- ja aktsiisitulule sellise vastastikuse abi suhtes kohaldatavad maksuvabastused, mida antakse vastavalt ELi lepingu artikli 42 lõikele 7 olukorras, kus liikmesriik langeb oma territooriumil relvastatud kallaletungi ohvriks, ei ole võimalik prognoosida. Pärast 13. novembril 2015 Pariisis toimunud terrorirünnakuid palus Prantsusmaa teistelt liikmesriikidelt sellist abi. Osa liikmesriike otsustas lisaks kahepoolsetele toetustele suurendada oma osalust ÜJKP sõjalises missioonis EUTM Mali.</w:t>
      </w:r>
    </w:p>
    <w:p>
      <w:pPr>
        <w:pStyle w:val="Point0number"/>
        <w:keepNext/>
        <w:ind w:left="851" w:hanging="851"/>
        <w:rPr>
          <w:noProof/>
        </w:rPr>
      </w:pPr>
      <w:r>
        <w:rPr>
          <w:noProof/>
        </w:rPr>
        <w:t>PESCO</w:t>
      </w:r>
    </w:p>
    <w:p>
      <w:pPr>
        <w:pStyle w:val="Text1"/>
        <w:rPr>
          <w:noProof/>
        </w:rPr>
      </w:pPr>
      <w:r>
        <w:rPr>
          <w:noProof/>
        </w:rPr>
        <w:t>Võib eeldada, et hiljuti ELi lepingu artikli 46 alusel loodud alaline struktureeritud koostöö</w:t>
      </w:r>
      <w:r>
        <w:rPr>
          <w:rStyle w:val="FootnoteReference"/>
          <w:rFonts w:eastAsia="Arial Unicode MS"/>
          <w:noProof/>
        </w:rPr>
        <w:footnoteReference w:id="32"/>
      </w:r>
      <w:r>
        <w:rPr>
          <w:noProof/>
        </w:rPr>
        <w:t>, milles osaleb 25 liikmesriiki</w:t>
      </w:r>
      <w:r>
        <w:rPr>
          <w:rStyle w:val="FootnoteReference"/>
          <w:rFonts w:eastAsia="Arial Unicode MS"/>
          <w:noProof/>
        </w:rPr>
        <w:footnoteReference w:id="33"/>
      </w:r>
      <w:r>
        <w:rPr>
          <w:noProof/>
        </w:rPr>
        <w:t>, toob kaasa käibemaksu- ja aktsiisitulu vähenemise. Alaline struktureeritud koostöö võimaldab liikmesriikidel, kes seda soovivad ja kellel on selleks vajalikud võimed, tihendada oma kaitsekoostööd, kavandada ühiselt ja töötada välja võimetealaseid koostööprojekte ja neisse investeerida ning suurendada oma relvajõudude tegevusvalmidust ja panust</w:t>
      </w:r>
      <w:r>
        <w:rPr>
          <w:rStyle w:val="FootnoteReference"/>
          <w:rFonts w:eastAsia="Arial Unicode MS"/>
          <w:noProof/>
        </w:rPr>
        <w:footnoteReference w:id="34"/>
      </w:r>
      <w:r>
        <w:rPr>
          <w:noProof/>
        </w:rPr>
        <w:t>.</w:t>
      </w:r>
    </w:p>
    <w:p>
      <w:pPr>
        <w:pStyle w:val="Point0number"/>
        <w:keepNext/>
        <w:ind w:left="851" w:hanging="851"/>
        <w:rPr>
          <w:noProof/>
        </w:rPr>
      </w:pPr>
      <w:r>
        <w:rPr>
          <w:noProof/>
        </w:rPr>
        <w:t>EDA meetmed</w:t>
      </w:r>
    </w:p>
    <w:p>
      <w:pPr>
        <w:pStyle w:val="Text1"/>
        <w:rPr>
          <w:noProof/>
        </w:rPr>
      </w:pPr>
      <w:r>
        <w:rPr>
          <w:noProof/>
        </w:rPr>
        <w:t>Praeguse seisuga väheneks EDA meetmetega seoses saadav maksutulu üksnes ELi lepingu artikli 42 lõikes 3 ja artiklis 45 osutatud meetmete puhul,</w:t>
      </w:r>
      <w:r>
        <w:rPr>
          <w:rStyle w:val="FootnoteReference"/>
          <w:noProof/>
        </w:rPr>
        <w:footnoteReference w:id="35"/>
      </w:r>
      <w:r>
        <w:rPr>
          <w:noProof/>
        </w:rPr>
        <w:t xml:space="preserve"> mille hulka kuulub korrapärane õpe ja tegevusalane koolitus</w:t>
      </w:r>
      <w:r>
        <w:rPr>
          <w:rStyle w:val="FootnoteReference"/>
          <w:rFonts w:eastAsia="Arial Unicode MS"/>
          <w:noProof/>
        </w:rPr>
        <w:footnoteReference w:id="36"/>
      </w:r>
      <w:r>
        <w:rPr>
          <w:noProof/>
        </w:rPr>
        <w:t>. Selleks, et projektide suhtes saaks kohaldada maksuvabastust, peaksid need hõlmama ühe liikmesriigi relvajõudude siirmist teise liikmesriiki. Õigust maksuvabastusele ei oleks nende muude riikide relvajõududel, kes on allkirjastanud EDAga halduskokkulepped</w:t>
      </w:r>
      <w:r>
        <w:rPr>
          <w:rStyle w:val="FootnoteReference"/>
          <w:rFonts w:eastAsia="Arial Unicode MS"/>
          <w:noProof/>
        </w:rPr>
        <w:footnoteReference w:id="37"/>
      </w:r>
      <w:r>
        <w:rPr>
          <w:noProof/>
        </w:rPr>
        <w:t>. ELi mittekuuluvatel NATO liikmetel on siiski õigus praegu kehtivatele eranditele.</w:t>
      </w:r>
    </w:p>
    <w:p>
      <w:pPr>
        <w:pBdr>
          <w:top w:val="nil"/>
          <w:left w:val="nil"/>
          <w:bottom w:val="nil"/>
          <w:right w:val="nil"/>
          <w:between w:val="nil"/>
          <w:bar w:val="nil"/>
        </w:pBdr>
        <w:rPr>
          <w:rFonts w:eastAsia="Arial Unicode MS"/>
          <w:noProof/>
          <w:color w:val="000000" w:themeColor="text1"/>
        </w:rPr>
      </w:pPr>
      <w:r>
        <w:rPr>
          <w:noProof/>
        </w:rPr>
        <w:t>EDA liikmete kaitsekulude andmed avaldatakse EDA kaitseandmete portaalis. 2014. aastal (kõige hilisem aasta, mille kohta on andmed saadaval) olid kõigi liikmesriikide (v.a Taani) kulud sisseostetud teenuse kaudu sooritatud toimingutele ja hooldusele kokku 5,3 miljardit eurot.</w:t>
      </w:r>
      <w:r>
        <w:rPr>
          <w:noProof/>
          <w:color w:val="000000" w:themeColor="text1"/>
        </w:rPr>
        <w:t xml:space="preserve"> Ent nendes andmetes ei ole eristatud järgmist:</w:t>
      </w:r>
    </w:p>
    <w:p>
      <w:pPr>
        <w:pStyle w:val="Tiret0"/>
        <w:numPr>
          <w:ilvl w:val="0"/>
          <w:numId w:val="14"/>
        </w:numPr>
        <w:rPr>
          <w:noProof/>
        </w:rPr>
      </w:pPr>
      <w:r>
        <w:rPr>
          <w:noProof/>
        </w:rPr>
        <w:t xml:space="preserve">riigisisene kaupade tarnimine ja teenuste osutamine, mille suhtes maksuvabastust ei kohaldata, ning </w:t>
      </w:r>
    </w:p>
    <w:p>
      <w:pPr>
        <w:pStyle w:val="Tiret0"/>
        <w:rPr>
          <w:noProof/>
        </w:rPr>
      </w:pPr>
      <w:r>
        <w:rPr>
          <w:noProof/>
        </w:rPr>
        <w:t xml:space="preserve">teises liikmesriigis tehtud kaubatarned ja osutatud teenused, mis üldiselt on seotud ÜJKP või NATO tegevusega. </w:t>
      </w:r>
    </w:p>
    <w:p>
      <w:pPr>
        <w:pBdr>
          <w:top w:val="nil"/>
          <w:left w:val="nil"/>
          <w:bottom w:val="nil"/>
          <w:right w:val="nil"/>
          <w:between w:val="nil"/>
          <w:bar w:val="nil"/>
        </w:pBdr>
        <w:rPr>
          <w:rFonts w:eastAsia="Arial Unicode MS"/>
          <w:noProof/>
          <w:color w:val="000000" w:themeColor="text1"/>
        </w:rPr>
      </w:pPr>
      <w:r>
        <w:rPr>
          <w:noProof/>
          <w:color w:val="000000" w:themeColor="text1"/>
        </w:rPr>
        <w:t xml:space="preserve">On mõistlik eeldada, et enamik sellest summast (vähemalt 80 %) on seotud esimeses taandes osutatud tarnete ja teenustega ning ainult väike osa (kõige rohkem 20 %) teises taandes nimetatuga. </w:t>
      </w:r>
      <w:r>
        <w:rPr>
          <w:noProof/>
        </w:rPr>
        <w:t>Peale selle moodustavad teisest eespool nimetatud summast tavaliselt ligikaudu poole kulutused siirdud relvajõudude majutusele, mis on käibemaksudirektiivi artikli 135 lõike 1 punkti l kohaselt käibemaksust vabastatud.</w:t>
      </w:r>
      <w:r>
        <w:rPr>
          <w:noProof/>
          <w:color w:val="000000" w:themeColor="text1"/>
        </w:rPr>
        <w:t xml:space="preserve"> </w:t>
      </w:r>
    </w:p>
    <w:p>
      <w:pPr>
        <w:pBdr>
          <w:top w:val="nil"/>
          <w:left w:val="nil"/>
          <w:bottom w:val="nil"/>
          <w:right w:val="nil"/>
          <w:between w:val="nil"/>
          <w:bar w:val="nil"/>
        </w:pBdr>
        <w:rPr>
          <w:rFonts w:eastAsia="Arial Unicode MS"/>
          <w:noProof/>
          <w:color w:val="000000" w:themeColor="text1"/>
        </w:rPr>
      </w:pPr>
      <w:r>
        <w:rPr>
          <w:noProof/>
        </w:rPr>
        <w:t>Seega võib eeldada, et kogusummast kõige rohkem 10 % (530 miljonit eurot) võib kas uute reeglite alusel käibemaksust vabastada või see on juba kaetud NATO tegevuse suhtes kehtiva maksuvabastusega.</w:t>
      </w:r>
      <w:r>
        <w:rPr>
          <w:noProof/>
          <w:color w:val="000000" w:themeColor="text1"/>
        </w:rPr>
        <w:t xml:space="preserve"> See puudutab kaubatarneid (nt toit, kütus, spetsiaalsed vedelikud, seadmed, farmaatsiatooted, elekter, vesi, gaas) ja teenuste osutamist (nt toitlustus, side, hooldus, remont, transport, teemaksud). Hinnangus ei ole võetud arvesse liikmesriikide sõjaliste kulutuste mis tahes võimalikku suurenemist ÜJKP kasvava tähtsuse tõttu, kuid see sisaldab kehtivast NATO-erandist tingitud kulu.</w:t>
      </w:r>
    </w:p>
    <w:p>
      <w:pPr>
        <w:pBdr>
          <w:top w:val="nil"/>
          <w:left w:val="nil"/>
          <w:bottom w:val="nil"/>
          <w:right w:val="nil"/>
          <w:between w:val="nil"/>
          <w:bar w:val="nil"/>
        </w:pBdr>
        <w:rPr>
          <w:noProof/>
        </w:rPr>
      </w:pPr>
      <w:r>
        <w:rPr>
          <w:noProof/>
        </w:rPr>
        <w:t>Seega on sisseostetud tegevuse näitajana mõistlik kasutada hinnangulist summat 530 miljonit eurot, mille alusel võib käibemaksutulu väheneda kõigi liikmesriikide jaoks kokku ligikaudu 80 miljoni euro võrra (võttes eelduseks, et keskmine käibemaksumäär on 18 %</w:t>
      </w:r>
      <w:r>
        <w:rPr>
          <w:rStyle w:val="FootnoteReference"/>
          <w:rFonts w:eastAsia="Arial Unicode MS"/>
          <w:noProof/>
        </w:rPr>
        <w:footnoteReference w:id="38"/>
      </w:r>
      <w:r>
        <w:rPr>
          <w:noProof/>
        </w:rPr>
        <w:t>).</w:t>
      </w:r>
    </w:p>
    <w:p>
      <w:pPr>
        <w:pBdr>
          <w:top w:val="nil"/>
          <w:left w:val="nil"/>
          <w:bottom w:val="nil"/>
          <w:right w:val="nil"/>
          <w:between w:val="nil"/>
          <w:bar w:val="nil"/>
        </w:pBdr>
        <w:rPr>
          <w:rFonts w:eastAsia="Arial Unicode MS"/>
          <w:noProof/>
          <w:color w:val="000000" w:themeColor="text1"/>
        </w:rPr>
      </w:pPr>
      <w:r>
        <w:rPr>
          <w:noProof/>
          <w:color w:val="000000" w:themeColor="text1"/>
        </w:rPr>
        <w:t>Mis puutub aktsiisi, siis peaksid energiatooted (nt kütus) ja elekter olema peamine aktsiisivabastusega tootekategooria. Nagu ka käibemaksu puhul, võib eeldada, et umbes 10 % nendest kuludest muutuvad tulevikus aktsiisivabaks. Sellegipoolest puuduvad kättesaadavad andmed, mille alusel saaks mõju arvuliselt väljendada.</w:t>
      </w:r>
    </w:p>
    <w:p>
      <w:pPr>
        <w:pStyle w:val="ManualHeading2"/>
        <w:rPr>
          <w:rFonts w:eastAsia="Arial Unicode MS"/>
          <w:noProof/>
          <w:u w:color="000000"/>
          <w:bdr w:val="nil"/>
        </w:rPr>
      </w:pPr>
      <w:r>
        <w:rPr>
          <w:noProof/>
          <w:u w:color="000000"/>
          <w:bdr w:val="nil"/>
        </w:rPr>
        <w:t>•</w:t>
      </w:r>
      <w:r>
        <w:rPr>
          <w:noProof/>
          <w:u w:color="000000"/>
          <w:bdr w:val="nil"/>
        </w:rPr>
        <w:tab/>
        <w:t>Õigusnormide toimivus ja lihtsustamine</w:t>
      </w:r>
    </w:p>
    <w:p>
      <w:pPr>
        <w:rPr>
          <w:noProof/>
        </w:rPr>
      </w:pPr>
      <w:r>
        <w:rPr>
          <w:noProof/>
        </w:rPr>
        <w:t>Ettepanek ei ole seotud õigusloome kvaliteedi ja tulemuslikkuse programmiga ning sellel ei ole erilist mõju mikroettevõtjatele ja VKEdele.</w:t>
      </w:r>
    </w:p>
    <w:p>
      <w:pPr>
        <w:pStyle w:val="ManualHeading1"/>
        <w:rPr>
          <w:noProof/>
        </w:rPr>
      </w:pPr>
      <w:r>
        <w:rPr>
          <w:noProof/>
        </w:rPr>
        <w:t>4.</w:t>
      </w:r>
      <w:r>
        <w:rPr>
          <w:noProof/>
        </w:rPr>
        <w:tab/>
        <w:t>MÕJU EELARVELE</w:t>
      </w:r>
    </w:p>
    <w:p>
      <w:pPr>
        <w:rPr>
          <w:noProof/>
        </w:rPr>
      </w:pPr>
      <w:r>
        <w:rPr>
          <w:noProof/>
        </w:rPr>
        <w:t xml:space="preserve">Käibemaksuvabastuste kohaldamisala laiendamisega võib ettepanek tuua kaasa liikmesriikide kogutava käibemaksutulu ja seega ka käibemaksupõhiste omavahendite vähenemise. Kuigi see ei avaldada negatiivset mõju ELi eelarvele, kuna kogurahvatulul põhinevate omavahenditega kompenseeritakse mis tahes kulutused, mida traditsioonilised omavahendid ja käibemaksupõhised omavahendid ei kata, tuleks need käibemaksupõhised omavahendid, mis jääksid teatavatel liikmesriikidel kogumata, kõigil liikmesriikidel kompenseerida kogurahvatulul põhinevatest omavahenditest. </w:t>
      </w:r>
    </w:p>
    <w:p>
      <w:pPr>
        <w:rPr>
          <w:noProof/>
        </w:rPr>
      </w:pPr>
      <w:r>
        <w:rPr>
          <w:noProof/>
        </w:rPr>
        <w:t>Aktsiis ei ole omavahend. Seega ei avalda see mõju liidu eelarvele.</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u w:color="000000"/>
          <w:bdr w:val="nil"/>
        </w:rPr>
        <w:t>•</w:t>
      </w:r>
      <w:r>
        <w:rPr>
          <w:noProof/>
          <w:u w:color="000000"/>
          <w:bdr w:val="nil"/>
        </w:rPr>
        <w:tab/>
        <w:t>Rakenduskavad ning järelevalve, hindamise ja aruandluse kord</w:t>
      </w:r>
    </w:p>
    <w:p>
      <w:pPr>
        <w:rPr>
          <w:noProof/>
        </w:rPr>
      </w:pPr>
      <w:r>
        <w:rPr>
          <w:noProof/>
        </w:rPr>
        <w:t>Komisjon jälgib kavandatud meetmete rakendamist osana oma kohustusest tagada ELi käibemaksu- ja aktsiisialaste õigusaktide nõuetekohane kohaldamine.</w:t>
      </w:r>
    </w:p>
    <w:p>
      <w:pPr>
        <w:pStyle w:val="ManualHeading2"/>
        <w:rPr>
          <w:rFonts w:eastAsia="Arial Unicode MS"/>
          <w:noProof/>
          <w:u w:color="000000"/>
          <w:bdr w:val="nil"/>
        </w:rPr>
      </w:pPr>
      <w:r>
        <w:rPr>
          <w:noProof/>
          <w:u w:color="000000"/>
          <w:bdr w:val="nil"/>
        </w:rPr>
        <w:t>•</w:t>
      </w:r>
      <w:r>
        <w:rPr>
          <w:noProof/>
          <w:u w:color="000000"/>
          <w:bdr w:val="nil"/>
        </w:rPr>
        <w:tab/>
        <w:t>Ettepaneku sätete selgitus</w:t>
      </w:r>
    </w:p>
    <w:p>
      <w:pPr>
        <w:rPr>
          <w:noProof/>
        </w:rPr>
      </w:pPr>
      <w:r>
        <w:rPr>
          <w:noProof/>
        </w:rPr>
        <w:t xml:space="preserve">Ettepaneku </w:t>
      </w:r>
      <w:r>
        <w:rPr>
          <w:b/>
          <w:noProof/>
        </w:rPr>
        <w:t>artikliga 1</w:t>
      </w:r>
      <w:r>
        <w:rPr>
          <w:noProof/>
        </w:rPr>
        <w:t xml:space="preserve"> muudetakse käibemaksudirektiivi järgmiselt.</w:t>
      </w:r>
    </w:p>
    <w:p>
      <w:pPr>
        <w:pStyle w:val="Tiret0"/>
        <w:rPr>
          <w:noProof/>
        </w:rPr>
      </w:pPr>
      <w:r>
        <w:rPr>
          <w:noProof/>
        </w:rPr>
        <w:t>Artiklisse 22 lisatakse lõik, mis on samalaadne praegu kehtiva lõiguga, milles on osutatud NATO riigi relvajõududele</w:t>
      </w:r>
      <w:r>
        <w:rPr>
          <w:rStyle w:val="FootnoteReference"/>
          <w:noProof/>
        </w:rPr>
        <w:footnoteReference w:id="39"/>
      </w:r>
      <w:r>
        <w:rPr>
          <w:noProof/>
        </w:rPr>
        <w:t>.</w:t>
      </w:r>
    </w:p>
    <w:p>
      <w:pPr>
        <w:pStyle w:val="Text1"/>
        <w:rPr>
          <w:noProof/>
        </w:rPr>
      </w:pPr>
      <w:r>
        <w:rPr>
          <w:noProof/>
        </w:rPr>
        <w:t>Uue sättega tagatakse, et kui kaupu kasutavad liikmesriigi relvajõud, kes osalevad ÜJKP raames liidu meetmete rakendamiseks elluviidavas kaitsetegevuses, käsitatakse seda ELi-sisese soetamisena tasu eest, kui need relvajõud toovad asjaomased kaubad, mida ei ole ostetud selle liikmesriigi kohalike käibemaksueeskirjade alusel, kus relvajõud asuvad, tagasi oma liikmesriiki ning kasutavad neid seal enda või nendega kaasas oleva tsiviilpersonali tarbeks. Seda sätet kohaldatakse juhul, kui kaupade impordil ei saaks kasutada artikli 143 lõike 1 punkti ga kohast maksuvabastust.</w:t>
      </w:r>
    </w:p>
    <w:p>
      <w:pPr>
        <w:pStyle w:val="Tiret0"/>
        <w:rPr>
          <w:noProof/>
        </w:rPr>
      </w:pPr>
      <w:r>
        <w:rPr>
          <w:noProof/>
        </w:rPr>
        <w:t>Artikli 143 lõikesse 1 lisatakse punkt ga, mis on samalaadne punktiga h, milles on sätestatud NATO liikmete poolt kaupade importimisel kehtiv maksuvabastus</w:t>
      </w:r>
      <w:r>
        <w:rPr>
          <w:rStyle w:val="FootnoteReference"/>
          <w:noProof/>
        </w:rPr>
        <w:footnoteReference w:id="40"/>
      </w:r>
      <w:r>
        <w:rPr>
          <w:noProof/>
        </w:rPr>
        <w:t>.</w:t>
      </w:r>
    </w:p>
    <w:p>
      <w:pPr>
        <w:pStyle w:val="Text1"/>
        <w:rPr>
          <w:noProof/>
        </w:rPr>
      </w:pPr>
      <w:r>
        <w:rPr>
          <w:noProof/>
        </w:rPr>
        <w:t>Uue sättega kehtestatakse käibemaksuvabastus kaupade impordil liikmesriiki teise liikmesriigi relvajõudude poolt, kes osalevad ÜJKP raames liidu meetmete rakendamiseks elluviidavas kaitsetegevuses, kui kaubad on mõeldud kõnealuste relvajõudude või nendega kaasas oleva tsiviilpersonali tarbeks või nende söögisaalide ja sööklate varustamiseks.</w:t>
      </w:r>
    </w:p>
    <w:p>
      <w:pPr>
        <w:pStyle w:val="Tiret0"/>
        <w:rPr>
          <w:noProof/>
        </w:rPr>
      </w:pPr>
      <w:r>
        <w:rPr>
          <w:noProof/>
        </w:rPr>
        <w:t>Artikli 151 lõikesse 1 lisatakse punktid ba ja bb, mis on samalaadsed punktidega c ja d, milles on sätestatud NATO kaitsetegevusega seotud maksuvabastus</w:t>
      </w:r>
      <w:r>
        <w:rPr>
          <w:rStyle w:val="FootnoteReference"/>
          <w:noProof/>
        </w:rPr>
        <w:footnoteReference w:id="41"/>
      </w:r>
      <w:r>
        <w:rPr>
          <w:noProof/>
        </w:rPr>
        <w:t>.</w:t>
      </w:r>
    </w:p>
    <w:p>
      <w:pPr>
        <w:pStyle w:val="Text1"/>
        <w:rPr>
          <w:noProof/>
        </w:rPr>
      </w:pPr>
      <w:r>
        <w:rPr>
          <w:noProof/>
        </w:rPr>
        <w:t>Artikli 151 lõike 1 punktis ba sätestatud maksuvabastust kohaldatakse liikmesriigis aset leidva kaupade tarnimise või teenuste osutamise suhtes, kui need on mõeldud teise liikmesriigi relvajõudude või nendega kaasas oleva tsiviilpersonali tarbeks või nende söögisaalide ja sööklate varustamiseks, juhul kui need relvajõud osalevad kaitsetegevuses, millega rakendatakse ÜJKP raames liidu meetmeid.</w:t>
      </w:r>
    </w:p>
    <w:p>
      <w:pPr>
        <w:pStyle w:val="Text1"/>
        <w:rPr>
          <w:noProof/>
        </w:rPr>
      </w:pPr>
      <w:r>
        <w:rPr>
          <w:noProof/>
        </w:rPr>
        <w:t>Artikli 151 lõike 1 punktis bb sätestatud maksuvabastust kohaldatakse teise liikmesriiki suunatud kaubatarnete ja teenuste suhtes, mis on mõeldud mis tahes muu liikmesriigi kui sihtliikmesriigi relvajõudude või nendega kaasas oleva tsiviilpersonali tarbeks või nende söögisaalide ja sööklate varustamiseks, juhul kui need relvajõud osalevad kaitsetegevuses, millega rakendatakse ÜJKP raames liidu meetmeid.</w:t>
      </w:r>
    </w:p>
    <w:p>
      <w:pPr>
        <w:pStyle w:val="Text1"/>
        <w:rPr>
          <w:noProof/>
        </w:rPr>
      </w:pPr>
      <w:r>
        <w:rPr>
          <w:noProof/>
        </w:rPr>
        <w:t>Nagu ka NATO kaitsetegevuse puhul, ei ole seega maksuvaba riigisisene kaupade tarnimine ja teenuste osutamine liikmesriigi enda sõjalistele jõududele, nt sõjalise varustuse varuosade tarne või remondi- ja transporditeenuste osutamine.</w:t>
      </w:r>
    </w:p>
    <w:p>
      <w:pPr>
        <w:rPr>
          <w:noProof/>
        </w:rPr>
      </w:pPr>
      <w:r>
        <w:rPr>
          <w:b/>
          <w:noProof/>
        </w:rPr>
        <w:t xml:space="preserve">Artikliga 2 </w:t>
      </w:r>
      <w:r>
        <w:rPr>
          <w:noProof/>
        </w:rPr>
        <w:t>kehtestatakse ÜJKP raames liidu meetmete rakendamiseks elluviidava kaitsetegevuse puhul kohaldatav aktsiisivabastus</w:t>
      </w:r>
      <w:r>
        <w:rPr>
          <w:rStyle w:val="FootnoteReference"/>
          <w:noProof/>
        </w:rPr>
        <w:footnoteReference w:id="42"/>
      </w:r>
      <w:r>
        <w:rPr>
          <w:noProof/>
        </w:rPr>
        <w:t>. Aktsiisikaup vabastatakse aktsiisist, kui see on mõeldud mis tahes muu liikmesriigi kui riigi, kus aktsiis on sissenõutav, relvajõudude või nendega kaasas oleva tsiviilpersonali tarbeks või nende söögisaalide või sööklate varustamiseks, juhul kui need relvajõud osalevad kaitsetegevuses, millega rakendatakse ÜJKP raames liidu meetmeid.</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2019/0096 (CNS)</w:t>
      </w:r>
    </w:p>
    <w:p>
      <w:pPr>
        <w:pStyle w:val="Statut"/>
        <w:rPr>
          <w:noProof/>
        </w:rPr>
      </w:pPr>
      <w:r>
        <w:rPr>
          <w:noProof/>
        </w:rPr>
        <w:t>Ettepanek:</w:t>
      </w:r>
    </w:p>
    <w:p>
      <w:pPr>
        <w:pStyle w:val="Typedudocument"/>
        <w:rPr>
          <w:noProof/>
        </w:rPr>
      </w:pPr>
      <w:r>
        <w:rPr>
          <w:noProof/>
        </w:rPr>
        <w:t>NÕUKOGU DIREKTIIV,</w:t>
      </w:r>
    </w:p>
    <w:p>
      <w:pPr>
        <w:pStyle w:val="Titreobjet"/>
        <w:rPr>
          <w:noProof/>
        </w:rPr>
      </w:pPr>
      <w:r>
        <w:rPr>
          <w:noProof/>
        </w:rPr>
        <w:t>millega muudetakse direktiivi 2006/112/EÜ, mis käsitleb ühist käibemaksusüsteemi, ja direktiivi 2008/118/EÜ, mis käsitleb aktsiisi üldist korda, seoses liidu raamistikus elluviidava kaitsetegevusega</w:t>
      </w:r>
    </w:p>
    <w:p>
      <w:pPr>
        <w:pStyle w:val="Institutionquiagit"/>
        <w:rPr>
          <w:noProof/>
        </w:rPr>
      </w:pPr>
      <w:r>
        <w:rPr>
          <w:noProof/>
        </w:rPr>
        <w:t>EUROOPA LIIDU NÕUKOGU,</w:t>
      </w:r>
    </w:p>
    <w:p>
      <w:pPr>
        <w:rPr>
          <w:noProof/>
        </w:rPr>
      </w:pPr>
      <w:r>
        <w:rPr>
          <w:noProof/>
        </w:rPr>
        <w:t>võttes arvesse Euroopa Liidu toimimise lepingut, eriti selle artiklit 113,</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Parlamendi arvamust</w:t>
      </w:r>
      <w:r>
        <w:rPr>
          <w:rStyle w:val="FootnoteReference"/>
          <w:noProof/>
        </w:rPr>
        <w:footnoteReference w:id="43"/>
      </w:r>
      <w:r>
        <w:rPr>
          <w:noProof/>
        </w:rPr>
        <w:t>,</w:t>
      </w:r>
    </w:p>
    <w:p>
      <w:pPr>
        <w:rPr>
          <w:noProof/>
        </w:rPr>
      </w:pPr>
      <w:r>
        <w:rPr>
          <w:noProof/>
        </w:rPr>
        <w:t>võttes arvesse Euroopa Majandus- ja Sotsiaalkomitee arvamust</w:t>
      </w:r>
      <w:r>
        <w:rPr>
          <w:rStyle w:val="FootnoteReference"/>
          <w:noProof/>
        </w:rPr>
        <w:footnoteReference w:id="44"/>
      </w:r>
      <w:r>
        <w:rPr>
          <w:noProof/>
        </w:rPr>
        <w:t>,</w:t>
      </w:r>
    </w:p>
    <w:p>
      <w:pPr>
        <w:rPr>
          <w:noProof/>
        </w:rPr>
      </w:pPr>
      <w:r>
        <w:rPr>
          <w:noProof/>
        </w:rPr>
        <w:t>toimides seadusandliku erimenetluse kohaselt</w:t>
      </w:r>
    </w:p>
    <w:p>
      <w:pPr>
        <w:rPr>
          <w:noProof/>
        </w:rPr>
      </w:pPr>
      <w:r>
        <w:rPr>
          <w:noProof/>
        </w:rPr>
        <w:t>ning arvestades järgmist:</w:t>
      </w:r>
    </w:p>
    <w:p>
      <w:pPr>
        <w:pStyle w:val="ManualConsidrant"/>
        <w:rPr>
          <w:noProof/>
        </w:rPr>
      </w:pPr>
      <w:r>
        <w:t>(1)</w:t>
      </w:r>
      <w:r>
        <w:tab/>
      </w:r>
      <w:r>
        <w:rPr>
          <w:noProof/>
        </w:rPr>
        <w:t>Nõukogu direktiivi 2006/112/EÜ</w:t>
      </w:r>
      <w:r>
        <w:rPr>
          <w:rStyle w:val="FootnoteReference"/>
          <w:noProof/>
        </w:rPr>
        <w:footnoteReference w:id="45"/>
      </w:r>
      <w:r>
        <w:rPr>
          <w:noProof/>
        </w:rPr>
        <w:t xml:space="preserve"> kohaselt vabastatakse teatavatel tingimustel käibemaksust Põhja-Atlandi lepingu osalisriigi relvajõududele tarnitud kaubad või osutatud teenused ning kõnealuste relvajõudude poolt imporditud kaubad, kui need relvajõud osalevad ühises kaitsetegevuses väljaspool oma riiki.</w:t>
      </w:r>
    </w:p>
    <w:p>
      <w:pPr>
        <w:pStyle w:val="ManualConsidrant"/>
        <w:rPr>
          <w:noProof/>
        </w:rPr>
      </w:pPr>
      <w:r>
        <w:t>(2)</w:t>
      </w:r>
      <w:r>
        <w:tab/>
      </w:r>
      <w:r>
        <w:rPr>
          <w:noProof/>
        </w:rPr>
        <w:t>Nõukogu direktiivi 2008/118/EÜ</w:t>
      </w:r>
      <w:r>
        <w:rPr>
          <w:rStyle w:val="FootnoteReference"/>
          <w:noProof/>
        </w:rPr>
        <w:footnoteReference w:id="46"/>
      </w:r>
      <w:r>
        <w:rPr>
          <w:noProof/>
        </w:rPr>
        <w:t xml:space="preserve"> kohaselt vabastatakse aktsiisikaup aktsiisist, kui see on mõeldud kasutamiseks Põhja-Atlandi lepingu osalisriigi relvajõudude poolt, välja arvatud selle liikmesriigi relvajõud, kus aktsiis on sissenõutav, nende enda või nendega kaasas oleva tsiviilpersonali tarbeks või nende söögisaalide või sööklate varustamiseks, järgides vastuvõtva liikmesriigi kehtestatud tingimusi ja piiranguid.</w:t>
      </w:r>
    </w:p>
    <w:p>
      <w:pPr>
        <w:pStyle w:val="ManualConsidrant"/>
        <w:rPr>
          <w:noProof/>
        </w:rPr>
      </w:pPr>
      <w:r>
        <w:t>(3)</w:t>
      </w:r>
      <w:r>
        <w:tab/>
      </w:r>
      <w:r>
        <w:rPr>
          <w:noProof/>
        </w:rPr>
        <w:t>Neid maksuvabastusi ei kohaldata, kui liikmesriigi relvajõud osalevad ühise julgeoleku- ja kaitsepoliitika (ÜJKP) meetmetes vastavalt Euroopa Liidu lepingu (ELi leping) V jaotise 2. peatüki 2. jaole. Prioriteediks tuleks seada Euroopa kaitse- ja kriisiohjevõimete suurendamine ning liidu julgeoleku ja kaitse tugevdamine. Liidu välisasjade ja julgeolekupoliitika kõrge esindaja ning komisjon tunnistasid sõjaväelise liikuvuse tegevuskava käsitlevas 28. märtsi 2018. aasta ühisteatises</w:t>
      </w:r>
      <w:r>
        <w:rPr>
          <w:rStyle w:val="FootnoteReference"/>
          <w:noProof/>
        </w:rPr>
        <w:footnoteReference w:id="47"/>
      </w:r>
      <w:r>
        <w:rPr>
          <w:noProof/>
        </w:rPr>
        <w:t>, et oleks vaja ühtlustada käibemaksuga maksustamist seoses liidu raamistikus ja Põhja-Atlandi Lepingu Organisatsiooni (NATO) raames elluviidava kaitsetegevusega.</w:t>
      </w:r>
    </w:p>
    <w:p>
      <w:pPr>
        <w:pStyle w:val="ManualConsidrant"/>
        <w:rPr>
          <w:noProof/>
        </w:rPr>
      </w:pPr>
      <w:r>
        <w:t>(4)</w:t>
      </w:r>
      <w:r>
        <w:tab/>
      </w:r>
      <w:r>
        <w:rPr>
          <w:noProof/>
        </w:rPr>
        <w:t>Kaitsetegevus, millega rakendatakse ÜJKP raames liidu meetmeid, hõlmab sõjalisi missioone ja operatsioone, lahingugruppide tegevust, vastastikust abi, alalise struktureeritud koostöö (PESCO) projekte ning Euroopa Kaitseagentuuri (EDA) meetmeid. Sinna hulka ei peaks aga kuuluma Euroopa Liidu toimimise lepingu artiklis 222 sätestatud solidaarsusklausli alusel võetavad meetmed ega muu liikmesriikide vaheline kahe- või mitmepoolne tegevus, mis ei ole seotud ÜJKP raames liidu meetmete rakendamiseks elluviidava kaitsetegevusega.</w:t>
      </w:r>
    </w:p>
    <w:p>
      <w:pPr>
        <w:pStyle w:val="ManualConsidrant"/>
        <w:rPr>
          <w:noProof/>
        </w:rPr>
      </w:pPr>
      <w:r>
        <w:t>(5)</w:t>
      </w:r>
      <w:r>
        <w:tab/>
      </w:r>
      <w:r>
        <w:rPr>
          <w:noProof/>
        </w:rPr>
        <w:t>Seega tuleks vabastada käibemaksust kaubad ja teenused, mis on mõeldud kas liikmesriigi relvajõudude või nendega kaasas oleva tsiviilpersonali tarbeks või nende söögisaalide ja sööklate varustamiseks, kui need relvajõud osalevad väljaspool oma liikmesriiki kaitsetegevuses, millega rakendatakse ÜJKP raames liidu meetmeid. Käibemaksuvabastusest tuleks välja jätta kaubatarned ja teenuste osutamine selle liikmesriigi relvajõududele, kus neid kaupu tarnitakse või teenuseid osutatakse.</w:t>
      </w:r>
    </w:p>
    <w:p>
      <w:pPr>
        <w:pStyle w:val="ManualConsidrant"/>
        <w:rPr>
          <w:noProof/>
        </w:rPr>
      </w:pPr>
      <w:r>
        <w:t>(6)</w:t>
      </w:r>
      <w:r>
        <w:tab/>
      </w:r>
      <w:r>
        <w:rPr>
          <w:noProof/>
        </w:rPr>
        <w:t>Samuti tuleks vabastada aktsiisist kaup, mida tarnitakse mõne muu liikmesriigi kui riigi, kus aktsiis on sissenõutav, relvajõudude tarbeks, kui need relvajõud osalevad väljaspool oma liikmesriiki kaitsetegevuses, millega rakendatakse ÜJKP raames liidu meetmeid.</w:t>
      </w:r>
    </w:p>
    <w:p>
      <w:pPr>
        <w:pStyle w:val="ManualConsidrant"/>
        <w:rPr>
          <w:noProof/>
        </w:rPr>
      </w:pPr>
      <w:r>
        <w:t>(7)</w:t>
      </w:r>
      <w:r>
        <w:tab/>
      </w:r>
      <w:r>
        <w:rPr>
          <w:noProof/>
        </w:rPr>
        <w:t>Lisaks on vaja käibemaksust vabastada kaubad, mida liikmesriigi relvajõud impordivad enda või nendega kaasas oleva tsiviilpersonali tarbeks või nende söögisaalide ja sööklate varustamiseks, kui need relvajõud osalevad väljaspool oma liikmesriiki kaitsetegevuses, millega rakendatakse ÜJKP raames liidu meetmeid.</w:t>
      </w:r>
    </w:p>
    <w:p>
      <w:pPr>
        <w:pStyle w:val="ManualConsidrant"/>
        <w:rPr>
          <w:noProof/>
        </w:rPr>
      </w:pPr>
      <w:r>
        <w:t>(8)</w:t>
      </w:r>
      <w:r>
        <w:tab/>
      </w:r>
      <w:r>
        <w:rPr>
          <w:noProof/>
        </w:rPr>
        <w:t>Samamoodi nagu NATO kaitsetegevuse puhul, peaks ÜJKP raames liidu meetmete rakendamiseks elluviidava kaitsetegevusega seotud maksuvabastuse kohaldamisala olema piiratud. Maksust peaks saama vabastada ainult kaitsetegevusega otseselt seotud ülesannetest tulenevad kulud. Maksuvabastust ei tuleks kohaldada ülesannete puhul, mida täidab eranditult tsiviilpersonal või mida täidetakse üksnes tsiviilvõimeid kasutades. Samuti ei tuleks maksust vabastada selliseid kuluartikleid nagu sõjaväevarustuse varuosad või transporditeenused, mida liikmesriigi relvajõud hangivad kasutamiseks selles liikmesriigis, või transpordi- või side- ja infosüsteemide taristute ehitamine.</w:t>
      </w:r>
    </w:p>
    <w:p>
      <w:pPr>
        <w:pStyle w:val="ManualConsidrant"/>
        <w:rPr>
          <w:noProof/>
        </w:rPr>
      </w:pPr>
      <w:r>
        <w:t>(9)</w:t>
      </w:r>
      <w:r>
        <w:tab/>
      </w:r>
      <w:r>
        <w:rPr>
          <w:noProof/>
        </w:rPr>
        <w:t>Kuna käesoleva direktiivi eesmärki, nimelt liidu ja NATO kaitsetegevuse raames käibemaksuga ja aktsiisiga maksustamise ühtlustamist ei suuda liikmesriigid piisavalt saavutada ning seetõttu on seda parem saavutada liidu tasandil, võib liit võtta meetmeid kooskõlas Euroopa Liidu lepingu artiklis 5 sätestatud subsidiaarsuse põhimõttega. Kõnealuses artiklis sätestatud proportsionaalsuse põhimõtte kohaselt ei lähe käesolev direktiiv selle eesmärgi saavutamiseks vajalikust kaugemale.</w:t>
      </w:r>
    </w:p>
    <w:p>
      <w:pPr>
        <w:pStyle w:val="ManualConsidrant"/>
        <w:rPr>
          <w:noProof/>
        </w:rPr>
      </w:pPr>
      <w:r>
        <w:t>(10)</w:t>
      </w:r>
      <w:r>
        <w:tab/>
      </w:r>
      <w:r>
        <w:rPr>
          <w:noProof/>
        </w:rPr>
        <w:t>Kooskõlas liikmesriikide ja komisjoni 28. septembri 2011. aasta ühise poliitilise deklaratsiooniga selgitavate dokumentide kohta</w:t>
      </w:r>
      <w:r>
        <w:rPr>
          <w:rStyle w:val="FootnoteReference"/>
          <w:noProof/>
        </w:rPr>
        <w:footnoteReference w:id="48"/>
      </w:r>
      <w:r>
        <w:rPr>
          <w:noProof/>
        </w:rPr>
        <w:t xml:space="preserve"> kohustuvad liikmesriigid põhjendatud juhtudel lisama ülevõtmismeetmeid käsitlevale teatele ühe või mitu dokumenti, milles selgitatakse seost direktiivi osade ja ülevõtvate siseriiklike õigusaktide vastavate osade vahel. Käesoleva direktiivi puhul leiab seadusandja, et nimetatud dokumentide esitamine on põhjendatud.</w:t>
      </w:r>
    </w:p>
    <w:p>
      <w:pPr>
        <w:pStyle w:val="ManualConsidrant"/>
        <w:rPr>
          <w:noProof/>
        </w:rPr>
      </w:pPr>
      <w:r>
        <w:t>(11)</w:t>
      </w:r>
      <w:r>
        <w:tab/>
      </w:r>
      <w:r>
        <w:rPr>
          <w:noProof/>
        </w:rPr>
        <w:t>Direktiive 2006/112/EÜ ja 2008/118/EÜ tuleks seega vastavalt muuta,</w:t>
      </w:r>
    </w:p>
    <w:p>
      <w:pPr>
        <w:pStyle w:val="Formuledadoption"/>
        <w:rPr>
          <w:noProof/>
        </w:rPr>
      </w:pPr>
      <w:r>
        <w:rPr>
          <w:noProof/>
        </w:rPr>
        <w:t>ON VASTU VÕTNUD KÄESOLEVA DIREKTIIVI:</w:t>
      </w:r>
    </w:p>
    <w:p>
      <w:pPr>
        <w:pStyle w:val="Titrearticle"/>
        <w:rPr>
          <w:noProof/>
        </w:rPr>
      </w:pPr>
      <w:r>
        <w:rPr>
          <w:noProof/>
        </w:rPr>
        <w:t>Artikkel 1</w:t>
      </w:r>
    </w:p>
    <w:p>
      <w:pPr>
        <w:keepNext/>
        <w:ind w:left="851" w:hanging="851"/>
        <w:jc w:val="center"/>
        <w:rPr>
          <w:noProof/>
        </w:rPr>
      </w:pPr>
      <w:r>
        <w:rPr>
          <w:noProof/>
        </w:rPr>
        <w:t>Direktiivi 2006/112/EÜ muutmine</w:t>
      </w:r>
    </w:p>
    <w:p>
      <w:pPr>
        <w:rPr>
          <w:noProof/>
        </w:rPr>
      </w:pPr>
      <w:r>
        <w:rPr>
          <w:noProof/>
        </w:rPr>
        <w:t>Direktiivi 2006/112/EÜ muudetakse järgmiselt:</w:t>
      </w:r>
    </w:p>
    <w:p>
      <w:pPr>
        <w:rPr>
          <w:noProof/>
        </w:rPr>
      </w:pPr>
      <w:r>
        <w:rPr>
          <w:noProof/>
        </w:rPr>
        <w:t>1)</w:t>
      </w:r>
      <w:r>
        <w:rPr>
          <w:noProof/>
        </w:rPr>
        <w:tab/>
        <w:t>artiklisse 22 lisatakse esimene lõik:</w:t>
      </w:r>
    </w:p>
    <w:p>
      <w:pPr>
        <w:pStyle w:val="Point0"/>
        <w:rPr>
          <w:noProof/>
        </w:rPr>
      </w:pPr>
      <w:r>
        <w:rPr>
          <w:noProof/>
        </w:rPr>
        <w:tab/>
        <w:t>„Kaupade ühendusesiseseks soetamiseks tasu eest loetakse seda, kui ühise julgeoleku- ja kaitsepoliitika (ÜJKP) raames liidu meetmete rakendamiseks elluviidavas kaitsetegevuses osalevad liikmesriigi relvajõud või nendega kaasas olev tsiviilpersonal kasutab kaupu, mis ei ole ostetud mõne liikmesriigi siseturul maksustamist reguleerivate üldnormide alusel, kui nimetatud kaupade impordil ei saaks kohaldada artikli 143 lõike 1 punktis ga sätestatud maksuvabastust.“;</w:t>
      </w:r>
    </w:p>
    <w:p>
      <w:pPr>
        <w:rPr>
          <w:noProof/>
        </w:rPr>
      </w:pPr>
      <w:r>
        <w:rPr>
          <w:noProof/>
        </w:rPr>
        <w:t>2)</w:t>
      </w:r>
      <w:r>
        <w:rPr>
          <w:noProof/>
        </w:rPr>
        <w:tab/>
        <w:t>artikli 143 lõikesse 1 lisatakse punkt ga:</w:t>
      </w:r>
    </w:p>
    <w:p>
      <w:pPr>
        <w:pStyle w:val="Point1"/>
        <w:rPr>
          <w:noProof/>
        </w:rPr>
      </w:pPr>
      <w:r>
        <w:rPr>
          <w:noProof/>
        </w:rPr>
        <w:t>„ga)</w:t>
      </w:r>
      <w:r>
        <w:rPr>
          <w:noProof/>
        </w:rPr>
        <w:tab/>
        <w:t>kaupade import liikmesriigi territooriumile teiste liikmesriikide relvajõudude poolt nende relvajõudude või nendega kaasas oleva tsiviilpersonali tarbeks või nende söögisaalide ja sööklate varustamiseks, kui nimetatud jõud osalevad kaitsetegevuses, millega rakendatakse ÜJKP raames liidu meetmeid;“</w:t>
      </w:r>
    </w:p>
    <w:p>
      <w:pPr>
        <w:rPr>
          <w:noProof/>
        </w:rPr>
      </w:pPr>
      <w:r>
        <w:rPr>
          <w:noProof/>
        </w:rPr>
        <w:t>3)</w:t>
      </w:r>
      <w:r>
        <w:rPr>
          <w:noProof/>
        </w:rPr>
        <w:tab/>
        <w:t>artikli 151 lõikesse 1 lisatakse punktid ba ja bb:</w:t>
      </w:r>
    </w:p>
    <w:p>
      <w:pPr>
        <w:pStyle w:val="Point1"/>
        <w:rPr>
          <w:noProof/>
        </w:rPr>
      </w:pPr>
      <w:r>
        <w:rPr>
          <w:noProof/>
        </w:rPr>
        <w:t>„ba)</w:t>
      </w:r>
      <w:r>
        <w:rPr>
          <w:noProof/>
        </w:rPr>
        <w:tab/>
        <w:t>liikmesriigis kauba tarne või teenuste osutamine, mis on mõeldud teiste liikmesriikide relvajõudude või nendega kaasas oleva tsiviilpersonali tarbeks või nende söögisaalide ja sööklate varustamiseks, kui nimetatud jõud osalevad kaitsetegevuses, millega rakendatakse ÜJKP raames liidu meetmeid;“</w:t>
      </w:r>
    </w:p>
    <w:p>
      <w:pPr>
        <w:pStyle w:val="Point0"/>
        <w:ind w:left="1417" w:hanging="567"/>
        <w:rPr>
          <w:noProof/>
        </w:rPr>
      </w:pPr>
      <w:r>
        <w:rPr>
          <w:noProof/>
        </w:rPr>
        <w:t>bb)</w:t>
      </w:r>
      <w:r>
        <w:rPr>
          <w:noProof/>
        </w:rPr>
        <w:tab/>
        <w:t>teise liikmesriiki suunatud kauba tarne või teenuste osutamine, mis on mõeldud mis tahes muu liikmesriigi kui sihtliikmesriigi relvajõudude või nendega kaasas oleva tsiviilpersonali tarbeks või nende söögisaalide ja sööklate varustamiseks, kui nimetatud jõud osalevad kaitsetegevuses, millega rakendatakse ÜJKP raames liidu meetmeid;“.</w:t>
      </w:r>
    </w:p>
    <w:p>
      <w:pPr>
        <w:pStyle w:val="Titrearticle"/>
        <w:rPr>
          <w:noProof/>
        </w:rPr>
      </w:pPr>
      <w:r>
        <w:rPr>
          <w:noProof/>
        </w:rPr>
        <w:t>Artikkel 2</w:t>
      </w:r>
    </w:p>
    <w:p>
      <w:pPr>
        <w:keepNext/>
        <w:ind w:left="851" w:hanging="851"/>
        <w:jc w:val="center"/>
        <w:rPr>
          <w:noProof/>
        </w:rPr>
      </w:pPr>
      <w:r>
        <w:rPr>
          <w:noProof/>
        </w:rPr>
        <w:t>Direktiivi 2008/118/EÜ muutmine</w:t>
      </w:r>
    </w:p>
    <w:p>
      <w:pPr>
        <w:rPr>
          <w:noProof/>
        </w:rPr>
      </w:pPr>
      <w:r>
        <w:rPr>
          <w:noProof/>
        </w:rPr>
        <w:t>Direktiivi 2008/118/EÜ artikli 12 lõikesse 1 lisatakse punkt ba:</w:t>
      </w:r>
    </w:p>
    <w:p>
      <w:pPr>
        <w:pStyle w:val="Point0"/>
        <w:ind w:left="1435" w:hanging="585"/>
        <w:rPr>
          <w:noProof/>
        </w:rPr>
      </w:pPr>
      <w:r>
        <w:rPr>
          <w:noProof/>
        </w:rPr>
        <w:t>„ba)</w:t>
      </w:r>
      <w:r>
        <w:rPr>
          <w:noProof/>
        </w:rPr>
        <w:tab/>
        <w:t>liikmesriigi relvajõudude poolt, välja arvatud selle liikmesriigi relvajõud, kus aktsiis on sissenõutav, nende enda või nendega kaasas oleva tsiviilpersonali tarbeks või nende söögisaalide või sööklate varustamiseks, kui nimetatud jõud osalevad kaitsetegevuses, millega rakendatakse ÜJKP raames liidu meetmeid;“.</w:t>
      </w:r>
    </w:p>
    <w:p>
      <w:pPr>
        <w:pStyle w:val="Titrearticle"/>
        <w:rPr>
          <w:noProof/>
        </w:rPr>
      </w:pPr>
      <w:r>
        <w:rPr>
          <w:noProof/>
        </w:rPr>
        <w:t>Artikkel 3</w:t>
      </w:r>
    </w:p>
    <w:p>
      <w:pPr>
        <w:pStyle w:val="ManualNumPar1"/>
        <w:keepNext/>
        <w:ind w:left="851" w:hanging="851"/>
        <w:jc w:val="center"/>
        <w:rPr>
          <w:noProof/>
        </w:rPr>
      </w:pPr>
      <w:r>
        <w:rPr>
          <w:noProof/>
        </w:rPr>
        <w:t>Ülevõtmine</w:t>
      </w:r>
    </w:p>
    <w:p>
      <w:pPr>
        <w:pStyle w:val="ManualNumPar1"/>
        <w:rPr>
          <w:noProof/>
        </w:rPr>
      </w:pPr>
      <w:r>
        <w:rPr>
          <w:noProof/>
        </w:rPr>
        <w:t>1.</w:t>
      </w:r>
      <w:r>
        <w:rPr>
          <w:noProof/>
        </w:rPr>
        <w:tab/>
        <w:t>Liikmesriigid võtavad käesoleva direktiivi järgimiseks vajalikud õigus- ja haldusnormid vastu ja avaldavad need hiljemalt 30. juuniks 2022. Liikmesriigid edastavad kõnealuste normide teksti viivitamata komisjonile.</w:t>
      </w:r>
    </w:p>
    <w:p>
      <w:pPr>
        <w:pStyle w:val="ManualNumPar1"/>
        <w:ind w:firstLine="0"/>
        <w:rPr>
          <w:noProof/>
        </w:rPr>
      </w:pPr>
      <w:r>
        <w:rPr>
          <w:noProof/>
        </w:rPr>
        <w:t>Nad kohaldavad neid meetmeid alates 1. juulist 2022.</w:t>
      </w:r>
    </w:p>
    <w:p>
      <w:pPr>
        <w:pStyle w:val="Text1"/>
        <w:rPr>
          <w:noProof/>
        </w:rPr>
      </w:pPr>
      <w:r>
        <w:rPr>
          <w:noProof/>
        </w:rPr>
        <w:t>Kui liikmesriigid need normid vastu võtavad, lisavad nad nendesse või nende ametliku avaldamise korral nende juurde viite käesolevale direktiivile. Sellise viitamise viisi näevad ette liikmesriigid.</w:t>
      </w:r>
    </w:p>
    <w:p>
      <w:pPr>
        <w:pStyle w:val="ManualNumPar1"/>
        <w:rPr>
          <w:noProof/>
        </w:rPr>
      </w:pPr>
      <w:r>
        <w:rPr>
          <w:noProof/>
        </w:rPr>
        <w:t>2.</w:t>
      </w:r>
      <w:r>
        <w:rPr>
          <w:noProof/>
        </w:rPr>
        <w:tab/>
        <w:t>Liikmesriigid edastavad komisjonile käesoleva direktiiviga reguleeritavas valdkonnas nende poolt vastuvõetavate põhiliste siseriiklike õigusnormide teksti.</w:t>
      </w:r>
    </w:p>
    <w:p>
      <w:pPr>
        <w:pStyle w:val="Titrearticle"/>
        <w:rPr>
          <w:noProof/>
        </w:rPr>
      </w:pPr>
      <w:r>
        <w:rPr>
          <w:noProof/>
        </w:rPr>
        <w:t>Artikkel 4</w:t>
      </w:r>
    </w:p>
    <w:p>
      <w:pPr>
        <w:keepNext/>
        <w:ind w:left="851" w:hanging="851"/>
        <w:jc w:val="center"/>
        <w:rPr>
          <w:noProof/>
        </w:rPr>
      </w:pPr>
      <w:r>
        <w:rPr>
          <w:noProof/>
        </w:rPr>
        <w:t>Jõustumine</w:t>
      </w:r>
    </w:p>
    <w:p>
      <w:pPr>
        <w:rPr>
          <w:noProof/>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t>Artikkel 5</w:t>
      </w:r>
    </w:p>
    <w:p>
      <w:pPr>
        <w:jc w:val="center"/>
        <w:rPr>
          <w:noProof/>
        </w:rPr>
      </w:pPr>
      <w:r>
        <w:rPr>
          <w:noProof/>
        </w:rPr>
        <w:t>Adressaadid</w:t>
      </w:r>
    </w:p>
    <w:p>
      <w:pPr>
        <w:rPr>
          <w:noProof/>
        </w:rPr>
      </w:pPr>
      <w:r>
        <w:rPr>
          <w:noProof/>
        </w:rPr>
        <w:t>Käesolev direktiiv on adresseeritud liikmesriikidele.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Nõukogu direktiiv 2006/112/EÜ, mis käsitleb ühist käibemaksusüsteemi (</w:t>
      </w:r>
      <w:hyperlink r:id="rId1" w:history="1">
        <w:r>
          <w:rPr>
            <w:rStyle w:val="Hyperlink"/>
          </w:rPr>
          <w:t>ELT L 347, 11.12.2006, lk 1</w:t>
        </w:r>
      </w:hyperlink>
      <w:r>
        <w:t>).</w:t>
      </w:r>
    </w:p>
  </w:footnote>
  <w:footnote w:id="3">
    <w:p>
      <w:pPr>
        <w:pStyle w:val="FootnoteText"/>
      </w:pPr>
      <w:r>
        <w:rPr>
          <w:rStyle w:val="FootnoteReference"/>
        </w:rPr>
        <w:footnoteRef/>
      </w:r>
      <w:r>
        <w:tab/>
        <w:t>Vt direktiivi põhjendus 35.</w:t>
      </w:r>
    </w:p>
  </w:footnote>
  <w:footnote w:id="4">
    <w:p>
      <w:pPr>
        <w:pStyle w:val="FootnoteText"/>
      </w:pPr>
      <w:r>
        <w:rPr>
          <w:rStyle w:val="FootnoteReference"/>
        </w:rPr>
        <w:footnoteRef/>
      </w:r>
      <w:r>
        <w:tab/>
        <w:t>Direktiivi artikli 148 punkti b alusel on lubatud teatav erand, kui kaubatarne on mõeldud selleks, et tankida ja proviandiga varustada sõjalaevu (CN-koodiga 8906 10 00), mis lahkuvad liikmesriigi territooriumilt mujal asuvatesse sadamatesse või ankrupaikadesse. Direktiivi X lisa B osa punktide 11 ja 12 alusel on lubatud kohaldada maksuvabastust riigiasutuste kasutatavate õhusõidukite, sealhulgas nendes sisalduvate või kasutatavate seadmete tarne, ümberehitamise, remondi, hoolduse, prahtimise ja rendileandmise ning sõjalaevade tarne, ümberehitamise, remondi, hoolduse, prahtimise ja rendileandmise suhtes.</w:t>
      </w:r>
    </w:p>
  </w:footnote>
  <w:footnote w:id="5">
    <w:p>
      <w:pPr>
        <w:pStyle w:val="FootnoteText"/>
      </w:pPr>
      <w:r>
        <w:rPr>
          <w:rStyle w:val="FootnoteReference"/>
        </w:rPr>
        <w:footnoteRef/>
      </w:r>
      <w:r>
        <w:tab/>
        <w:t>Nõukogu direktiiv 2008/118/EÜ, mis käsitleb aktsiisi üldist korda ja millega tunnistatakse kehtetuks direktiiv 92/12/EMÜ (</w:t>
      </w:r>
      <w:hyperlink r:id="rId2" w:history="1">
        <w:r>
          <w:rPr>
            <w:rStyle w:val="Hyperlink"/>
          </w:rPr>
          <w:t>ELT L 9, 14.1.2009, lk 12</w:t>
        </w:r>
      </w:hyperlink>
      <w:r>
        <w:t>).</w:t>
      </w:r>
    </w:p>
  </w:footnote>
  <w:footnote w:id="6">
    <w:p>
      <w:pPr>
        <w:pStyle w:val="FootnoteText"/>
      </w:pPr>
      <w:r>
        <w:rPr>
          <w:rStyle w:val="FootnoteReference"/>
        </w:rPr>
        <w:footnoteRef/>
      </w:r>
      <w:r>
        <w:tab/>
        <w:t>ELi õigusega reguleeritud aktsiisimakse kohaldatakse alkohoolsete jookide, tubakatoodete ja energiatoodete (mootorikütused ja kütteained, nagu bensiin, elekter, maagaas, kivisüsi ja koks) suhtes. Maksude struktuur ja alammäärad ühtlustatakse ELi tasandil.</w:t>
      </w:r>
    </w:p>
  </w:footnote>
  <w:footnote w:id="7">
    <w:p>
      <w:pPr>
        <w:pStyle w:val="FootnoteText"/>
      </w:pPr>
      <w:r>
        <w:rPr>
          <w:rStyle w:val="FootnoteReference"/>
        </w:rPr>
        <w:footnoteRef/>
      </w:r>
      <w:r>
        <w:tab/>
        <w:t>Diplomaatiliste või konsulaarkokkulepete alusel erandi kehtestamine, mis hõlmab kaubatarneid ja teenuste osutamist ühises kaitsetegevuses osalevatele NATO liikme relvajõududele, vastavalt liikmesriigi kehtestatud tingimustele ja piirangutele; erandit võib rakendada ka käibemaksutagastusena.</w:t>
      </w:r>
    </w:p>
  </w:footnote>
  <w:footnote w:id="8">
    <w:p>
      <w:pPr>
        <w:pStyle w:val="FootnoteText"/>
        <w:keepLines/>
      </w:pPr>
      <w:r>
        <w:rPr>
          <w:rStyle w:val="FootnoteReference"/>
        </w:rPr>
        <w:footnoteRef/>
      </w:r>
      <w:r>
        <w:tab/>
        <w:t>Lääne-Euroopa Liidu nõukogu leppis 1992. aastal kokku väeüksuste siirmistingimused ning Petersbergis määratletud ülesanded lisati 1997. aasta Amsterdami lepingus osutatud küsimuste hulka. Lääne-Euroopa Liidu ülesannetest ja institutsioonidest said seejärel järk-järgult ELi ülesanded ja institutsioonid, eelkõige nõukogu ühismeetme 2004/551/ÜVJP (</w:t>
      </w:r>
      <w:hyperlink r:id="rId3" w:history="1">
        <w:r>
          <w:rPr>
            <w:rStyle w:val="Hyperlink"/>
          </w:rPr>
          <w:t>ELT L 245, 17.7.2004, lk 17</w:t>
        </w:r>
      </w:hyperlink>
      <w:r>
        <w:t>) alusel Euroopa Kaitseagentuuri (EDA) loomisega 2004. aastal. See protsess viidi lõpule 2009. aastal, kui Lääne-Euroopa Liidu vastastikuse abistamise klausliga sarnane ELi liikmesriikide vahelist vastastikust abi käsitlev klausel jõustus koos Lissaboni lepingu jõustumisega. Lääne-Euroopa Liit lõpetas eksisteerimise 2011. aastal.</w:t>
      </w:r>
    </w:p>
  </w:footnote>
  <w:footnote w:id="9">
    <w:p>
      <w:pPr>
        <w:pStyle w:val="FootnoteText"/>
      </w:pPr>
      <w:r>
        <w:rPr>
          <w:rStyle w:val="FootnoteReference"/>
        </w:rPr>
        <w:footnoteRef/>
      </w:r>
      <w:r>
        <w:tab/>
        <w:t>ELi lepingu artikli 42 lõikes 2 on sätestatud, et „[ü]hine julgeoleku- ja kaitsepoliitika hõlmab liidu ühise kaitsepoliitika järkjärgulist kujundamist. See viib ühiskaitseni, kui Euroopa Ülemkogu niiviisi ühehäälselt otsustab. Sel juhul soovitab ülemkogu liikmesriikidel võtta selline otsus vastu kooskõlas nende põhiseadusest tulenevate nõuetega.“</w:t>
      </w:r>
    </w:p>
    <w:p>
      <w:pPr>
        <w:pStyle w:val="FootnoteText"/>
      </w:pPr>
      <w:r>
        <w:tab/>
        <w:t>Komisjoni president osutas 2017. aastal Euroopa Liidu olukorda käsitlevas kõnes vajadusele rajada 2025. aastaks Euroopa kaitsekoostöö liit:</w:t>
      </w:r>
    </w:p>
    <w:p>
      <w:pPr>
        <w:pStyle w:val="FootnoteText"/>
        <w:ind w:firstLine="0"/>
      </w:pPr>
      <w:hyperlink r:id="rId4" w:history="1">
        <w:r>
          <w:rPr>
            <w:rStyle w:val="Hyperlink"/>
          </w:rPr>
          <w:t>https://ec.europa.eu/commission/priorities/state-union-speeches/state-union-2017_et</w:t>
        </w:r>
      </w:hyperlink>
      <w:r>
        <w:t xml:space="preserve"> </w:t>
      </w:r>
    </w:p>
  </w:footnote>
  <w:footnote w:id="10">
    <w:p>
      <w:pPr>
        <w:pStyle w:val="FootnoteText"/>
      </w:pPr>
      <w:r>
        <w:rPr>
          <w:rStyle w:val="FootnoteReference"/>
        </w:rPr>
        <w:footnoteRef/>
      </w:r>
      <w:r>
        <w:tab/>
        <w:t>ELi lepingu artikli 42 lõige 7.</w:t>
      </w:r>
    </w:p>
  </w:footnote>
  <w:footnote w:id="11">
    <w:p>
      <w:pPr>
        <w:pStyle w:val="FootnoteText"/>
      </w:pPr>
      <w:r>
        <w:rPr>
          <w:rStyle w:val="FootnoteReference"/>
        </w:rPr>
        <w:footnoteRef/>
      </w:r>
      <w:r>
        <w:tab/>
        <w:t>ELi lepingu artikli 42 lõige 6 ja artikkel 46.</w:t>
      </w:r>
    </w:p>
  </w:footnote>
  <w:footnote w:id="12">
    <w:p>
      <w:pPr>
        <w:pStyle w:val="FootnoteText"/>
      </w:pPr>
      <w:r>
        <w:rPr>
          <w:rStyle w:val="FootnoteReference"/>
        </w:rPr>
        <w:footnoteRef/>
      </w:r>
      <w:r>
        <w:tab/>
        <w:t>Nõukogu otsus 2001/79/ÜVJP Euroopa Liidu Sõjalise Komitee loomise kohta (</w:t>
      </w:r>
      <w:hyperlink r:id="rId5" w:history="1">
        <w:r>
          <w:rPr>
            <w:rStyle w:val="Hyperlink"/>
          </w:rPr>
          <w:t>EÜT L 27, 30.1.2001, lk 4</w:t>
        </w:r>
      </w:hyperlink>
      <w:r>
        <w:t xml:space="preserve">). </w:t>
      </w:r>
    </w:p>
  </w:footnote>
  <w:footnote w:id="13">
    <w:p>
      <w:pPr>
        <w:pStyle w:val="FootnoteText"/>
      </w:pPr>
      <w:r>
        <w:rPr>
          <w:rStyle w:val="FootnoteReference"/>
        </w:rPr>
        <w:footnoteRef/>
      </w:r>
      <w:r>
        <w:tab/>
        <w:t>Nõukogu otsus 2001/80/ÜVJP Euroopa Liidu sõjalise staabi moodustamise kohta (</w:t>
      </w:r>
      <w:hyperlink r:id="rId6" w:history="1">
        <w:r>
          <w:rPr>
            <w:rStyle w:val="Hyperlink"/>
          </w:rPr>
          <w:t>EÜT L 27, 30.1.2001, lk 7</w:t>
        </w:r>
      </w:hyperlink>
      <w:r>
        <w:t>). Nõukogu otsuse (EL) 2017/971 (</w:t>
      </w:r>
      <w:hyperlink r:id="rId7" w:history="1">
        <w:r>
          <w:rPr>
            <w:rStyle w:val="Hyperlink"/>
          </w:rPr>
          <w:t>ELT L 146, 9.6.2017, lk 133</w:t>
        </w:r>
      </w:hyperlink>
      <w:r>
        <w:t>) põhjenduses 6 on märgitud, et nõukogu kiitis heaks ELi sõjalise staabi pädevust käsitleva konsolideeritud dokumendi, millega asendatakse enam mitte kohaldatav ELi sõjalise staabi pädevust käsitlev dokument, mis on esitatud Euroopa Liidu sõjalise staabi moodustamist käsitleva nõukogu otsuse 2001/80/ÜVJP lisas.</w:t>
      </w:r>
    </w:p>
  </w:footnote>
  <w:footnote w:id="14">
    <w:p>
      <w:pPr>
        <w:pStyle w:val="FootnoteText"/>
      </w:pPr>
      <w:r>
        <w:rPr>
          <w:rStyle w:val="FootnoteReference"/>
        </w:rPr>
        <w:footnoteRef/>
      </w:r>
      <w:r>
        <w:tab/>
        <w:t>ELi sõjaline komitee kiitis 2004. aastal heaks ELi sõjalise staabi väljatöötatud lahingugrupi kontseptsiooni ning seda käsitlev dokument võeti vastu 2006. aasta oktoobris.</w:t>
      </w:r>
    </w:p>
  </w:footnote>
  <w:footnote w:id="15">
    <w:p>
      <w:pPr>
        <w:pStyle w:val="FootnoteText"/>
      </w:pPr>
      <w:r>
        <w:rPr>
          <w:rStyle w:val="FootnoteReference"/>
        </w:rPr>
        <w:footnoteRef/>
      </w:r>
      <w:r>
        <w:tab/>
      </w:r>
      <w:hyperlink r:id="rId8" w:history="1">
        <w:r>
          <w:rPr>
            <w:rStyle w:val="Hyperlink"/>
            <w:i/>
          </w:rPr>
          <w:t>Shared vision, common action:</w:t>
        </w:r>
      </w:hyperlink>
      <w:hyperlink r:id="rId9" w:history="1">
        <w:r>
          <w:rPr>
            <w:rStyle w:val="Hyperlink"/>
            <w:i/>
          </w:rPr>
          <w:t xml:space="preserve"> a stronger Europe – a global strategy for the European Union’s foreign and security policy</w:t>
        </w:r>
      </w:hyperlink>
      <w:r>
        <w:t xml:space="preserve"> („Ühtne visioon, ühine tegevus: tugevam Euroopa. Euroopa Liidu üldine välis- ja julgeolekupoliitika strateegia“).</w:t>
      </w:r>
    </w:p>
  </w:footnote>
  <w:footnote w:id="16">
    <w:p>
      <w:pPr>
        <w:pStyle w:val="FootnoteText"/>
      </w:pPr>
      <w:r>
        <w:rPr>
          <w:rStyle w:val="FootnoteReference"/>
        </w:rPr>
        <w:footnoteRef/>
      </w:r>
      <w:r>
        <w:tab/>
        <w:t>Komisjoni teatis Euroopa Parlamendile, Euroopa Ülemkogule ja nõukogule „Neljas eduaruanne tulemusliku ja tegeliku julgeolekuliidu suunas liikumise kohta“ (</w:t>
      </w:r>
      <w:hyperlink r:id="rId10" w:history="1">
        <w:r>
          <w:rPr>
            <w:rStyle w:val="Hyperlink"/>
          </w:rPr>
          <w:t>COM(2017) 41 final</w:t>
        </w:r>
      </w:hyperlink>
      <w:r>
        <w:t>).</w:t>
      </w:r>
    </w:p>
  </w:footnote>
  <w:footnote w:id="17">
    <w:p>
      <w:pPr>
        <w:pStyle w:val="FootnoteText"/>
      </w:pPr>
      <w:r>
        <w:rPr>
          <w:rStyle w:val="FootnoteReference"/>
        </w:rPr>
        <w:footnoteRef/>
      </w:r>
      <w:r>
        <w:tab/>
        <w:t>Ühisteatis Euroopa Parlamendile ja nõukogule sõjaväelise liikuvuse parandamise kohta Euroopa Liidus (</w:t>
      </w:r>
      <w:hyperlink r:id="rId11" w:history="1">
        <w:r>
          <w:rPr>
            <w:rStyle w:val="Hyperlink"/>
          </w:rPr>
          <w:t>JOIN(2017) 41 final</w:t>
        </w:r>
      </w:hyperlink>
      <w:r>
        <w:t>).</w:t>
      </w:r>
    </w:p>
  </w:footnote>
  <w:footnote w:id="18">
    <w:p>
      <w:pPr>
        <w:pStyle w:val="FootnoteText"/>
      </w:pPr>
      <w:r>
        <w:rPr>
          <w:rStyle w:val="FootnoteReference"/>
        </w:rPr>
        <w:footnoteRef/>
      </w:r>
      <w:r>
        <w:tab/>
        <w:t>Ühisteatis Euroopa Parlamendile ja nõukogule sõjaväelise liikuvuse tegevuskava kohta (</w:t>
      </w:r>
      <w:hyperlink r:id="rId12" w:history="1">
        <w:r>
          <w:rPr>
            <w:rStyle w:val="Hyperlink"/>
          </w:rPr>
          <w:t>JOIN(2018) 5 final</w:t>
        </w:r>
      </w:hyperlink>
      <w:r>
        <w:t>).</w:t>
      </w:r>
    </w:p>
  </w:footnote>
  <w:footnote w:id="19">
    <w:p>
      <w:pPr>
        <w:pStyle w:val="FootnoteText"/>
      </w:pPr>
      <w:r>
        <w:rPr>
          <w:rStyle w:val="FootnoteReference"/>
        </w:rPr>
        <w:footnoteRef/>
      </w:r>
      <w:r>
        <w:tab/>
        <w:t>Samas, lk 7.</w:t>
      </w:r>
    </w:p>
  </w:footnote>
  <w:footnote w:id="20">
    <w:p>
      <w:pPr>
        <w:pStyle w:val="FootnoteText"/>
      </w:pPr>
      <w:r>
        <w:rPr>
          <w:rStyle w:val="FootnoteReference"/>
        </w:rPr>
        <w:footnoteRef/>
      </w:r>
      <w:r>
        <w:tab/>
      </w:r>
      <w:hyperlink r:id="rId13" w:history="1">
        <w:r>
          <w:rPr>
            <w:rStyle w:val="Hyperlink"/>
          </w:rPr>
          <w:t>https://www.consilium.europa.eu/media/37030/st13978-en18.pdf</w:t>
        </w:r>
      </w:hyperlink>
    </w:p>
  </w:footnote>
  <w:footnote w:id="21">
    <w:p>
      <w:pPr>
        <w:pStyle w:val="FootnoteText"/>
        <w:keepLines/>
        <w:contextualSpacing/>
      </w:pPr>
      <w:r>
        <w:rPr>
          <w:rStyle w:val="FootnoteReference"/>
        </w:rPr>
        <w:footnoteRef/>
      </w:r>
      <w:r>
        <w:tab/>
        <w:t>Komisjoni teatis Euroopa Parlamendile, nõukogule ning Euroopa Majandus- ja Sotsiaalkomiteele käibemaksu tegevuskava kohta „Ühtse ELi käibemaksuala suunas – On aeg otsustada“ (</w:t>
      </w:r>
      <w:hyperlink r:id="rId14" w:history="1">
        <w:r>
          <w:rPr>
            <w:rStyle w:val="Hyperlink"/>
          </w:rPr>
          <w:t>COM (2016) 148 final</w:t>
        </w:r>
      </w:hyperlink>
      <w:r>
        <w:t>).</w:t>
      </w:r>
    </w:p>
  </w:footnote>
  <w:footnote w:id="22">
    <w:p>
      <w:pPr>
        <w:pStyle w:val="FootnoteText"/>
      </w:pPr>
      <w:r>
        <w:rPr>
          <w:rStyle w:val="FootnoteReference"/>
        </w:rPr>
        <w:footnoteRef/>
      </w:r>
      <w:r>
        <w:tab/>
      </w:r>
      <w:hyperlink r:id="rId15" w:history="1">
        <w:r>
          <w:rPr>
            <w:rStyle w:val="Hyperlink"/>
          </w:rPr>
          <w:t>Kohtuasi C-225/11</w:t>
        </w:r>
      </w:hyperlink>
      <w:r>
        <w:t xml:space="preserve">: </w:t>
      </w:r>
      <w:r>
        <w:rPr>
          <w:i/>
        </w:rPr>
        <w:t>Able UK</w:t>
      </w:r>
      <w:r>
        <w:t>.</w:t>
      </w:r>
    </w:p>
  </w:footnote>
  <w:footnote w:id="23">
    <w:p>
      <w:pPr>
        <w:pStyle w:val="FootnoteText"/>
      </w:pPr>
      <w:r>
        <w:rPr>
          <w:rStyle w:val="FootnoteReference"/>
        </w:rPr>
        <w:footnoteRef/>
      </w:r>
      <w:r>
        <w:tab/>
        <w:t>Liikmesriigid võivad käibemaksukulu alati kompenseerida käibemaksusüsteemist välja jäävate vahenditega, tingimusel et kasutatavad mehhanismid on kooskõlas siseturu aluspõhimõtete ja ELi õigusega.</w:t>
      </w:r>
    </w:p>
  </w:footnote>
  <w:footnote w:id="24">
    <w:p>
      <w:pPr>
        <w:pStyle w:val="FootnoteText"/>
      </w:pPr>
      <w:r>
        <w:rPr>
          <w:rStyle w:val="FootnoteReference"/>
        </w:rPr>
        <w:footnoteRef/>
      </w:r>
      <w:r>
        <w:tab/>
      </w:r>
      <w:hyperlink r:id="rId16" w:history="1">
        <w:r>
          <w:rPr>
            <w:rStyle w:val="Hyperlink"/>
          </w:rPr>
          <w:t>https://eeas.europa.eu/sites/eeas/files/eugs_implementation_plan_st14392.en16_0.pdf</w:t>
        </w:r>
      </w:hyperlink>
    </w:p>
  </w:footnote>
  <w:footnote w:id="25">
    <w:p>
      <w:pPr>
        <w:pStyle w:val="FootnoteText"/>
      </w:pPr>
      <w:r>
        <w:rPr>
          <w:rStyle w:val="FootnoteReference"/>
        </w:rPr>
        <w:footnoteRef/>
      </w:r>
      <w:r>
        <w:tab/>
        <w:t>Komisjoni teatis Euroopa Parlamendile, Euroopa Ülemkogule, nõukogule, Euroopa Majandus- ja Sotsiaalkomiteele ning Regioonide Komiteele „Euroopa kaitsealane tegevuskava“ (</w:t>
      </w:r>
      <w:hyperlink r:id="rId17" w:history="1">
        <w:r>
          <w:rPr>
            <w:rStyle w:val="Hyperlink"/>
          </w:rPr>
          <w:t>COM(2016) 950 final</w:t>
        </w:r>
      </w:hyperlink>
      <w:r>
        <w:t xml:space="preserve">). </w:t>
      </w:r>
    </w:p>
  </w:footnote>
  <w:footnote w:id="26">
    <w:p>
      <w:pPr>
        <w:pStyle w:val="FootnoteText"/>
      </w:pPr>
      <w:r>
        <w:rPr>
          <w:rStyle w:val="FootnoteReference"/>
        </w:rPr>
        <w:footnoteRef/>
      </w:r>
      <w:r>
        <w:tab/>
        <w:t>Ettepanek: Euroopa Parlamendi ja nõukogu määrus, millega luuakse Euroopa Kaitsefond (</w:t>
      </w:r>
      <w:hyperlink r:id="rId18" w:history="1">
        <w:r>
          <w:rPr>
            <w:rStyle w:val="Hyperlink"/>
          </w:rPr>
          <w:t>COM(2018) 476 final</w:t>
        </w:r>
      </w:hyperlink>
      <w:r>
        <w:t>). Fondist eraldatakse 4,1 miljardit eurot konkurentsivõimeliste ja ühiste uuringuprojektide otseseks rahastamiseks, eelkõige toetuste kaudu, ning 8,9 miljardit eurot liikmesriikide investeeringute täiendamiseks, kaasrahastades prototüüpide väljaarendamist ning sellele järgnevat sertifitseerimist ja testimist.</w:t>
      </w:r>
    </w:p>
  </w:footnote>
  <w:footnote w:id="27">
    <w:p>
      <w:pPr>
        <w:pStyle w:val="FootnoteText"/>
      </w:pPr>
      <w:r>
        <w:rPr>
          <w:rStyle w:val="FootnoteReference"/>
        </w:rPr>
        <w:footnoteRef/>
      </w:r>
      <w:r>
        <w:tab/>
      </w:r>
      <w:hyperlink r:id="rId19" w:history="1">
        <w:r>
          <w:rPr>
            <w:rStyle w:val="Hyperlink"/>
          </w:rPr>
          <w:t>Nõukogu otsus (ÜVJP) 2015/528</w:t>
        </w:r>
      </w:hyperlink>
      <w:r>
        <w:t>, millega luuakse mehhanism Euroopa Liidu sõjalise või kaitsepoliitilise tähendusega operatsioonide ühiste kulude rahastamise haldamiseks (Athena) ja tunnistatakse kehtetuks otsus 2011/871/ÜVJP (</w:t>
      </w:r>
      <w:hyperlink r:id="rId20" w:history="1">
        <w:r>
          <w:rPr>
            <w:rStyle w:val="Hyperlink"/>
          </w:rPr>
          <w:t>ELT L 84, 28.3.2015, lk 39</w:t>
        </w:r>
      </w:hyperlink>
      <w:r>
        <w:t>).</w:t>
      </w:r>
    </w:p>
  </w:footnote>
  <w:footnote w:id="28">
    <w:p>
      <w:pPr>
        <w:pStyle w:val="FootnoteText"/>
      </w:pPr>
      <w:r>
        <w:rPr>
          <w:rStyle w:val="FootnoteReference"/>
        </w:rPr>
        <w:footnoteRef/>
      </w:r>
      <w:r>
        <w:tab/>
        <w:t>Riikide maksuametite esindajatest koosnev mitteametlik rühm, kus komisjon saab pidada liikmesriikide käibemaksuekspertidega nõu õigusloome-eelsete algatuste üle.</w:t>
      </w:r>
    </w:p>
  </w:footnote>
  <w:footnote w:id="29">
    <w:p>
      <w:pPr>
        <w:pStyle w:val="FootnoteText"/>
      </w:pPr>
      <w:r>
        <w:rPr>
          <w:rStyle w:val="FootnoteReference"/>
        </w:rPr>
        <w:footnoteRef/>
      </w:r>
      <w:r>
        <w:tab/>
      </w:r>
      <w:hyperlink r:id="rId21" w:history="1">
        <w:r>
          <w:rPr>
            <w:rStyle w:val="Hyperlink"/>
          </w:rPr>
          <w:t>https://eeas.europa.eu/topics/military-and-civilian-missions-and-operations/430/military-and-civilian-missions-and-operations_en</w:t>
        </w:r>
      </w:hyperlink>
    </w:p>
  </w:footnote>
  <w:footnote w:id="30">
    <w:p>
      <w:pPr>
        <w:pStyle w:val="FootnoteText"/>
      </w:pPr>
      <w:r>
        <w:rPr>
          <w:rStyle w:val="FootnoteReference"/>
        </w:rPr>
        <w:footnoteRef/>
      </w:r>
      <w:r>
        <w:tab/>
        <w:t>Vt ELi lahingugruppide kontseptsioon, nõukogu dokument 11624/14 (7. juuli 2014). Need on rahvusvahelised sõjaväeüksused, kuhu kuulub tavaliselt 1 500 isikut ning mis on lahutamatu osa ELi kiirreageerimisvõimest, mida rakendatakse kogu maailmas tekkida võivate kriiside ja konfliktide korral.</w:t>
      </w:r>
    </w:p>
  </w:footnote>
  <w:footnote w:id="31">
    <w:p>
      <w:pPr>
        <w:pStyle w:val="FootnoteText"/>
      </w:pPr>
      <w:r>
        <w:rPr>
          <w:rStyle w:val="FootnoteReference"/>
        </w:rPr>
        <w:footnoteRef/>
      </w:r>
      <w:r>
        <w:tab/>
        <w:t>ELi juhid leppisid 22. juunil 2017 kokku, et lahingugruppide mis tahes siirmise kulud kantakse ühiselt; selle eesmärk on tugevdada ELi kiirreageerimisvõimet.</w:t>
      </w:r>
    </w:p>
  </w:footnote>
  <w:footnote w:id="32">
    <w:p>
      <w:pPr>
        <w:pStyle w:val="FootnoteText"/>
      </w:pPr>
      <w:r>
        <w:rPr>
          <w:rStyle w:val="FootnoteReference"/>
        </w:rPr>
        <w:footnoteRef/>
      </w:r>
      <w:r>
        <w:tab/>
        <w:t>Nõukogu otsus (ÜVJP) 2017/2315, millega luuakse alaline struktureeritud koostöö ning määratakse kindlaks selles osalevate liikmesriikide nimekiri (</w:t>
      </w:r>
      <w:hyperlink r:id="rId22" w:history="1">
        <w:r>
          <w:rPr>
            <w:rStyle w:val="Hyperlink"/>
          </w:rPr>
          <w:t>ELT L 331, 14.12.2017, lk 57</w:t>
        </w:r>
      </w:hyperlink>
      <w:r>
        <w:t>).</w:t>
      </w:r>
    </w:p>
  </w:footnote>
  <w:footnote w:id="33">
    <w:p>
      <w:pPr>
        <w:pStyle w:val="FootnoteText"/>
      </w:pPr>
      <w:r>
        <w:rPr>
          <w:rStyle w:val="FootnoteReference"/>
        </w:rPr>
        <w:footnoteRef/>
      </w:r>
      <w:r>
        <w:tab/>
        <w:t>Austria, Belgia, Bulgaaria, Eesti, Hispaania, Horvaatia, Iirimaa, Itaalia, Kreeka, Küpros, Leedu, Luksemburg, Läti, Madalmaad, Poola, Portugal, Prantsusmaa, Rootsi, Rumeenia, Saksamaa, Slovakkia, Sloveenia, Soome, Tšehhi Vabariik ja Ungari.</w:t>
      </w:r>
    </w:p>
  </w:footnote>
  <w:footnote w:id="34">
    <w:p>
      <w:pPr>
        <w:pStyle w:val="FootnoteText"/>
      </w:pPr>
      <w:r>
        <w:rPr>
          <w:rStyle w:val="FootnoteReference"/>
        </w:rPr>
        <w:footnoteRef/>
      </w:r>
      <w:r>
        <w:tab/>
        <w:t>Alalise struktureeritud koostöö alusel arendatavate projektide esialgne nimekiri, kuhu kuulub 17 projekti ja mis võeti vastu nõukogu otsusega (ÜVJP) 2018/340 (</w:t>
      </w:r>
      <w:hyperlink r:id="rId23" w:history="1">
        <w:r>
          <w:rPr>
            <w:rStyle w:val="Hyperlink"/>
          </w:rPr>
          <w:t>ELT L 65, 8.3.2018, lk 24</w:t>
        </w:r>
      </w:hyperlink>
      <w:r>
        <w:t>), sisaldab selliseid projekte nagu Euroopa Liidu koolitusmissioonide pädevuskeskus (EU TMCC) ning ÜJKP missioonide ja operatsioonide strateegilise juhtimise (C2) süsteem. Teine, 17 uuest projektist koosnev nimekiri, mis võeti vastu nõukogu 19. novembri 2018. aasta otsusega (ÜVJP) 2018/1797, millega muudetakse ja ajakohastatakse otsust (ÜVJP) 2018/340 (</w:t>
      </w:r>
      <w:hyperlink r:id="rId24" w:history="1">
        <w:r>
          <w:rPr>
            <w:rStyle w:val="Hyperlink"/>
          </w:rPr>
          <w:t>ELT L 294, 21.11.2018, lk 18</w:t>
        </w:r>
      </w:hyperlink>
      <w:r>
        <w:t>), sisaldab selliseid projekte nagu Euroopa ründekopteri TIGER Mark III põlvkond ja Euroopa sõjaline kosmoseseireteadlikkuse võrgustik (EU-SSA-N).</w:t>
      </w:r>
    </w:p>
  </w:footnote>
  <w:footnote w:id="35">
    <w:p>
      <w:pPr>
        <w:pStyle w:val="FootnoteText"/>
      </w:pPr>
      <w:r>
        <w:rPr>
          <w:rStyle w:val="FootnoteReference"/>
        </w:rPr>
        <w:footnoteRef/>
      </w:r>
      <w:r>
        <w:tab/>
        <w:t>Praegu osalevad EDAs kõik liikmesriigid peale Taani.</w:t>
      </w:r>
    </w:p>
  </w:footnote>
  <w:footnote w:id="36">
    <w:p>
      <w:pPr>
        <w:pStyle w:val="FootnoteText"/>
      </w:pPr>
      <w:r>
        <w:rPr>
          <w:rStyle w:val="FootnoteReference"/>
        </w:rPr>
        <w:footnoteRef/>
      </w:r>
      <w:r>
        <w:tab/>
        <w:t>Konkreetsed näited EDA meetmetest, mille suhtes saaks kohaldada maksuvabastusi:</w:t>
      </w:r>
    </w:p>
    <w:p>
      <w:pPr>
        <w:pStyle w:val="FootnoteText"/>
        <w:numPr>
          <w:ilvl w:val="0"/>
          <w:numId w:val="10"/>
        </w:numPr>
      </w:pPr>
      <w:r>
        <w:t>helikopterite kättesaadavus (üle 13 000 isiku on võtnud osa kaheksast reaalajas õppusest, nt Itaalia korraldas 2015. aasta juunis koolitusürituse, kus osalesid seitsme riigi esindajad);</w:t>
      </w:r>
    </w:p>
    <w:p>
      <w:pPr>
        <w:pStyle w:val="FootnoteText"/>
        <w:numPr>
          <w:ilvl w:val="0"/>
          <w:numId w:val="10"/>
        </w:numPr>
      </w:pPr>
      <w:r>
        <w:t xml:space="preserve">jäiga tiivakinnitusega õhusõidukitele keskenduv koolitus (nt Madalmaad korraldas 2014. ja 2015. aastal õhus tankimise koolituse) ning </w:t>
      </w:r>
    </w:p>
    <w:p>
      <w:pPr>
        <w:pStyle w:val="FootnoteText"/>
        <w:numPr>
          <w:ilvl w:val="0"/>
          <w:numId w:val="10"/>
        </w:numPr>
      </w:pPr>
      <w:r>
        <w:t>isetehtud lõhkeseadmete vastane tegevus (mitmed koolituskursused on juba toimunud).</w:t>
      </w:r>
    </w:p>
  </w:footnote>
  <w:footnote w:id="37">
    <w:p>
      <w:pPr>
        <w:pStyle w:val="FootnoteText"/>
      </w:pPr>
      <w:r>
        <w:rPr>
          <w:rStyle w:val="FootnoteReference"/>
        </w:rPr>
        <w:footnoteRef/>
      </w:r>
      <w:r>
        <w:tab/>
        <w:t>EDA on allkirjastanud Norra (2006), Šveitsi (2012), Serbia (2013) ja Ukrainaga (2015) halduskokkulepped, mille alusel nad saavad osaleda EDA projektides ja programmides.</w:t>
      </w:r>
    </w:p>
  </w:footnote>
  <w:footnote w:id="38">
    <w:p>
      <w:pPr>
        <w:pStyle w:val="FootnoteText"/>
      </w:pPr>
      <w:r>
        <w:rPr>
          <w:rStyle w:val="FootnoteReference"/>
        </w:rPr>
        <w:footnoteRef/>
      </w:r>
      <w:r>
        <w:tab/>
        <w:t>Hinnanguline näitaja saadi, arvutades kõigi liikmesriikide hinnangulise kaalutud keskmise käibemaksumäära mediaan.</w:t>
      </w:r>
    </w:p>
  </w:footnote>
  <w:footnote w:id="39">
    <w:p>
      <w:pPr>
        <w:pStyle w:val="FootnoteText"/>
      </w:pPr>
      <w:r>
        <w:rPr>
          <w:rStyle w:val="FootnoteReference"/>
        </w:rPr>
        <w:footnoteRef/>
      </w:r>
      <w:r>
        <w:tab/>
        <w:t>Praeguse artikli 22 kohaselt loetakse kaupade kasutamist NATO riigi relvajõudude poolt tasu eest kaupade ELi-siseseks soetamiseks, tingimusel et:</w:t>
      </w:r>
    </w:p>
    <w:p>
      <w:pPr>
        <w:pStyle w:val="FootnoteText"/>
        <w:numPr>
          <w:ilvl w:val="0"/>
          <w:numId w:val="11"/>
        </w:numPr>
      </w:pPr>
      <w:r>
        <w:t>NATO relvajõud kasutavad kaupu enda või endaga kaasas oleva tsiviilpersonali tarbeks;</w:t>
      </w:r>
    </w:p>
    <w:p>
      <w:pPr>
        <w:pStyle w:val="FootnoteText"/>
        <w:numPr>
          <w:ilvl w:val="0"/>
          <w:numId w:val="11"/>
        </w:numPr>
      </w:pPr>
      <w:r>
        <w:t xml:space="preserve">kaupu ei ole ostetud selle liikmesriigi kohalike käibemaksueeskirjade alusel, kus relvajõud asuvad, ning </w:t>
      </w:r>
    </w:p>
    <w:p>
      <w:pPr>
        <w:pStyle w:val="FootnoteText"/>
        <w:numPr>
          <w:ilvl w:val="0"/>
          <w:numId w:val="11"/>
        </w:numPr>
      </w:pPr>
      <w:r>
        <w:t>kaupade impordil ei saaks kohaldada artikli 143 lõike 1 punktis h selliste tehingute suhtes ette nähtud maksuvabastust.</w:t>
      </w:r>
    </w:p>
  </w:footnote>
  <w:footnote w:id="40">
    <w:p>
      <w:pPr>
        <w:pStyle w:val="FootnoteText"/>
      </w:pPr>
      <w:r>
        <w:rPr>
          <w:rStyle w:val="FootnoteReference"/>
        </w:rPr>
        <w:footnoteRef/>
      </w:r>
      <w:r>
        <w:tab/>
        <w:t>Praeguse artikli 143 lõike 1 punktiga h nähakse ette kohustuslik käibemaksuvabastus kaupade impordil NATO liikmeks olevasse ELi liikmesriiki teise NATO liikme relvajõudude poolt, tingimusel et:</w:t>
      </w:r>
    </w:p>
    <w:p>
      <w:pPr>
        <w:pStyle w:val="FootnoteText"/>
        <w:numPr>
          <w:ilvl w:val="0"/>
          <w:numId w:val="12"/>
        </w:numPr>
      </w:pPr>
      <w:r>
        <w:t xml:space="preserve">kaubad on mõeldud relvajõudude või nendega kaasas oleva tsiviilpersonali tarbeks või nende söögisaalide ja sööklate varustamiseks, ning </w:t>
      </w:r>
    </w:p>
    <w:p>
      <w:pPr>
        <w:pStyle w:val="FootnoteText"/>
        <w:numPr>
          <w:ilvl w:val="0"/>
          <w:numId w:val="12"/>
        </w:numPr>
      </w:pPr>
      <w:r>
        <w:t>need relvajõud osalevad ühises kaitsetegevuses.</w:t>
      </w:r>
    </w:p>
  </w:footnote>
  <w:footnote w:id="41">
    <w:p>
      <w:pPr>
        <w:pStyle w:val="FootnoteText"/>
      </w:pPr>
      <w:r>
        <w:rPr>
          <w:rStyle w:val="FootnoteReference"/>
        </w:rPr>
        <w:footnoteRef/>
      </w:r>
      <w:r>
        <w:tab/>
        <w:t>Praeguse artikli 151 lõike 1 punktide c ja d kohaselt vabastatakse käibemaksust kaupade tarnimine ja teenuste osutamine NATO relvajõududele või nendega kaasas olevale tsiviilpersonalile või nende söögisaalide ja sööklate varustamiseks, tingimusel et:</w:t>
      </w:r>
    </w:p>
    <w:p>
      <w:pPr>
        <w:pStyle w:val="FootnoteText"/>
        <w:numPr>
          <w:ilvl w:val="0"/>
          <w:numId w:val="10"/>
        </w:numPr>
      </w:pPr>
      <w:r>
        <w:t>kaubad tarnitakse või teenused osutatakse Põhja-Atlandi lepingu osaliseks olevas liikmesriigis või need on suunatud mõnda teise Põhja-Atlandi lepingu osaliseks olevasse liikmesriiki;</w:t>
      </w:r>
    </w:p>
    <w:p>
      <w:pPr>
        <w:pStyle w:val="FootnoteText"/>
        <w:numPr>
          <w:ilvl w:val="0"/>
          <w:numId w:val="10"/>
        </w:numPr>
      </w:pPr>
      <w:r>
        <w:t>see on mõeldud NATO liikme relvajõudude või nendega kaasas oleva tsiviilpersonali tarbeks või nende söögisaalide ja sööklate varustamiseks. Kui relvajõud võivad olla pärit kolmandast riigist, siis selle liikmesriigi relvajõud, kus kaupade tarnimine või teenuste osutamine aset leiab, ei saa maksuvabastust kasutada, ning</w:t>
      </w:r>
    </w:p>
    <w:p>
      <w:pPr>
        <w:pStyle w:val="FootnoteText"/>
        <w:numPr>
          <w:ilvl w:val="0"/>
          <w:numId w:val="10"/>
        </w:numPr>
      </w:pPr>
      <w:r>
        <w:t>need relvajõud osalevad ühises kaitsetegevuses. Selleks et relvajõudude puhul saaks kohaldada maksuvabastust, peab nende kohalolek olema seega seotud Põhja-Atlandi lepingu eesmärkide täitmisega. Kui see põhineb ainult kahepoolsel kokkuleppel ja relvajõud ei osale ühises kaitsetegevuses, siis maksuvabastust anda ei saa.</w:t>
      </w:r>
    </w:p>
    <w:p>
      <w:pPr>
        <w:pStyle w:val="FootnoteText"/>
        <w:ind w:firstLine="0"/>
      </w:pPr>
      <w:r>
        <w:t>Maksuvabastust kohaldataks sõltumata sellest, kas NATO relvajõud asuvad muus liikmesriigis kui nende koduriik, kas nad külastavad seda või on lihtsalt läbisõidul.</w:t>
      </w:r>
    </w:p>
  </w:footnote>
  <w:footnote w:id="42">
    <w:p>
      <w:pPr>
        <w:pStyle w:val="FootnoteText"/>
      </w:pPr>
      <w:r>
        <w:rPr>
          <w:rStyle w:val="FootnoteReference"/>
        </w:rPr>
        <w:footnoteRef/>
      </w:r>
      <w:r>
        <w:tab/>
        <w:t>Praeguse artikli 12 lõike 1 punkt c võimaldab vabastada aktsiisist aktsiisikauba, mis on mõeldud NATO mis tahes muu liikme kui liikmesriigi, kus aktsiis on sissenõutav, relvajõudude või nendega kaasas oleva tsiviilpersonali tarbeks või nende söögisaalide või sööklate varustamiseks. Seda sätet kohaldatakse nii ELi-sisese kaupade liikumise suhtes kui ka siis, kui kaubad liiguvad kolmandatest riikidest.</w:t>
      </w:r>
    </w:p>
  </w:footnote>
  <w:footnote w:id="43">
    <w:p>
      <w:pPr>
        <w:pStyle w:val="FootnoteText"/>
      </w:pPr>
      <w:r>
        <w:rPr>
          <w:rStyle w:val="FootnoteReference"/>
        </w:rPr>
        <w:footnoteRef/>
      </w:r>
      <w:r>
        <w:tab/>
        <w:t>ELT C […], […], lk […].</w:t>
      </w:r>
    </w:p>
  </w:footnote>
  <w:footnote w:id="44">
    <w:p>
      <w:pPr>
        <w:pStyle w:val="FootnoteText"/>
      </w:pPr>
      <w:r>
        <w:rPr>
          <w:rStyle w:val="FootnoteReference"/>
        </w:rPr>
        <w:footnoteRef/>
      </w:r>
      <w:r>
        <w:tab/>
        <w:t>ELT C […], […], lk […].</w:t>
      </w:r>
    </w:p>
  </w:footnote>
  <w:footnote w:id="45">
    <w:p>
      <w:pPr>
        <w:pStyle w:val="FootnoteText"/>
      </w:pPr>
      <w:r>
        <w:rPr>
          <w:rStyle w:val="FootnoteReference"/>
        </w:rPr>
        <w:footnoteRef/>
      </w:r>
      <w:r>
        <w:tab/>
        <w:t>Nõukogu 28. novembri 2006. aasta direktiiv 2006/112/EÜ, mis käsitleb ühist käibemaksusüsteemi (ELT L 347, 11.12.2006, lk 1).</w:t>
      </w:r>
    </w:p>
  </w:footnote>
  <w:footnote w:id="46">
    <w:p>
      <w:pPr>
        <w:pStyle w:val="FootnoteText"/>
      </w:pPr>
      <w:r>
        <w:rPr>
          <w:rStyle w:val="FootnoteReference"/>
        </w:rPr>
        <w:footnoteRef/>
      </w:r>
      <w:r>
        <w:tab/>
        <w:t>Nõukogu 16. detsembri 2008. aasta direktiiv 2008/118/EÜ, mis käsitleb aktsiisi üldist korda ja millega tunnistatakse kehtetuks direktiiv 92/12/EMÜ (ELT L 9, 14.1.2009, lk 12).</w:t>
      </w:r>
    </w:p>
  </w:footnote>
  <w:footnote w:id="47">
    <w:p>
      <w:pPr>
        <w:pStyle w:val="FootnoteText"/>
      </w:pPr>
      <w:r>
        <w:rPr>
          <w:rStyle w:val="FootnoteReference"/>
        </w:rPr>
        <w:footnoteRef/>
      </w:r>
      <w:r>
        <w:tab/>
        <w:t>JOIN(2018) 5, 28. märts 2018.</w:t>
      </w:r>
    </w:p>
  </w:footnote>
  <w:footnote w:id="48">
    <w:p>
      <w:pPr>
        <w:pStyle w:val="FootnoteText"/>
      </w:pPr>
      <w:r>
        <w:rPr>
          <w:rStyle w:val="FootnoteReference"/>
        </w:rPr>
        <w:footnoteRef/>
      </w:r>
      <w:r>
        <w:tab/>
        <w:t>ELT C 369, 17.12.2011, lk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FC54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F08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5C2B6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04FC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DCF1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04D2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1A639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EEBF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6877E3B"/>
    <w:multiLevelType w:val="hybridMultilevel"/>
    <w:tmpl w:val="F7A06000"/>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nsid w:val="1AF737FF"/>
    <w:multiLevelType w:val="hybridMultilevel"/>
    <w:tmpl w:val="DD4A17DE"/>
    <w:lvl w:ilvl="0" w:tplc="4634911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9975FD"/>
    <w:multiLevelType w:val="hybridMultilevel"/>
    <w:tmpl w:val="9232F95A"/>
    <w:lvl w:ilvl="0" w:tplc="46349112">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num>
  <w:num w:numId="10">
    <w:abstractNumId w:val="12"/>
  </w:num>
  <w:num w:numId="11">
    <w:abstractNumId w:val="8"/>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21"/>
  </w:num>
  <w:num w:numId="16">
    <w:abstractNumId w:val="15"/>
  </w:num>
  <w:num w:numId="17">
    <w:abstractNumId w:val="23"/>
  </w:num>
  <w:num w:numId="18">
    <w:abstractNumId w:val="14"/>
  </w:num>
  <w:num w:numId="19">
    <w:abstractNumId w:val="16"/>
  </w:num>
  <w:num w:numId="20">
    <w:abstractNumId w:val="11"/>
  </w:num>
  <w:num w:numId="21">
    <w:abstractNumId w:val="22"/>
  </w:num>
  <w:num w:numId="22">
    <w:abstractNumId w:val="10"/>
  </w:num>
  <w:num w:numId="23">
    <w:abstractNumId w:val="17"/>
  </w:num>
  <w:num w:numId="24">
    <w:abstractNumId w:val="19"/>
  </w:num>
  <w:num w:numId="25">
    <w:abstractNumId w:val="20"/>
  </w:num>
  <w:num w:numId="26">
    <w:abstractNumId w:val="13"/>
  </w:num>
  <w:num w:numId="27">
    <w:abstractNumId w:val="18"/>
  </w:num>
  <w:num w:numId="28">
    <w:abstractNumId w:val="24"/>
  </w:num>
  <w:num w:numId="29">
    <w:abstractNumId w:val="21"/>
  </w:num>
  <w:num w:numId="30">
    <w:abstractNumId w:val="15"/>
  </w:num>
  <w:num w:numId="31">
    <w:abstractNumId w:val="23"/>
  </w:num>
  <w:num w:numId="32">
    <w:abstractNumId w:val="14"/>
  </w:num>
  <w:num w:numId="33">
    <w:abstractNumId w:val="16"/>
  </w:num>
  <w:num w:numId="34">
    <w:abstractNumId w:val="11"/>
  </w:num>
  <w:num w:numId="35">
    <w:abstractNumId w:val="22"/>
  </w:num>
  <w:num w:numId="36">
    <w:abstractNumId w:val="10"/>
  </w:num>
  <w:num w:numId="37">
    <w:abstractNumId w:val="17"/>
  </w:num>
  <w:num w:numId="38">
    <w:abstractNumId w:val="19"/>
  </w:num>
  <w:num w:numId="39">
    <w:abstractNumId w:val="20"/>
  </w:num>
  <w:num w:numId="40">
    <w:abstractNumId w:val="13"/>
  </w:num>
  <w:num w:numId="41">
    <w:abstractNumId w:val="18"/>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pt-PT" w:vendorID="64" w:dllVersion="131078" w:nlCheck="1" w:checkStyle="0"/>
  <w:attachedTemplate r:id="rId1"/>
  <w:revisionView w:markup="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2 11:32: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79D9E42-2C78-4985-A917-DCD34A6354B0"/>
    <w:docVar w:name="LW_COVERPAGE_TYPE" w:val="1"/>
    <w:docVar w:name="LW_CROSSREFERENCE" w:val="&lt;UNUSED&gt;"/>
    <w:docVar w:name="LW_DocType" w:val="COM"/>
    <w:docVar w:name="LW_EMISSION" w:val="24.4.2019"/>
    <w:docVar w:name="LW_EMISSION_ISODATE" w:val="2019-04-24"/>
    <w:docVar w:name="LW_EMISSION_LOCATION" w:val="BRX"/>
    <w:docVar w:name="LW_EMISSION_PREFIX" w:val="Brüssel,"/>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NS"/>
    <w:docVar w:name="LW_REF.II.NEW.CP_NUMBER" w:val="0096"/>
    <w:docVar w:name="LW_REF.II.NEW.CP_YEAR" w:val="2019"/>
    <w:docVar w:name="LW_REF.INST.NEW" w:val="COM"/>
    <w:docVar w:name="LW_REF.INST.NEW_ADOPTED" w:val="final"/>
    <w:docVar w:name="LW_REF.INST.NEW_TEXT" w:val="(2019)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direktiivi 2006/112/EÜ, mis käsitleb ühist käibemaksusüsteemi, ja direktiivi 2008/118/EÜ, mis käsitleb aktsiisi üldist korda, seoses liidu raamistikus elluviidava kaitsetegevusega"/>
    <w:docVar w:name="LW_TYPE.DOC.CP" w:val="NÕUKOGU DIREKTIIV,"/>
    <w:docVar w:name="Stamp" w:val="\\dossiers.dgt.cec.eu.int\dossiers\TAXUD\TAXUD-2019-00226\TAXUD-2019-00226-00-00-EN-EDT-00.201902271601211284885.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pPr>
    <w:rPr>
      <w:rFonts w:eastAsia="Times New Roman"/>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2827">
      <w:bodyDiv w:val="1"/>
      <w:marLeft w:val="390"/>
      <w:marRight w:val="390"/>
      <w:marTop w:val="0"/>
      <w:marBottom w:val="0"/>
      <w:divBdr>
        <w:top w:val="none" w:sz="0" w:space="0" w:color="auto"/>
        <w:left w:val="none" w:sz="0" w:space="0" w:color="auto"/>
        <w:bottom w:val="none" w:sz="0" w:space="0" w:color="auto"/>
        <w:right w:val="none" w:sz="0" w:space="0" w:color="auto"/>
      </w:divBdr>
    </w:div>
    <w:div w:id="481777436">
      <w:bodyDiv w:val="1"/>
      <w:marLeft w:val="0"/>
      <w:marRight w:val="0"/>
      <w:marTop w:val="0"/>
      <w:marBottom w:val="0"/>
      <w:divBdr>
        <w:top w:val="none" w:sz="0" w:space="0" w:color="auto"/>
        <w:left w:val="none" w:sz="0" w:space="0" w:color="auto"/>
        <w:bottom w:val="none" w:sz="0" w:space="0" w:color="auto"/>
        <w:right w:val="none" w:sz="0" w:space="0" w:color="auto"/>
      </w:divBdr>
      <w:divsChild>
        <w:div w:id="388118269">
          <w:marLeft w:val="0"/>
          <w:marRight w:val="0"/>
          <w:marTop w:val="0"/>
          <w:marBottom w:val="0"/>
          <w:divBdr>
            <w:top w:val="none" w:sz="0" w:space="0" w:color="auto"/>
            <w:left w:val="none" w:sz="0" w:space="0" w:color="auto"/>
            <w:bottom w:val="none" w:sz="0" w:space="0" w:color="auto"/>
            <w:right w:val="none" w:sz="0" w:space="0" w:color="auto"/>
          </w:divBdr>
          <w:divsChild>
            <w:div w:id="1992975731">
              <w:marLeft w:val="0"/>
              <w:marRight w:val="0"/>
              <w:marTop w:val="150"/>
              <w:marBottom w:val="0"/>
              <w:divBdr>
                <w:top w:val="none" w:sz="0" w:space="0" w:color="auto"/>
                <w:left w:val="none" w:sz="0" w:space="0" w:color="auto"/>
                <w:bottom w:val="none" w:sz="0" w:space="0" w:color="auto"/>
                <w:right w:val="none" w:sz="0" w:space="0" w:color="auto"/>
              </w:divBdr>
              <w:divsChild>
                <w:div w:id="1727992312">
                  <w:marLeft w:val="-225"/>
                  <w:marRight w:val="-225"/>
                  <w:marTop w:val="0"/>
                  <w:marBottom w:val="0"/>
                  <w:divBdr>
                    <w:top w:val="none" w:sz="0" w:space="0" w:color="auto"/>
                    <w:left w:val="none" w:sz="0" w:space="0" w:color="auto"/>
                    <w:bottom w:val="none" w:sz="0" w:space="0" w:color="auto"/>
                    <w:right w:val="none" w:sz="0" w:space="0" w:color="auto"/>
                  </w:divBdr>
                  <w:divsChild>
                    <w:div w:id="463541422">
                      <w:marLeft w:val="0"/>
                      <w:marRight w:val="0"/>
                      <w:marTop w:val="0"/>
                      <w:marBottom w:val="0"/>
                      <w:divBdr>
                        <w:top w:val="none" w:sz="0" w:space="0" w:color="auto"/>
                        <w:left w:val="none" w:sz="0" w:space="0" w:color="auto"/>
                        <w:bottom w:val="none" w:sz="0" w:space="0" w:color="auto"/>
                        <w:right w:val="none" w:sz="0" w:space="0" w:color="auto"/>
                      </w:divBdr>
                      <w:divsChild>
                        <w:div w:id="508912421">
                          <w:marLeft w:val="-225"/>
                          <w:marRight w:val="-225"/>
                          <w:marTop w:val="0"/>
                          <w:marBottom w:val="0"/>
                          <w:divBdr>
                            <w:top w:val="none" w:sz="0" w:space="0" w:color="auto"/>
                            <w:left w:val="none" w:sz="0" w:space="0" w:color="auto"/>
                            <w:bottom w:val="none" w:sz="0" w:space="0" w:color="auto"/>
                            <w:right w:val="none" w:sz="0" w:space="0" w:color="auto"/>
                          </w:divBdr>
                          <w:divsChild>
                            <w:div w:id="1120149367">
                              <w:marLeft w:val="0"/>
                              <w:marRight w:val="0"/>
                              <w:marTop w:val="0"/>
                              <w:marBottom w:val="0"/>
                              <w:divBdr>
                                <w:top w:val="none" w:sz="0" w:space="0" w:color="auto"/>
                                <w:left w:val="none" w:sz="0" w:space="0" w:color="auto"/>
                                <w:bottom w:val="none" w:sz="0" w:space="0" w:color="auto"/>
                                <w:right w:val="none" w:sz="0" w:space="0" w:color="auto"/>
                              </w:divBdr>
                              <w:divsChild>
                                <w:div w:id="772941138">
                                  <w:marLeft w:val="0"/>
                                  <w:marRight w:val="0"/>
                                  <w:marTop w:val="0"/>
                                  <w:marBottom w:val="0"/>
                                  <w:divBdr>
                                    <w:top w:val="none" w:sz="0" w:space="0" w:color="auto"/>
                                    <w:left w:val="none" w:sz="0" w:space="0" w:color="auto"/>
                                    <w:bottom w:val="none" w:sz="0" w:space="0" w:color="auto"/>
                                    <w:right w:val="none" w:sz="0" w:space="0" w:color="auto"/>
                                  </w:divBdr>
                                  <w:divsChild>
                                    <w:div w:id="1935237068">
                                      <w:marLeft w:val="0"/>
                                      <w:marRight w:val="0"/>
                                      <w:marTop w:val="0"/>
                                      <w:marBottom w:val="0"/>
                                      <w:divBdr>
                                        <w:top w:val="none" w:sz="0" w:space="0" w:color="auto"/>
                                        <w:left w:val="none" w:sz="0" w:space="0" w:color="auto"/>
                                        <w:bottom w:val="none" w:sz="0" w:space="0" w:color="auto"/>
                                        <w:right w:val="none" w:sz="0" w:space="0" w:color="auto"/>
                                      </w:divBdr>
                                      <w:divsChild>
                                        <w:div w:id="2114978449">
                                          <w:marLeft w:val="0"/>
                                          <w:marRight w:val="0"/>
                                          <w:marTop w:val="0"/>
                                          <w:marBottom w:val="0"/>
                                          <w:divBdr>
                                            <w:top w:val="none" w:sz="0" w:space="0" w:color="auto"/>
                                            <w:left w:val="none" w:sz="0" w:space="0" w:color="auto"/>
                                            <w:bottom w:val="none" w:sz="0" w:space="0" w:color="auto"/>
                                            <w:right w:val="none" w:sz="0" w:space="0" w:color="auto"/>
                                          </w:divBdr>
                                          <w:divsChild>
                                            <w:div w:id="1779791673">
                                              <w:marLeft w:val="0"/>
                                              <w:marRight w:val="0"/>
                                              <w:marTop w:val="0"/>
                                              <w:marBottom w:val="0"/>
                                              <w:divBdr>
                                                <w:top w:val="none" w:sz="0" w:space="0" w:color="auto"/>
                                                <w:left w:val="none" w:sz="0" w:space="0" w:color="auto"/>
                                                <w:bottom w:val="none" w:sz="0" w:space="0" w:color="auto"/>
                                                <w:right w:val="none" w:sz="0" w:space="0" w:color="auto"/>
                                              </w:divBdr>
                                              <w:divsChild>
                                                <w:div w:id="1890997794">
                                                  <w:marLeft w:val="0"/>
                                                  <w:marRight w:val="0"/>
                                                  <w:marTop w:val="0"/>
                                                  <w:marBottom w:val="0"/>
                                                  <w:divBdr>
                                                    <w:top w:val="none" w:sz="0" w:space="0" w:color="auto"/>
                                                    <w:left w:val="none" w:sz="0" w:space="0" w:color="auto"/>
                                                    <w:bottom w:val="none" w:sz="0" w:space="0" w:color="auto"/>
                                                    <w:right w:val="none" w:sz="0" w:space="0" w:color="auto"/>
                                                  </w:divBdr>
                                                  <w:divsChild>
                                                    <w:div w:id="363214348">
                                                      <w:marLeft w:val="0"/>
                                                      <w:marRight w:val="0"/>
                                                      <w:marTop w:val="0"/>
                                                      <w:marBottom w:val="0"/>
                                                      <w:divBdr>
                                                        <w:top w:val="none" w:sz="0" w:space="0" w:color="auto"/>
                                                        <w:left w:val="none" w:sz="0" w:space="0" w:color="auto"/>
                                                        <w:bottom w:val="none" w:sz="0" w:space="0" w:color="auto"/>
                                                        <w:right w:val="none" w:sz="0" w:space="0" w:color="auto"/>
                                                      </w:divBdr>
                                                      <w:divsChild>
                                                        <w:div w:id="218321452">
                                                          <w:marLeft w:val="0"/>
                                                          <w:marRight w:val="0"/>
                                                          <w:marTop w:val="0"/>
                                                          <w:marBottom w:val="0"/>
                                                          <w:divBdr>
                                                            <w:top w:val="none" w:sz="0" w:space="0" w:color="auto"/>
                                                            <w:left w:val="none" w:sz="0" w:space="0" w:color="auto"/>
                                                            <w:bottom w:val="none" w:sz="0" w:space="0" w:color="auto"/>
                                                            <w:right w:val="none" w:sz="0" w:space="0" w:color="auto"/>
                                                          </w:divBdr>
                                                          <w:divsChild>
                                                            <w:div w:id="1988509317">
                                                              <w:marLeft w:val="0"/>
                                                              <w:marRight w:val="0"/>
                                                              <w:marTop w:val="0"/>
                                                              <w:marBottom w:val="0"/>
                                                              <w:divBdr>
                                                                <w:top w:val="none" w:sz="0" w:space="0" w:color="auto"/>
                                                                <w:left w:val="none" w:sz="0" w:space="0" w:color="auto"/>
                                                                <w:bottom w:val="none" w:sz="0" w:space="0" w:color="auto"/>
                                                                <w:right w:val="none" w:sz="0" w:space="0" w:color="auto"/>
                                                              </w:divBdr>
                                                              <w:divsChild>
                                                                <w:div w:id="1746224639">
                                                                  <w:marLeft w:val="0"/>
                                                                  <w:marRight w:val="0"/>
                                                                  <w:marTop w:val="0"/>
                                                                  <w:marBottom w:val="0"/>
                                                                  <w:divBdr>
                                                                    <w:top w:val="none" w:sz="0" w:space="0" w:color="auto"/>
                                                                    <w:left w:val="none" w:sz="0" w:space="0" w:color="auto"/>
                                                                    <w:bottom w:val="none" w:sz="0" w:space="0" w:color="auto"/>
                                                                    <w:right w:val="none" w:sz="0" w:space="0" w:color="auto"/>
                                                                  </w:divBdr>
                                                                  <w:divsChild>
                                                                    <w:div w:id="1213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012039">
      <w:bodyDiv w:val="1"/>
      <w:marLeft w:val="0"/>
      <w:marRight w:val="0"/>
      <w:marTop w:val="0"/>
      <w:marBottom w:val="0"/>
      <w:divBdr>
        <w:top w:val="none" w:sz="0" w:space="0" w:color="auto"/>
        <w:left w:val="none" w:sz="0" w:space="0" w:color="auto"/>
        <w:bottom w:val="none" w:sz="0" w:space="0" w:color="auto"/>
        <w:right w:val="none" w:sz="0" w:space="0" w:color="auto"/>
      </w:divBdr>
      <w:divsChild>
        <w:div w:id="328407855">
          <w:marLeft w:val="0"/>
          <w:marRight w:val="0"/>
          <w:marTop w:val="0"/>
          <w:marBottom w:val="0"/>
          <w:divBdr>
            <w:top w:val="none" w:sz="0" w:space="0" w:color="auto"/>
            <w:left w:val="none" w:sz="0" w:space="0" w:color="auto"/>
            <w:bottom w:val="none" w:sz="0" w:space="0" w:color="auto"/>
            <w:right w:val="none" w:sz="0" w:space="0" w:color="auto"/>
          </w:divBdr>
        </w:div>
      </w:divsChild>
    </w:div>
    <w:div w:id="208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dn5-eeas.fpfis.tech.ec.europa.eu/cdn/farfuture/2rOF-JdAS8j-pKkhPt8txwI5V51A5EXAOrHQNUfwB9M/mtime:1481797831/sites/eeas/files/eugs_review_web_0.pdf" TargetMode="External"/><Relationship Id="rId13" Type="http://schemas.openxmlformats.org/officeDocument/2006/relationships/hyperlink" Target="https://www.consilium.europa.eu/media/37030/st13978-en18.pdf" TargetMode="External"/><Relationship Id="rId18" Type="http://schemas.openxmlformats.org/officeDocument/2006/relationships/hyperlink" Target="https://eur-lex.europa.eu/legal-content/ET/TXT/?uri=CELEX:52018PC0476" TargetMode="External"/><Relationship Id="rId3" Type="http://schemas.openxmlformats.org/officeDocument/2006/relationships/hyperlink" Target="https://eur-lex.europa.eu/legal-content/ET/TXT/PDF/?uri=CELEX:32004E0551&amp;qid=1543216581106&amp;from=ET" TargetMode="External"/><Relationship Id="rId21" Type="http://schemas.openxmlformats.org/officeDocument/2006/relationships/hyperlink" Target="https://eeas.europa.eu/topics/military-and-civilian-missions-and-operations/430/military-and-civilian-missions-and-operations_en" TargetMode="External"/><Relationship Id="rId7" Type="http://schemas.openxmlformats.org/officeDocument/2006/relationships/hyperlink" Target="https://eur-lex.europa.eu/legal-content/ET/TXT/PDF/?uri=CELEX:32017D0971&amp;from=ET" TargetMode="External"/><Relationship Id="rId12" Type="http://schemas.openxmlformats.org/officeDocument/2006/relationships/hyperlink" Target="https://ec.europa.eu/transport/sites/transport/files/2018-military_mobility_action_plan.pdf" TargetMode="External"/><Relationship Id="rId17" Type="http://schemas.openxmlformats.org/officeDocument/2006/relationships/hyperlink" Target="https://eur-lex.europa.eu/legal-content/ET/TXT/?uri=COM:2016:950:FIN" TargetMode="External"/><Relationship Id="rId2" Type="http://schemas.openxmlformats.org/officeDocument/2006/relationships/hyperlink" Target="https://eur-lex.europa.eu/legal-content/ET/TXT/PDF/?uri=CELEX:32008L0118&amp;qid=1543215941175&amp;from=ET" TargetMode="External"/><Relationship Id="rId16" Type="http://schemas.openxmlformats.org/officeDocument/2006/relationships/hyperlink" Target="https://eeas.europa.eu/sites/eeas/files/eugs_implementation_plan_st14392.en16_0.pdf" TargetMode="External"/><Relationship Id="rId20" Type="http://schemas.openxmlformats.org/officeDocument/2006/relationships/hyperlink" Target="https://eur-lex.europa.eu/legal-content/ET/TXT/PDF/?uri=CELEX:32015D0528&amp;qid=1548139641508&amp;from=ET" TargetMode="External"/><Relationship Id="rId1" Type="http://schemas.openxmlformats.org/officeDocument/2006/relationships/hyperlink" Target="http://eur-lex.europa.eu/legal-content/ET/TXT/PDF/?uri=CELEX:02006L0112-20160601&amp;qid=1494999281011&amp;from=ET" TargetMode="External"/><Relationship Id="rId6" Type="http://schemas.openxmlformats.org/officeDocument/2006/relationships/hyperlink" Target="https://eur-lex.europa.eu/legal-content/ET/TXT/PDF/?uri=CELEX:32001D0080&amp;qid=1544794670949&amp;from=ET" TargetMode="External"/><Relationship Id="rId11" Type="http://schemas.openxmlformats.org/officeDocument/2006/relationships/hyperlink" Target="http://www.ipex.eu/IPEXL-WEB/dossier/document/JOIN20170041.do" TargetMode="External"/><Relationship Id="rId24" Type="http://schemas.openxmlformats.org/officeDocument/2006/relationships/hyperlink" Target="https://eur-lex.europa.eu/legal-content/EN/TXT/?uri=CELEX:32018D1797" TargetMode="External"/><Relationship Id="rId5" Type="http://schemas.openxmlformats.org/officeDocument/2006/relationships/hyperlink" Target="https://eur-lex.europa.eu/legal-content/ET/TXT/PDF/?uri=CELEX:32001D0079&amp;qid=1544794805273&amp;from=ET" TargetMode="External"/><Relationship Id="rId15" Type="http://schemas.openxmlformats.org/officeDocument/2006/relationships/hyperlink" Target="http://curia.europa.eu/juris/liste.jsf?num=C-225/11&amp;language=ET" TargetMode="External"/><Relationship Id="rId23" Type="http://schemas.openxmlformats.org/officeDocument/2006/relationships/hyperlink" Target="https://eur-lex.europa.eu/legal-content/GA/TXT/?uri=CELEX:32018D0340" TargetMode="External"/><Relationship Id="rId10" Type="http://schemas.openxmlformats.org/officeDocument/2006/relationships/hyperlink" Target="https://eur-lex.europa.eu/legal-content/ET/TXT/PDF/?uri=CELEX:52017DC0041&amp;qid=1541759305904&amp;from=ET" TargetMode="External"/><Relationship Id="rId19" Type="http://schemas.openxmlformats.org/officeDocument/2006/relationships/hyperlink" Target="https://eur-lex.europa.eu/legal-content/ET/TXT/PDF/?uri=OJ:JOL_2015_084_R_0006&amp;qid=1427824153272&amp;from=ET" TargetMode="External"/><Relationship Id="rId4" Type="http://schemas.openxmlformats.org/officeDocument/2006/relationships/hyperlink" Target="https://ec.europa.eu/commission/priorities/state-union-speeches/state-union-2017_et" TargetMode="External"/><Relationship Id="rId9" Type="http://schemas.openxmlformats.org/officeDocument/2006/relationships/hyperlink" Target="https://cdn5-eeas.fpfis.tech.ec.europa.eu/cdn/farfuture/2rOF-JdAS8j-pKkhPt8txwI5V51A5EXAOrHQNUfwB9M/mtime:1481797831/sites/eeas/files/eugs_review_web_0.pdf" TargetMode="External"/><Relationship Id="rId14" Type="http://schemas.openxmlformats.org/officeDocument/2006/relationships/hyperlink" Target="http://eur-lex.europa.eu/legal-content/ET/TXT/PDF/?uri=CELEX:52016DC0148&amp;from=ET" TargetMode="External"/><Relationship Id="rId22" Type="http://schemas.openxmlformats.org/officeDocument/2006/relationships/hyperlink" Target="https://eur-lex.europa.eu/legal-content/ET/TXT/PDF/?uri=CELEX:32017D2315&amp;qid=1543216328340&amp;from=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e814ffa4-b921-427a-8455-eb95267ad41a">EN</EC_Collab_DocumentLanguage>
    <EC_Collab_Reference xmlns="e814ffa4-b921-427a-8455-eb95267ad41a" xsi:nil="true"/>
    <EC_Collab_Status xmlns="e814ffa4-b921-427a-8455-eb95267ad41a">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4680F386E8B2D4DB20C61CFEB089FD4" ma:contentTypeVersion="1" ma:contentTypeDescription="Create a new document in this library." ma:contentTypeScope="" ma:versionID="d90a1621fa065eae1232591449736566">
  <xsd:schema xmlns:xsd="http://www.w3.org/2001/XMLSchema" xmlns:xs="http://www.w3.org/2001/XMLSchema" xmlns:p="http://schemas.microsoft.com/office/2006/metadata/properties" xmlns:ns3="e814ffa4-b921-427a-8455-eb95267ad41a" targetNamespace="http://schemas.microsoft.com/office/2006/metadata/properties" ma:root="true" ma:fieldsID="945184887b85db302875054625e43b95" ns3:_="">
    <xsd:import namespace="e814ffa4-b921-427a-8455-eb95267ad41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4ffa4-b921-427a-8455-eb95267ad41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1D7EFF-29DC-471C-948A-468487CDF619}">
  <ds:schemaRefs>
    <ds:schemaRef ds:uri="e814ffa4-b921-427a-8455-eb95267ad41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F612A7-053B-468D-A97C-2BDBF1DE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4ffa4-b921-427a-8455-eb95267a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4C6F2-D21E-4CC9-88AB-614A2F24AF1C}">
  <ds:schemaRefs>
    <ds:schemaRef ds:uri="http://schemas.microsoft.com/sharepoint/v3/contenttype/forms"/>
  </ds:schemaRefs>
</ds:datastoreItem>
</file>

<file path=customXml/itemProps4.xml><?xml version="1.0" encoding="utf-8"?>
<ds:datastoreItem xmlns:ds="http://schemas.openxmlformats.org/officeDocument/2006/customXml" ds:itemID="{8B8BE52D-B5C7-4F89-90E2-E64531EE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15</Pages>
  <Words>3558</Words>
  <Characters>26294</Characters>
  <Application>Microsoft Office Word</Application>
  <DocSecurity>0</DocSecurity>
  <Lines>424</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2019-04-01T14:33:00Z</cp:lastPrinted>
  <dcterms:created xsi:type="dcterms:W3CDTF">2019-04-10T11:14:00Z</dcterms:created>
  <dcterms:modified xsi:type="dcterms:W3CDTF">2019-04-12T09:32:00Z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0x010100258AA79CEB83498886A3A086811232500054680F386E8B2D4DB20C61CFEB089FD4</vt:lpwstr>
  </property>
  <property fmtid="{D5CDD505-2E9C-101B-9397-08002B2CF9AE}" pid="11" name="DQCStatus">
    <vt:lpwstr>Green (DQC version 03)</vt:lpwstr>
  </property>
</Properties>
</file>