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413E38F-4E13-4D47-95EB-D498AC43E1E8" style="width:450.45pt;height:395.7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2017 m. kovo 29 d. Jungtinė Karalystė pranešė apie savo ketinimą išstoti iš Sąjungos pagal Europos Sąjungos sutarties 50 straipsnį. Tai reiškia, kad jei nebus ratifikuotas Susitarimas dėl išstojimo</w:t>
      </w:r>
      <w:r>
        <w:rPr>
          <w:rStyle w:val="FootnoteReference"/>
          <w:noProof/>
        </w:rPr>
        <w:footnoteReference w:id="2"/>
      </w:r>
      <w:r>
        <w:rPr>
          <w:noProof/>
        </w:rPr>
        <w:t>, nuo 2019 m. kovo 30 d. (išstojimo dienos) Jungtinei Karalystei nebebus taikoma Sąjungos pirminė ir antrinė teisė. Tada Jungtinė Karalystė taps trečiąja šalimi.</w:t>
      </w:r>
    </w:p>
    <w:p>
      <w:pPr>
        <w:pBdr>
          <w:top w:val="nil"/>
          <w:left w:val="nil"/>
          <w:bottom w:val="nil"/>
          <w:right w:val="nil"/>
          <w:between w:val="nil"/>
          <w:bar w:val="nil"/>
        </w:pBdr>
        <w:spacing w:before="0" w:after="240"/>
        <w:rPr>
          <w:noProof/>
        </w:rPr>
      </w:pPr>
      <w:r>
        <w:rPr>
          <w:noProof/>
        </w:rPr>
        <w:t xml:space="preserve">Jungtinės Karalystės išstojimas iš Sąjungos be susitarimo turės poveikį įgaliojimams saugos srityje, pagal Direktyvos 2004/49/EB 11 straipsnį suteiktų infrastruktūros valdytojams, kad jie galėtų valdyti ir eksploatuoti Sąjungą ir Jungtinę Karalystę jungiančią tarpvalstybinę infrastruktūrą, galiojimui. </w:t>
      </w:r>
    </w:p>
    <w:p>
      <w:pPr>
        <w:pBdr>
          <w:top w:val="nil"/>
          <w:left w:val="nil"/>
          <w:bottom w:val="nil"/>
          <w:right w:val="nil"/>
          <w:between w:val="nil"/>
          <w:bar w:val="nil"/>
        </w:pBdr>
        <w:spacing w:before="0" w:after="240"/>
        <w:rPr>
          <w:noProof/>
        </w:rPr>
      </w:pPr>
      <w:r>
        <w:rPr>
          <w:noProof/>
        </w:rPr>
        <w:t>Komisijos komunikate „Pasirengimas Jungtinės Karalystės išstojimui iš Europos Sąjungos 2019 m. kovo 30 d. Veiksmų planas nenumatytiems atvejams“</w:t>
      </w:r>
      <w:r>
        <w:rPr>
          <w:rStyle w:val="FootnoteReference"/>
          <w:noProof/>
        </w:rPr>
        <w:footnoteReference w:id="3"/>
      </w:r>
      <w:r>
        <w:rPr>
          <w:noProof/>
        </w:rPr>
        <w:t xml:space="preserve"> Komisija nustato principus, kuriais grindžiamos nenumatytiems atvejams skirtos priemonės, taip pat nurodoma, kad tomis priemonėmis neturi būti kompensuojamas pasirengimo priemonių, kuriomis turi pasirūpinti suinteresuotieji subjektai, nebuvimas ar tų pasirengimo priemonių įgyvendinimo delsa. Tame komunikate Komisija išvardijo veiksmus, kurių, jos nuomone, reikia imtis, ir priminė, kad vėlesniu etapu gali prireikti papildomų veiksmų.</w:t>
      </w:r>
    </w:p>
    <w:p>
      <w:pPr>
        <w:pBdr>
          <w:top w:val="nil"/>
          <w:left w:val="nil"/>
          <w:bottom w:val="nil"/>
          <w:right w:val="nil"/>
          <w:between w:val="nil"/>
          <w:bar w:val="nil"/>
        </w:pBdr>
        <w:spacing w:before="0" w:after="240"/>
        <w:rPr>
          <w:noProof/>
        </w:rPr>
      </w:pPr>
      <w:r>
        <w:rPr>
          <w:noProof/>
        </w:rPr>
        <w:t xml:space="preserve">Europos Vadovų Taryba (50 straipsnis) 2018 m. gruodžio 13 d. pakartojo savo raginimą intensyviau dirbti, siekiant visais lygmenimis pasirengti Jungtinės Karalystės išstojimo pasekmėms, atsižvelgiant į visus galimus rezultatus. </w:t>
      </w:r>
    </w:p>
    <w:p>
      <w:pPr>
        <w:pBdr>
          <w:top w:val="nil"/>
          <w:left w:val="nil"/>
          <w:bottom w:val="nil"/>
          <w:right w:val="nil"/>
          <w:between w:val="nil"/>
          <w:bar w:val="nil"/>
        </w:pBdr>
        <w:spacing w:before="0" w:after="240"/>
        <w:rPr>
          <w:noProof/>
        </w:rPr>
      </w:pPr>
      <w:r>
        <w:rPr>
          <w:noProof/>
        </w:rPr>
        <w:t>Komisija su valstybėmis narėmis aptarė galimas išstojimo pasekmes 2018 m. Europos Sąjungos Tarybos surengtuose seminaruose. Be to, išstojimo poveikis ir pasirengimo priemonės išsamiai aptarti per visose valstybėse narėse surengtus vizitus.</w:t>
      </w:r>
    </w:p>
    <w:p>
      <w:pPr>
        <w:pBdr>
          <w:top w:val="nil"/>
          <w:left w:val="nil"/>
          <w:bottom w:val="nil"/>
          <w:right w:val="nil"/>
          <w:between w:val="nil"/>
          <w:bar w:val="nil"/>
        </w:pBdr>
        <w:spacing w:before="0" w:after="240"/>
        <w:rPr>
          <w:noProof/>
        </w:rPr>
      </w:pPr>
      <w:r>
        <w:rPr>
          <w:noProof/>
        </w:rPr>
        <w:t xml:space="preserve">Geležinkelių transporto srityje Jungtinės Karalystės išstojimo iš Europos Sąjungos poveikį sertifikatams, įgaliojimams ir licencijoms suinteresuotieji subjektai daugeliu atvejų gali pašalinti įvairiomis priemonėmis, visų pirma įsisteigdami kurioje nors valstybėje narėje ir ten įgydami tinkamus įgaliojimus, sertifikatus ir licencijas. </w:t>
      </w:r>
    </w:p>
    <w:p>
      <w:pPr>
        <w:rPr>
          <w:noProof/>
        </w:rPr>
      </w:pPr>
      <w:r>
        <w:rPr>
          <w:noProof/>
        </w:rPr>
        <w:t xml:space="preserve">Tačiau, siekdamos išspręsti su tarpvalstybine geležinkelių eksploatavimo veikla tiesiogiai susijusius klausimus, užtikrinti tos veiklos vykdymo tęstinumą po išstojimo ir taip sumažinti trikdžius Sąjungoje, ES valstybės narės ir Jungtinė Karalystė turės derėtis dėl susitarimų ir juos pasirašyti. Sudaryti tokius dvišalius susitarimus bus įmanoma tik po to, kai Jungtinė Karalystė taps trečiąja šalimi. </w:t>
      </w:r>
    </w:p>
    <w:p>
      <w:pPr>
        <w:rPr>
          <w:noProof/>
        </w:rPr>
      </w:pPr>
      <w:r>
        <w:rPr>
          <w:noProof/>
        </w:rPr>
        <w:t xml:space="preserve">Atsižvelgiant į naują Jungtinės Karalystės kaip trečiosios šalies statusą, visų pirma turėtų būti atlikti su dvišale saugos institucija, kuri įsteigta pagal Kenterberio sutartį dėl Lamanšo tunelio, susiję koregavimai. </w:t>
      </w:r>
    </w:p>
    <w:p>
      <w:pPr>
        <w:rPr>
          <w:noProof/>
        </w:rPr>
      </w:pPr>
      <w:r>
        <w:rPr>
          <w:noProof/>
        </w:rPr>
        <w:t xml:space="preserve">Todėl Komisija turėtų pasiūlyti priemonių, kuriomis, laikantis atitinkamų ES teisės aktų, būtų užtikrintas tolesnis su tam tikromis geležinkelių infrastruktūros dalimis susijusių įgaliojimų galiojimas. </w:t>
      </w:r>
    </w:p>
    <w:p>
      <w:pPr>
        <w:pBdr>
          <w:top w:val="nil"/>
          <w:left w:val="nil"/>
          <w:bottom w:val="nil"/>
          <w:right w:val="nil"/>
          <w:between w:val="nil"/>
          <w:bar w:val="nil"/>
        </w:pBdr>
        <w:spacing w:before="0" w:after="240"/>
        <w:rPr>
          <w:noProof/>
        </w:rPr>
      </w:pPr>
      <w:r>
        <w:rPr>
          <w:noProof/>
        </w:rPr>
        <w:t xml:space="preserve">Jų galiojimas turėtų būti pratęstas tik tiek, kiek tikrai būtina, kad Jungtinė Karalystė ir susijusios valstybės narės galėtų sudaryti būtinus susitarimus. </w:t>
      </w:r>
    </w:p>
    <w:p>
      <w:pPr>
        <w:rPr>
          <w:noProof/>
        </w:rPr>
      </w:pPr>
      <w:r>
        <w:rPr>
          <w:noProof/>
        </w:rPr>
        <w:t>Tai taikytina tik įgaliojimams saugos srityje, kurie pagal Direktyvos 2004/49/EB 11 straipsnį yra suteikti infrastruktūros valdytojams, kad jie galėtų valdyti ir eksploatuoti Sąjungą ir Jungtinę Karalystę jungiančią tarpvalstybinę infrastruktūrą.</w:t>
      </w:r>
    </w:p>
    <w:p>
      <w:pPr>
        <w:pBdr>
          <w:top w:val="nil"/>
          <w:left w:val="nil"/>
          <w:bottom w:val="nil"/>
          <w:right w:val="nil"/>
          <w:between w:val="nil"/>
          <w:bar w:val="nil"/>
        </w:pBdr>
        <w:spacing w:before="0" w:after="240"/>
        <w:rPr>
          <w:noProof/>
        </w:rPr>
      </w:pPr>
      <w:r>
        <w:rPr>
          <w:noProof/>
        </w:rPr>
        <w:t>Siūlomomis nuostatomis siekiama užtikrinti tik tarpvalstybinės veiklos ir paslaugų tęstinumą, laikantis galiojančių Sąjungos teisinių reikalavimų. Jei tos veiklos vykdymas sutriktų, kiltų didelių socialinių ir ekonominių problemų. Pasiūlymu užtikrinama, kad organizacijos laikytųsi ES teisės aktų, taigi juo taip pat bus užtikrinta vartotojų ir piliečių apsauga.</w:t>
      </w:r>
      <w:r>
        <w:rPr>
          <w:rFonts w:ascii="Arial" w:hAnsi="Arial"/>
          <w:noProof/>
          <w:sz w:val="20"/>
        </w:rPr>
        <w:t xml:space="preserve"> </w:t>
      </w:r>
    </w:p>
    <w:p>
      <w:pPr>
        <w:pBdr>
          <w:top w:val="nil"/>
          <w:left w:val="nil"/>
          <w:bottom w:val="nil"/>
          <w:right w:val="nil"/>
          <w:between w:val="nil"/>
          <w:bar w:val="nil"/>
        </w:pBdr>
        <w:spacing w:before="0" w:after="240"/>
        <w:rPr>
          <w:noProof/>
        </w:rPr>
      </w:pPr>
      <w:r>
        <w:rPr>
          <w:noProof/>
        </w:rPr>
        <w:t xml:space="preserve">Šiame pasiūlyme numatytos priemonės bus taikomos su sąlyga, kad Jungtinės Karalystės teritorijoje esančiai infrastruktūrai, kuri naudojama tarpvalstybiniam geležinkelių susisiekimui užtikrinti, bus taikomi ES reikalavimus visiškai atitinkantys saugos standartai. </w:t>
      </w:r>
    </w:p>
    <w:p>
      <w:pPr>
        <w:pBdr>
          <w:top w:val="nil"/>
          <w:left w:val="nil"/>
          <w:bottom w:val="nil"/>
          <w:right w:val="nil"/>
          <w:between w:val="nil"/>
          <w:bar w:val="nil"/>
        </w:pBdr>
        <w:spacing w:before="0" w:after="240"/>
        <w:rPr>
          <w:noProof/>
        </w:rPr>
      </w:pPr>
      <w:r>
        <w:rPr>
          <w:noProof/>
        </w:rPr>
        <w:t>Tačiau didelių trikdžių būtų galima išvengti tik jei geležinkelio įmonės ir nacionalinės valdžios institucijos greitai imtųsi visų reikiamų priemonių užtikrinti, kad patekimo į rinką licencijos, traukinių mašinistų pažymėjimai, taip pat visi kiti sertifikatai ir įgaliojimai, reikalingi norint vykdyti veiklą Sąjungos teritorijoje, būtų suteikti tinkamu laiku iki 2019 m. kovo 30 d.</w:t>
      </w:r>
    </w:p>
    <w:p>
      <w:pPr>
        <w:pStyle w:val="ManualHeading2"/>
        <w:rPr>
          <w:rFonts w:eastAsia="Arial Unicode MS"/>
          <w:noProof/>
          <w:u w:color="000000"/>
          <w:bdr w:val="nil"/>
        </w:rPr>
      </w:pPr>
      <w:r>
        <w:rPr>
          <w:noProof/>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 xml:space="preserve">Šis pasiūlymas teikiamas kaip </w:t>
      </w:r>
      <w:r>
        <w:rPr>
          <w:i/>
          <w:noProof/>
        </w:rPr>
        <w:t>lex specialis</w:t>
      </w:r>
      <w:r>
        <w:rPr>
          <w:noProof/>
        </w:rPr>
        <w:t xml:space="preserve"> ir turėtų padėti išspręsti klausimus, susijusius su kai kuriomis Direktyvos 2004/49/EB taikymo Jungtinei Karalystei nutraukimo pasekmėmis. Siūlomos sąlygos griežtai apsiriboja tik tuo, kas šiuo požiūriu yra būtina, kad nebūtų sutrikdyta tarpvalstybinė veikla. Jas taip pat numatyta taikyti tik ribotą laikotarpį. Bendrosios tų aktų nuostatos bus taikomos ir toliau. Taigi šis pasiūlymas visiškai atitinka galiojančius teisės aktus.</w:t>
      </w:r>
    </w:p>
    <w:p>
      <w:pPr>
        <w:pStyle w:val="ManualHeading2"/>
        <w:rPr>
          <w:rFonts w:eastAsia="Arial Unicode MS"/>
          <w:noProof/>
        </w:rPr>
      </w:pPr>
      <w:r>
        <w:rPr>
          <w:noProof/>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Pasiūlymas yra susijęs su geležinkelių sauga bei susisiekimu ir juo papildoma Direktyva 2004/49/EB, kad būtų galima spręsti konkrečius klausimus, kylančius Jungtinei Karalystei išstojant iš ES be susitarimo dėl išstojimo.</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Teisinis pagrindas – Sutarties dėl Europos Sąjungos veikimo (SESV) 91 straipsnio 1 dalis.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Kadangi pasiūlymu papildoma esama Sąjungos teisė ir jo nuostatos padės toliau tinkamai ją taikyti po Jungtinės Karalystės išstojimo iš Sąjungos, jo tikslas gali būti pasiektas tik Sąjungos lygmens teisės aktu.</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Siūlomas reglamentas laikomas proporcingu, nes jame numatyti būtini ribotos apimties teisiniai pakeitimai, būtini siekiant užtikrinti tarpvalstybinių geležinkelio paslaugų tęstinumą, padės išvengti trikdžių. Juo neviršijama to, kas būtina šiam tikslui pasiekti, ir susilaikoma nuo bet kokių platesnio masto pakeitimų ar nuolatinių priemonių.</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Šį pasiūlymą sudaro ribotas nuostatų, skirtų labai konkrečiam vienkartiniam klausimui spręsti, rinkinys. Todėl iš dalies keisti Direktyvą 2004/49/EB ir Direktyvą (ES) 2016/798, kuria ta direktyva pakeičiama nuo 2019 m. birželio 16 d, yra netikslinga. Atitinkamos nuostatos, susijusios su įgaliojimais, kuriems bus padarytas poveikis, įtrauktos į Direktyvą 2004/49/EB. Atsižvelgiant į tai, atrodo, kad vienintelė tinkama teisės akto forma yra Europos Parlamento ir Tarybos reglamentas.</w:t>
      </w:r>
    </w:p>
    <w:p>
      <w:pPr>
        <w:pStyle w:val="ManualHeading1"/>
        <w:rPr>
          <w:noProof/>
        </w:rPr>
      </w:pPr>
      <w:r>
        <w:rPr>
          <w:noProof/>
        </w:rPr>
        <w:t>3.</w:t>
      </w:r>
      <w:r>
        <w:rPr>
          <w:noProof/>
        </w:rPr>
        <w:tab/>
        <w:t>EX POST VERTINIMO, KONSULTACIJŲ SU SUINTERESUOTOSIOMIS ŠALIMIS IR POVEIKIO VERTINIMO REZULTATAI</w:t>
      </w:r>
    </w:p>
    <w:p>
      <w:pPr>
        <w:pStyle w:val="ManualHeading2"/>
        <w:rPr>
          <w:rFonts w:eastAsia="Arial Unicode MS"/>
          <w:noProof/>
          <w:u w:color="000000"/>
          <w:bdr w:val="nil"/>
        </w:rPr>
      </w:pPr>
      <w:r>
        <w:rPr>
          <w:noProof/>
        </w:rPr>
        <w:t>•</w:t>
      </w:r>
      <w:r>
        <w:rPr>
          <w:noProof/>
        </w:rPr>
        <w:tab/>
        <w:t>Galiojančių teisės aktų ex post vertinimas / tinkamumo patikrinimas</w:t>
      </w:r>
    </w:p>
    <w:p>
      <w:pPr>
        <w:pBdr>
          <w:top w:val="nil"/>
          <w:left w:val="nil"/>
          <w:bottom w:val="nil"/>
          <w:right w:val="nil"/>
          <w:between w:val="nil"/>
          <w:bar w:val="nil"/>
        </w:pBdr>
        <w:spacing w:before="0" w:after="240"/>
        <w:rPr>
          <w:rFonts w:eastAsia="Arial Unicode MS"/>
          <w:noProof/>
        </w:rPr>
      </w:pPr>
      <w:r>
        <w:rPr>
          <w:noProof/>
        </w:rPr>
        <w:t>Netaikoma dėl klausimų, kuriems spręsti skirtas šis pasiūlymas, išskirtinumo ir vienkartinio pobūdžio.</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Dėl specifinių aplinkybių, kuriomis vyko derybos dėl Jungtinės Karalystės išstojimo iš Sąjungos, ir dėl nuolat kintančios padėties galimybė dėl pasiūlymo surengti viešas konsultacijas buvo labai ribota. Tačiau įvairūs geležinkelių sektoriaus suinteresuotieji subjektai ir valstybių narių atstovai iškėlė su Jungtinės Karalystės išstojimu iš ES susijusių klausimų ir siūlė galimus sprendimus.</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Siekiant užtikrinti, kad siūloma priemone būtų pasiektas jos tikslas ir kartu neviršyta to, kas tikrai būtina, atlikta vidinė šios informacijos teisinė ir techninė analizė.</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Dėl padėties išskirtinumo ir poreikių ribotumo laikotarpiu, kuriuo bus atliktas Jungtinės Karalystės statuso pakeitimas, poveikio vertinimas nėra būtinas. Nėra numatyta jokių iš esmės besiskiriančių politikos galimybių, išskyrus vieną, kuri čia pasiūlyta.</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 xml:space="preserve">Pasiūlymas neturi poveikio pagrindinių teisių taikymui ar apsaugai.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Netaikoma dėl siūlomos priemonės trumpalaikiškumo.</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2019/0040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tam tikrų geležinkelių saugos ir susisiekimo aspektų, susijusių su Jungtinės Didžiosios Britanijos ir Šiaurės Airijos Karalystės išstojimu iš Sąjungos </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91 straipsnio 1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4"/>
      </w:r>
      <w:r>
        <w:rPr>
          <w:noProof/>
        </w:rPr>
        <w:t xml:space="preserve">, </w:t>
      </w:r>
    </w:p>
    <w:p>
      <w:pPr>
        <w:rPr>
          <w:noProof/>
        </w:rPr>
      </w:pPr>
      <w:r>
        <w:rPr>
          <w:noProof/>
        </w:rPr>
        <w:t>atsižvelgdami į Regionų komiteto nuomonę</w:t>
      </w:r>
      <w:r>
        <w:rPr>
          <w:rStyle w:val="FootnoteReference"/>
          <w:noProof/>
        </w:rPr>
        <w:footnoteReference w:id="5"/>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ab/>
        <w:t>2017 m. kovo 29 d. Jungtinė Karalystė pranešė apie savo ketinimą išstoti iš Sąjungos pagal Europos Sąjungos sutarties 50 straipsnį. Jei Europos Vadovų Taryba, susitarusi su Jungtine Karalyste, vieningai nenuspręs pratęsti termino, Sutartys Jungtinei Karalystei nustos galioti nuo Susitarimo dėl išstojimo įsigaliojimo dienos arba, jei toks susitarimas nebus sudarytas, praėjus dvejiems metams po minėto pranešimo gavimo, t. y. nuo 2019 m. kovo 30 d.;</w:t>
      </w:r>
    </w:p>
    <w:p>
      <w:pPr>
        <w:pStyle w:val="ManualConsidrant"/>
        <w:rPr>
          <w:noProof/>
        </w:rPr>
      </w:pPr>
      <w:r>
        <w:t>(2)</w:t>
      </w:r>
      <w:r>
        <w:tab/>
      </w:r>
      <w:r>
        <w:rPr>
          <w:noProof/>
        </w:rPr>
        <w:tab/>
        <w:t>geležinkelių transporto srityje Jungtinės Karalystės išstojimo iš Sąjungos poveikį sertifikatams ir įgaliojimams veiklos vykdytojai daugeliu atvejų gali pašalinti įvairiomis priemonėmis, visų pirma įsisteigdami kurioje nors valstybėje narėje ir ten įgydami tinkamus įgaliojimus bei sertifikatus;</w:t>
      </w:r>
    </w:p>
    <w:p>
      <w:pPr>
        <w:pStyle w:val="ManualConsidrant"/>
        <w:rPr>
          <w:noProof/>
        </w:rPr>
      </w:pPr>
      <w:r>
        <w:t>(3)</w:t>
      </w:r>
      <w:r>
        <w:tab/>
      </w:r>
      <w:r>
        <w:rPr>
          <w:noProof/>
        </w:rPr>
        <w:t xml:space="preserve">Sąjungos saugos taisykles Lamanšo tuneliui taikyti šiuo metu pavesta Kenterberio sutartimi įsteigtai dvišalei saugos institucijai. Ta sutartimi nustatyta sistema turėtų būti pritaikyta atsižvelgiant į Jungtinės Karalystės kaip trečiosios šalies statusą; </w:t>
      </w:r>
    </w:p>
    <w:p>
      <w:pPr>
        <w:pStyle w:val="ManualConsidrant"/>
        <w:rPr>
          <w:noProof/>
        </w:rPr>
      </w:pPr>
      <w:r>
        <w:t>(4)</w:t>
      </w:r>
      <w:r>
        <w:tab/>
      </w:r>
      <w:r>
        <w:rPr>
          <w:noProof/>
        </w:rPr>
        <w:tab/>
        <w:t xml:space="preserve">šiame pasiūlyme numatytos priemonės bus taikomos su sąlyga, kad infrastruktūrai, kuri naudojama tarpvalstybiniam geležinkelių susisiekimui su Jungtine Karalyste užtikrinti, bus taikomi Sąjungos reikalavimus visiškai atitinkantys saugos standartai ir procedūros; </w:t>
      </w:r>
    </w:p>
    <w:p>
      <w:pPr>
        <w:pStyle w:val="ManualConsidrant"/>
        <w:rPr>
          <w:noProof/>
        </w:rPr>
      </w:pPr>
      <w:r>
        <w:t>(5)</w:t>
      </w:r>
      <w:r>
        <w:tab/>
      </w:r>
      <w:r>
        <w:rPr>
          <w:noProof/>
        </w:rPr>
        <w:t>kad susijusios šalys galėtų sudaryti būtinus susitarimus ir imtis bet kokių kitų priemonių, būtinų siekiant išvengti trikdžių, atsižvelgiant į Jungtinės Karalystės kaip trečiosios šalies statusą, būtina pratęsti tam tikrų įgaliojimų galiojimą;</w:t>
      </w:r>
    </w:p>
    <w:p>
      <w:pPr>
        <w:pStyle w:val="ManualConsidrant"/>
        <w:rPr>
          <w:noProof/>
        </w:rPr>
      </w:pPr>
      <w:r>
        <w:t>(6)</w:t>
      </w:r>
      <w:r>
        <w:tab/>
      </w:r>
      <w:r>
        <w:rPr>
          <w:noProof/>
        </w:rPr>
        <w:t xml:space="preserve">įgaliojimų galiojimas turėtų būti pratęstas tik tiek, kiek tikrai būtina, kad atitinkamos valstybės narės galėtų imtis tų būtinų veiksmų pagal taikytinas Sąjungos teisės nuostatas; </w:t>
      </w:r>
    </w:p>
    <w:p>
      <w:pPr>
        <w:pStyle w:val="ManualConsidrant"/>
        <w:rPr>
          <w:noProof/>
        </w:rPr>
      </w:pPr>
      <w:r>
        <w:t>(7)</w:t>
      </w:r>
      <w:r>
        <w:tab/>
      </w:r>
      <w:r>
        <w:rPr>
          <w:noProof/>
        </w:rPr>
        <w:t>kad nebūtų labai sutrikdytas vežimo geležinkeliais, jungiančiais su Jungtine Karalyste, tarpvalstybinių paslaugų teikimas, taip pat bus labai svarbu, kad geležinkelio įmonės ir nacionalinės valdžios institucijos greitai imtųsi reikiamų priemonių užtikrinti, kad patekimo į rinką licencijos, traukinių mašinistų pažymėjimai, taip pat sertifikatai, licencijos ir įgaliojimai, reikalingi norint vykdyti veiklą Sąjungos teritorijoje, būtų suteikti tinkamu laiku iki 2019 m. kovo 29 d.;</w:t>
      </w:r>
    </w:p>
    <w:p>
      <w:pPr>
        <w:pStyle w:val="ManualConsidrant"/>
        <w:rPr>
          <w:noProof/>
        </w:rPr>
      </w:pPr>
      <w:r>
        <w:t>(8)</w:t>
      </w:r>
      <w:r>
        <w:tab/>
      </w:r>
      <w:r>
        <w:rPr>
          <w:noProof/>
        </w:rPr>
        <w:t>siekiant užtikrinti vienodas šio reglamento įgyvendinimo sąlygas, Komisijai turėtų būti suteikti įgyvendinimo įgaliojimai, susiję su įgaliojimų turėtojams suteiktų privilegijų panaikinimu tais atvejais, kai nėra užtikrinama, kad atitinkamai infrastuktūrai būtų taikomi Sąjungos reikalavimus visiškai atitinkantys saugos standartai. Tais įgaliojimais turėtų būti naudojamasi laikantis Europos Parlamento ir Tarybos reglamento (ES) Nr. 182/2011</w:t>
      </w:r>
      <w:r>
        <w:rPr>
          <w:rStyle w:val="FootnoteReference"/>
          <w:noProof/>
        </w:rPr>
        <w:footnoteReference w:id="6"/>
      </w:r>
      <w:r>
        <w:rPr>
          <w:noProof/>
        </w:rPr>
        <w:t>. Atsižvelgiant į galimą tokių priemonių poveikį geležinkelių saugai, jos turėtų būti priimamos laikantis nagrinėjimo procedūros. Atsižvelgdama į klausimo skubumą, Komisija turėtų priimti nedelsiant taikytinus įgyvendinimo aktus;</w:t>
      </w:r>
    </w:p>
    <w:p>
      <w:pPr>
        <w:pStyle w:val="ManualConsidrant"/>
        <w:rPr>
          <w:noProof/>
        </w:rPr>
      </w:pPr>
      <w:r>
        <w:t>(9)</w:t>
      </w:r>
      <w:r>
        <w:tab/>
      </w:r>
      <w:r>
        <w:rPr>
          <w:noProof/>
        </w:rPr>
        <w:t>atsižvelgiant į tai, kad dėl aplinkybių, susijusių su Jungtinės Karalystės išstojimu iš Sąjungos, būtina veikti skubiai, išimties tvarka turėtų būti netaikomas aštuonių savaičių laikotarpis, nustatytas prie Europos Sąjungos sutarties, Sutarties dėl Europos Sąjungos veikimo ir Europos atominės energijos bendrijos steigimo sutarties pridėto Protokolo Nr. 1 dėl nacionalinių parlamentų vaidmens Sąjungoje 4 straipsnyje;</w:t>
      </w:r>
    </w:p>
    <w:p>
      <w:pPr>
        <w:pStyle w:val="ManualConsidrant"/>
        <w:rPr>
          <w:noProof/>
        </w:rPr>
      </w:pPr>
      <w:r>
        <w:t>(10)</w:t>
      </w:r>
      <w:r>
        <w:tab/>
      </w:r>
      <w:r>
        <w:rPr>
          <w:noProof/>
        </w:rPr>
        <w:t xml:space="preserve">šio reglamento nuostatos turėtų įsigalioti skubos tvarka ir būti taikomos nuo dienos, einančios po dienos, kurią Sutartys nustoja galioti Jungtinei Karalystei ir jos teritorijoje, nebent iki tos dienos įsigaliotų su Jungtine Karalyste sudarytas susitarimas dėl išstojimo, </w:t>
      </w:r>
    </w:p>
    <w:p>
      <w:pPr>
        <w:rPr>
          <w:noProof/>
        </w:rPr>
      </w:pPr>
    </w:p>
    <w:p>
      <w:pPr>
        <w:pStyle w:val="Formuledadoption"/>
        <w:rPr>
          <w:noProof/>
        </w:rPr>
      </w:pPr>
      <w:r>
        <w:rPr>
          <w:noProof/>
        </w:rPr>
        <w:t>PRIĖMĖ ŠĮ REGLAMENTĄ:</w:t>
      </w:r>
    </w:p>
    <w:p>
      <w:pPr>
        <w:pStyle w:val="Titrearticle"/>
        <w:rPr>
          <w:noProof/>
        </w:rPr>
      </w:pPr>
      <w:r>
        <w:rPr>
          <w:noProof/>
        </w:rPr>
        <w:t>1 straipsnis</w:t>
      </w:r>
    </w:p>
    <w:p>
      <w:pPr>
        <w:pStyle w:val="Titrearticle"/>
        <w:rPr>
          <w:b/>
          <w:i w:val="0"/>
          <w:noProof/>
        </w:rPr>
      </w:pPr>
      <w:r>
        <w:rPr>
          <w:b/>
          <w:i w:val="0"/>
          <w:noProof/>
        </w:rPr>
        <w:t>Dalykas ir taikymo sritis</w:t>
      </w:r>
    </w:p>
    <w:p>
      <w:pPr>
        <w:pStyle w:val="ManualNumPar1"/>
        <w:rPr>
          <w:noProof/>
        </w:rPr>
      </w:pPr>
      <w:r>
        <w:t>1.</w:t>
      </w:r>
      <w:r>
        <w:tab/>
      </w:r>
      <w:r>
        <w:rPr>
          <w:noProof/>
        </w:rPr>
        <w:t>Šiuo reglamentu, atsižvelgiant į Jungtinės Didžiosios Britanijos ir Šiaurės Airijos Karalystės (toliau – Jungtinė Karalystė) išstojimą iš Europos Sąjungos, nustatomos konkrečios nuostatos dėl tam tikrų įgaliojimų saugos srityje, suteiktų pagal Europos Parlamento ir Tarybos direktyvą 2004/49/EB</w:t>
      </w:r>
      <w:r>
        <w:rPr>
          <w:rStyle w:val="FootnoteReference"/>
          <w:noProof/>
        </w:rPr>
        <w:footnoteReference w:id="7"/>
      </w:r>
      <w:r>
        <w:rPr>
          <w:noProof/>
        </w:rPr>
        <w:t>.</w:t>
      </w:r>
    </w:p>
    <w:p>
      <w:pPr>
        <w:pStyle w:val="ManualNumPar1"/>
        <w:rPr>
          <w:noProof/>
        </w:rPr>
      </w:pPr>
      <w:r>
        <w:t>2.</w:t>
      </w:r>
      <w:r>
        <w:tab/>
      </w:r>
      <w:r>
        <w:rPr>
          <w:noProof/>
        </w:rPr>
        <w:t>Šis reglamentas taikomas įgaliojimams saugos srityje, kurie pagal Direktyvos 2004/49/EB 11 straipsnį yra suteikti infrastruktūros valdytojams, kad jie galėtų valdyti ir eksploatuoti tarpvalstybinę infrastruktūrą, jungiančią Sąjungą ir Jungtinę Karalystę, ir kurie galioja dieną prieš šio reglamento taikymo pradžios dieną.</w:t>
      </w:r>
    </w:p>
    <w:p>
      <w:pPr>
        <w:pStyle w:val="Titrearticle"/>
        <w:rPr>
          <w:noProof/>
        </w:rPr>
      </w:pPr>
      <w:r>
        <w:rPr>
          <w:noProof/>
        </w:rPr>
        <w:t>2 straipsnis</w:t>
      </w:r>
    </w:p>
    <w:p>
      <w:pPr>
        <w:pStyle w:val="Titrearticle"/>
        <w:rPr>
          <w:b/>
          <w:i w:val="0"/>
          <w:noProof/>
        </w:rPr>
      </w:pPr>
      <w:r>
        <w:rPr>
          <w:b/>
          <w:i w:val="0"/>
          <w:noProof/>
        </w:rPr>
        <w:t>Apibrėžtys</w:t>
      </w:r>
    </w:p>
    <w:p>
      <w:pPr>
        <w:rPr>
          <w:noProof/>
        </w:rPr>
      </w:pPr>
      <w:r>
        <w:rPr>
          <w:noProof/>
        </w:rPr>
        <w:t>Atitinkamos šiame reglamente vartojamų terminų apibrėžtys yra nustatytos Direktyvoje 2004/49/EB ir pagal šią direktyvą priimtuose įgyvendinimo aktuose. Nuo dienos, kurią 1 straipsnio 2 dalyje nurodytiems įgaliojimams pradedama taikyti Europos Parlamento ir Tarybos direktyva (ES) 2016/798</w:t>
      </w:r>
      <w:r>
        <w:rPr>
          <w:rStyle w:val="FootnoteReference"/>
          <w:noProof/>
        </w:rPr>
        <w:footnoteReference w:id="8"/>
      </w:r>
      <w:r>
        <w:rPr>
          <w:noProof/>
        </w:rPr>
        <w:t xml:space="preserve">, taikomos joje ir pagal ją priimtuose deleguotuosiuose ir įgyvendinimo aktuose nustatytos atitinkamos apibrėžtys. </w:t>
      </w:r>
    </w:p>
    <w:p>
      <w:pPr>
        <w:pStyle w:val="Titrearticle"/>
        <w:rPr>
          <w:noProof/>
        </w:rPr>
      </w:pPr>
      <w:r>
        <w:rPr>
          <w:noProof/>
        </w:rPr>
        <w:t>3 straipsnis</w:t>
      </w:r>
    </w:p>
    <w:p>
      <w:pPr>
        <w:pStyle w:val="Titrearticle"/>
        <w:rPr>
          <w:b/>
          <w:i w:val="0"/>
          <w:noProof/>
        </w:rPr>
      </w:pPr>
      <w:r>
        <w:rPr>
          <w:b/>
          <w:i w:val="0"/>
          <w:noProof/>
        </w:rPr>
        <w:t>Įgaliojimų saugos srityje galiojimas</w:t>
      </w:r>
    </w:p>
    <w:p>
      <w:pPr>
        <w:rPr>
          <w:noProof/>
        </w:rPr>
      </w:pPr>
      <w:r>
        <w:rPr>
          <w:noProof/>
        </w:rPr>
        <w:t xml:space="preserve">1 straipsnio 2 dalyje nurodyti įgaliojimai lieka galioti tris mėnesius nuo šio reglamento taikymo pradžios dienos. </w:t>
      </w:r>
    </w:p>
    <w:p>
      <w:pPr>
        <w:pStyle w:val="Titrearticle"/>
        <w:rPr>
          <w:noProof/>
        </w:rPr>
      </w:pPr>
      <w:r>
        <w:rPr>
          <w:noProof/>
        </w:rPr>
        <w:t>4 straipsnis</w:t>
      </w:r>
    </w:p>
    <w:p>
      <w:pPr>
        <w:pStyle w:val="Titrearticle"/>
        <w:rPr>
          <w:b/>
          <w:i w:val="0"/>
          <w:noProof/>
        </w:rPr>
      </w:pPr>
      <w:r>
        <w:rPr>
          <w:b/>
          <w:i w:val="0"/>
          <w:noProof/>
        </w:rPr>
        <w:t>Su įgaliojimais susijusios taisyklės ir pareigos</w:t>
      </w:r>
    </w:p>
    <w:p>
      <w:pPr>
        <w:pStyle w:val="ManualNumPar1"/>
        <w:rPr>
          <w:noProof/>
        </w:rPr>
      </w:pPr>
      <w:r>
        <w:t>1.</w:t>
      </w:r>
      <w:r>
        <w:tab/>
      </w:r>
      <w:r>
        <w:rPr>
          <w:noProof/>
        </w:rPr>
        <w:t xml:space="preserve">Šio reglamento 1 straipsnio 2 dalimi reglamentuojamiems įgaliojimams taikomos taisyklės, kurios jiems nustatytos Direktyvoje 2004/49/EB ir Direktyvoje (ES) 2016/798 (nuo dienos, kurią ji pradedama taikyti šiems įgaliojimams), taip pat pagal šias direktyvas priimtuose įgyvendinimo ir deleguotuosiuose aktuose. </w:t>
      </w:r>
    </w:p>
    <w:p>
      <w:pPr>
        <w:pStyle w:val="ManualNumPar1"/>
        <w:rPr>
          <w:noProof/>
        </w:rPr>
      </w:pPr>
      <w:r>
        <w:t>2.</w:t>
      </w:r>
      <w:r>
        <w:tab/>
      </w:r>
      <w:r>
        <w:rPr>
          <w:noProof/>
        </w:rPr>
        <w:t xml:space="preserve">1 straipsnio 2 dalyje nurodytų įgaliojimų turėtojai ir atitinkamais atvejais juos suteikusi institucija, jei ji nėra nacionalinė saugos institucija, kurios kompetencijai priklausančioje teritorijoje yra Sąjungoje esanti infrastruktūra, bendradarbiauja su ta nacionaline saugos institucija ir teikia jai visą reikalingą informaciją ir dokumentus. </w:t>
      </w:r>
    </w:p>
    <w:p>
      <w:pPr>
        <w:pStyle w:val="ManualNumPar1"/>
        <w:rPr>
          <w:noProof/>
        </w:rPr>
      </w:pPr>
      <w:r>
        <w:t>3.</w:t>
      </w:r>
      <w:r>
        <w:tab/>
      </w:r>
      <w:r>
        <w:rPr>
          <w:noProof/>
        </w:rPr>
        <w:t xml:space="preserve">Jei informacija ar dokumentai nepateikiami per 2 dalyje nurodytos nacionalinės saugos institucijos pateiktuose prašymuose nustatytus laikotarpius, Komisija, gavusi nacionalinės saugos institucijos pranešimą, gali pagal 7 straipsnio 2 dalį priimtais įgyvendinimo aktais panaikinti pagal 3 straipsnį įgaliojimo turėtojui suteiktą privilegiją. </w:t>
      </w:r>
    </w:p>
    <w:p>
      <w:pPr>
        <w:pStyle w:val="ManualNumPar1"/>
        <w:rPr>
          <w:noProof/>
        </w:rPr>
      </w:pPr>
      <w:r>
        <w:t>4.</w:t>
      </w:r>
      <w:r>
        <w:tab/>
      </w:r>
      <w:r>
        <w:rPr>
          <w:noProof/>
        </w:rPr>
        <w:t xml:space="preserve">Šio reglamento 1 straipsnio 2 dalyje nurodytų įgaliojimų turėtojai nedelsdami praneša Komisijai ir Europos Sąjungos geležinkelių agentūrai apie bet kokius kitų kompetentingų saugos institucijų veiksmus, kurie gali prieštarauti jų pareigoms, nustatytoms šiame reglamente, Direktyvoje 2004/49/EB ir Direktyvoje (ES) 2016/798. </w:t>
      </w:r>
    </w:p>
    <w:p>
      <w:pPr>
        <w:pStyle w:val="ManualNumPar1"/>
        <w:rPr>
          <w:noProof/>
        </w:rPr>
      </w:pPr>
      <w:r>
        <w:t>5.</w:t>
      </w:r>
      <w:r>
        <w:tab/>
      </w:r>
      <w:r>
        <w:rPr>
          <w:noProof/>
        </w:rPr>
        <w:t>Prieš panaikindama privilegijas pagal 3 straipsnį, Komisija tinkamu laiku informuoja 2 dalyje nurodytą nacionalinę saugos instituciją, 1 straipsnio 2 dalyje nurodytus įgaliojimus suteikusią instituciją, tokių įgaliojimų turėtojus ir Jungtinės Karalystės nacionalinę saugos instituciją apie savo ketinimą jas panaikinti ir suteikia jiems galimybę pareikšti savo nuomonę.</w:t>
      </w:r>
    </w:p>
    <w:p>
      <w:pPr>
        <w:pStyle w:val="Titrearticle"/>
        <w:rPr>
          <w:noProof/>
        </w:rPr>
      </w:pPr>
      <w:r>
        <w:rPr>
          <w:noProof/>
        </w:rPr>
        <w:t>5 straipsnis</w:t>
      </w:r>
    </w:p>
    <w:p>
      <w:pPr>
        <w:pStyle w:val="Titrearticle"/>
        <w:rPr>
          <w:b/>
          <w:i w:val="0"/>
          <w:noProof/>
        </w:rPr>
      </w:pPr>
      <w:r>
        <w:rPr>
          <w:b/>
          <w:i w:val="0"/>
          <w:noProof/>
        </w:rPr>
        <w:t>Saugos standartai</w:t>
      </w:r>
    </w:p>
    <w:p>
      <w:pPr>
        <w:pStyle w:val="ManualNumPar1"/>
        <w:rPr>
          <w:noProof/>
        </w:rPr>
      </w:pPr>
      <w:r>
        <w:t>1.</w:t>
      </w:r>
      <w:r>
        <w:tab/>
      </w:r>
      <w:r>
        <w:rPr>
          <w:noProof/>
        </w:rPr>
        <w:t xml:space="preserve">4 straipsnio 2 dalyje nurodyta nacionalinė saugos institucija stebi, kokie geležinkelių saugos standartai taikomi 1 straipsnio 2 dalyje nurodytai tarpvalstybinei infrastruktūrai. Nacionalinė saugos institucija reguliariai teikia Komisijai ir Europos Sąjungos geležinkelių agentūrai su tuo susijusias ataskaitas ir atitinkamais atvejais kartu pateikia rekomendaciją Komisijai imtis veiksmų pagal 2 dalį. </w:t>
      </w:r>
    </w:p>
    <w:p>
      <w:pPr>
        <w:pStyle w:val="ManualNumPar1"/>
        <w:rPr>
          <w:noProof/>
        </w:rPr>
      </w:pPr>
      <w:r>
        <w:t>2.</w:t>
      </w:r>
      <w:r>
        <w:tab/>
      </w:r>
      <w:r>
        <w:rPr>
          <w:noProof/>
        </w:rPr>
        <w:t>Jei Komisijai kyla pagrįstų abejonių dėl saugos standartų, taikomų į šio reglamento taikymo sritį patenkančios infrastruktūros arba tos pačios infrastruktūros dalies, esančios Jungtinėje Karalystėje, eksploatavimui, atitikties atitinkamoms Sąjungos teisės nuostatoms, ji nepagrįstai nedelsdama pagal 7 straipsnio 2 dalį priimtais įgyvendinimo aktais panaikina pagal 3 straipsnį įgaliojimo turėtojui suteiktą privilegiją.</w:t>
      </w:r>
    </w:p>
    <w:p>
      <w:pPr>
        <w:pStyle w:val="ManualNumPar1"/>
        <w:rPr>
          <w:noProof/>
        </w:rPr>
      </w:pPr>
      <w:r>
        <w:t>3.</w:t>
      </w:r>
      <w:r>
        <w:tab/>
      </w:r>
      <w:r>
        <w:rPr>
          <w:noProof/>
        </w:rPr>
        <w:t>1 dalies taikymo tikslais nacionalinė saugos institucija gali paprašyti atitinkamų kompetentingų institucijų pateikti informaciją per jos nustatytą pagrįstą laikotarpį. Jei šios atitinkamos kompetentingos institucijos nepateikia prašytos informacijos per nacionalinės saugos institucijos nustatytą laikotarpį arba pateikia ne visą informaciją, Komisija, gavusi nacionalinės saugos institucijos pranešimą, gali pagal 7 straipsnio 2 dalį priimtais įgyvendinimo aktais panaikinti pagal 3 straipsnį įgaliojimo turėtojui suteiktą privilegiją.</w:t>
      </w:r>
    </w:p>
    <w:p>
      <w:pPr>
        <w:pStyle w:val="ManualNumPar1"/>
        <w:rPr>
          <w:noProof/>
        </w:rPr>
      </w:pPr>
      <w:r>
        <w:t>4.</w:t>
      </w:r>
      <w:r>
        <w:tab/>
      </w:r>
      <w:r>
        <w:rPr>
          <w:noProof/>
        </w:rPr>
        <w:t>Prieš panaikindama privilegijas pagal 3 straipsnį, Komisija tinkamu laiku informuoja 4 straipsnio 2 dalyje nurodytą nacionalinę saugos instituciją, 1 straipsnio 2 dalyje nurodytus įgaliojimus suteikusią instituciją, tokių įgaliojimų turėtojus ir Jungtinės Karalystės nacionalinę saugos instituciją apie savo ketinimą jas panaikinti ir suteikia jiems galimybę pareikšti savo nuomonę.</w:t>
      </w:r>
    </w:p>
    <w:p>
      <w:pPr>
        <w:pStyle w:val="Titrearticle"/>
        <w:rPr>
          <w:noProof/>
        </w:rPr>
      </w:pPr>
      <w:r>
        <w:rPr>
          <w:noProof/>
        </w:rPr>
        <w:t>6 straipsnis</w:t>
      </w:r>
    </w:p>
    <w:p>
      <w:pPr>
        <w:pStyle w:val="Titrearticle"/>
        <w:rPr>
          <w:b/>
          <w:i w:val="0"/>
          <w:noProof/>
        </w:rPr>
      </w:pPr>
      <w:r>
        <w:rPr>
          <w:b/>
          <w:i w:val="0"/>
          <w:noProof/>
        </w:rPr>
        <w:t>Konsultacijos ir bendradarbiavimas</w:t>
      </w:r>
    </w:p>
    <w:p>
      <w:pPr>
        <w:pStyle w:val="ManualNumPar1"/>
        <w:rPr>
          <w:noProof/>
        </w:rPr>
      </w:pPr>
      <w:r>
        <w:t>1.</w:t>
      </w:r>
      <w:r>
        <w:tab/>
      </w:r>
      <w:r>
        <w:rPr>
          <w:noProof/>
        </w:rPr>
        <w:t xml:space="preserve">Valstybių narių kompetentingos institucijos prireikus konsultuojasi ir bendradarbiauja su Jungtinės Karalystės kompetentingomis institucijomis siekdamos užtikrinti, kad šis reglamentas būtų įgyvendintas. </w:t>
      </w:r>
    </w:p>
    <w:p>
      <w:pPr>
        <w:pStyle w:val="ManualNumPar1"/>
        <w:rPr>
          <w:noProof/>
        </w:rPr>
      </w:pPr>
      <w:r>
        <w:t>2.</w:t>
      </w:r>
      <w:r>
        <w:tab/>
      </w:r>
      <w:r>
        <w:rPr>
          <w:noProof/>
        </w:rPr>
        <w:t>Valstybės narės Komisijos prašymu nepagrįstai nedelsdamos pateikia jai visą pagal 1 dalį gautą informaciją ar bet kokią kitą informaciją, svarbią šio reglamento įgyvendinimui.</w:t>
      </w:r>
    </w:p>
    <w:p>
      <w:pPr>
        <w:pStyle w:val="Titrearticle"/>
        <w:rPr>
          <w:noProof/>
        </w:rPr>
      </w:pPr>
      <w:r>
        <w:rPr>
          <w:noProof/>
        </w:rPr>
        <w:t>7 straipsnis</w:t>
      </w:r>
    </w:p>
    <w:p>
      <w:pPr>
        <w:pStyle w:val="Titrearticle"/>
        <w:rPr>
          <w:b/>
          <w:bCs/>
          <w:i w:val="0"/>
          <w:noProof/>
        </w:rPr>
      </w:pPr>
      <w:r>
        <w:rPr>
          <w:b/>
          <w:i w:val="0"/>
          <w:noProof/>
        </w:rPr>
        <w:t>Komitetas</w:t>
      </w:r>
    </w:p>
    <w:p>
      <w:pPr>
        <w:pStyle w:val="ManualNumPar1"/>
        <w:rPr>
          <w:noProof/>
        </w:rPr>
      </w:pPr>
      <w:r>
        <w:rPr>
          <w:noProof/>
        </w:rPr>
        <w:t>1.</w:t>
      </w:r>
      <w:r>
        <w:rPr>
          <w:noProof/>
        </w:rPr>
        <w:tab/>
        <w:t>Komisijai padeda Europos Parlamento ir Tarybos direktyvos (ES) 2016/797</w:t>
      </w:r>
      <w:r>
        <w:rPr>
          <w:rStyle w:val="FootnoteReference"/>
          <w:noProof/>
        </w:rPr>
        <w:footnoteReference w:id="9"/>
      </w:r>
      <w:r>
        <w:rPr>
          <w:noProof/>
        </w:rPr>
        <w:t xml:space="preserve"> 51 straipsnyje nurodytas komitetas. Tas komitetas – tai komitetas, kaip nustatyta Reglamente (ES) Nr. 182/2011.</w:t>
      </w:r>
    </w:p>
    <w:p>
      <w:pPr>
        <w:pStyle w:val="ManualNumPar1"/>
        <w:rPr>
          <w:i/>
          <w:noProof/>
        </w:rPr>
      </w:pPr>
      <w:r>
        <w:rPr>
          <w:noProof/>
        </w:rPr>
        <w:t xml:space="preserve">2. </w:t>
      </w:r>
      <w:r>
        <w:rPr>
          <w:noProof/>
        </w:rPr>
        <w:tab/>
        <w:t>Kai daroma nuoroda į šią dalį, taikomas Reglamento (ES) Nr. 182/2011 8 straipsnis kartu su jo 5 straipsniu.</w:t>
      </w:r>
    </w:p>
    <w:p>
      <w:pPr>
        <w:pStyle w:val="Titrearticle"/>
        <w:rPr>
          <w:noProof/>
        </w:rPr>
      </w:pPr>
      <w:r>
        <w:rPr>
          <w:noProof/>
        </w:rPr>
        <w:t>8 straipsnis</w:t>
      </w:r>
    </w:p>
    <w:p>
      <w:pPr>
        <w:pStyle w:val="Titrearticle"/>
        <w:rPr>
          <w:b/>
          <w:i w:val="0"/>
          <w:noProof/>
        </w:rPr>
      </w:pPr>
      <w:r>
        <w:rPr>
          <w:b/>
          <w:i w:val="0"/>
          <w:noProof/>
        </w:rPr>
        <w:t>Įsigaliojimas ir taikymas</w:t>
      </w:r>
    </w:p>
    <w:p>
      <w:pPr>
        <w:pStyle w:val="ManualNumPar1"/>
        <w:rPr>
          <w:noProof/>
        </w:rPr>
      </w:pPr>
      <w:r>
        <w:t>1.</w:t>
      </w:r>
      <w:r>
        <w:tab/>
      </w:r>
      <w:r>
        <w:rPr>
          <w:noProof/>
        </w:rPr>
        <w:t xml:space="preserve">Šis reglamentas įsigalioja kitą dieną po jo paskelbimo </w:t>
      </w:r>
      <w:r>
        <w:rPr>
          <w:i/>
          <w:noProof/>
        </w:rPr>
        <w:t>Europos Sąjungos oficialiajame leidinyje</w:t>
      </w:r>
      <w:r>
        <w:rPr>
          <w:noProof/>
        </w:rPr>
        <w:t>.</w:t>
      </w:r>
    </w:p>
    <w:p>
      <w:pPr>
        <w:pStyle w:val="ManualNumPar1"/>
        <w:rPr>
          <w:noProof/>
        </w:rPr>
      </w:pPr>
      <w:r>
        <w:t>2.</w:t>
      </w:r>
      <w:r>
        <w:tab/>
      </w:r>
      <w:r>
        <w:rPr>
          <w:noProof/>
        </w:rPr>
        <w:t>Jis taikomas nuo dienos, einančios po dienos, kurią pagal Europos Sąjungos sutarties 50 straipsnio 3 dalį Jungtinei Karalystei ir jos teritorijoje nustoja galioti Sutartys.</w:t>
      </w:r>
    </w:p>
    <w:p>
      <w:pPr>
        <w:pStyle w:val="ManualNumPar1"/>
        <w:rPr>
          <w:noProof/>
        </w:rPr>
      </w:pPr>
      <w:r>
        <w:t>3.</w:t>
      </w:r>
      <w:r>
        <w:tab/>
      </w:r>
      <w:r>
        <w:rPr>
          <w:noProof/>
        </w:rPr>
        <w:t>Šis reglamentas netaikomas, jei iki 2 dalyje nurodytos datos įsigalioja pagal Europos Sąjungos sutarties 50 straipsnio 2 dalį su Jungtine Karalyste sudarytas susitarimas dėl išstojimo.</w:t>
      </w:r>
    </w:p>
    <w:p>
      <w:pPr>
        <w:pStyle w:val="ManualNumPar1"/>
        <w:rPr>
          <w:noProof/>
        </w:rPr>
      </w:pPr>
      <w:r>
        <w:t>4.</w:t>
      </w:r>
      <w:r>
        <w:tab/>
      </w:r>
      <w:r>
        <w:rPr>
          <w:noProof/>
        </w:rPr>
        <w:t>Šis reglamentas nustoja būti taikomas praėjus trims mėnesiams nuo tada, kai jis pradedamas taikyti pagal 2 dalį.</w:t>
      </w:r>
    </w:p>
    <w:p>
      <w:pPr>
        <w:pStyle w:val="Applicationdirecte"/>
        <w:keepNext/>
        <w:keepLines/>
        <w:rPr>
          <w:noProof/>
        </w:rPr>
      </w:pPr>
      <w:r>
        <w:rPr>
          <w:noProof/>
        </w:rPr>
        <w:t>Šis reglamentas privalomas visas ir tiesiogiai taikomas visose valstybėse narėse.</w:t>
      </w:r>
    </w:p>
    <w:p>
      <w:pPr>
        <w:pStyle w:val="Fait"/>
        <w:rPr>
          <w:noProof/>
        </w:rPr>
      </w:pPr>
      <w:r>
        <w:t>Priimta Strasbūre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3">
    <w:p>
      <w:pPr>
        <w:pStyle w:val="FootnoteText"/>
      </w:pPr>
      <w:r>
        <w:rPr>
          <w:rStyle w:val="FootnoteReference"/>
        </w:rPr>
        <w:footnoteRef/>
      </w:r>
      <w:r>
        <w:tab/>
        <w:t xml:space="preserve">COM(2018) 880 </w:t>
      </w:r>
      <w:r>
        <w:rPr>
          <w:i/>
        </w:rPr>
        <w:t>final</w:t>
      </w:r>
      <w:r>
        <w:t>, 2018 11 13.</w:t>
      </w:r>
    </w:p>
  </w:footnote>
  <w:footnote w:id="4">
    <w:p>
      <w:pPr>
        <w:pStyle w:val="FootnoteText"/>
      </w:pPr>
      <w:r>
        <w:rPr>
          <w:rStyle w:val="FootnoteReference"/>
        </w:rPr>
        <w:footnoteRef/>
      </w:r>
      <w:r>
        <w:tab/>
        <w:t>OL C […], […], p. […].</w:t>
      </w:r>
    </w:p>
  </w:footnote>
  <w:footnote w:id="5">
    <w:p>
      <w:pPr>
        <w:pStyle w:val="FootnoteText"/>
      </w:pPr>
      <w:r>
        <w:rPr>
          <w:rStyle w:val="FootnoteReference"/>
        </w:rPr>
        <w:footnoteRef/>
      </w:r>
      <w:r>
        <w:tab/>
        <w:t>OL C […], […], p. […].</w:t>
      </w:r>
    </w:p>
  </w:footnote>
  <w:footnote w:id="6">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7">
    <w:p>
      <w:pPr>
        <w:pStyle w:val="FootnoteText"/>
      </w:pPr>
      <w:r>
        <w:rPr>
          <w:rStyle w:val="FootnoteReference"/>
        </w:rPr>
        <w:footnoteRef/>
      </w:r>
      <w:r>
        <w:tab/>
        <w:t>2004 m. balandžio 29 d. Europos Parlamento ir Tarybos direktyva 2004/49/EB dėl saugos Bendrijos geležinkeliuose ir iš dalies pakeičianti Tarybos direktyvą 95/18/EB dėl geležinkelio įmonių licencijavimo bei Direktyvą 2001/14/EB dėl geležinkelių infrastruktūros pajėgumų paskirstymo, mokesčių už naudojimąsi geležinkelių infrastruktūra ėmimo ir saugos sertifikavimo (OL L 164, 2004 4 30, p. 44).</w:t>
      </w:r>
    </w:p>
  </w:footnote>
  <w:footnote w:id="8">
    <w:p>
      <w:pPr>
        <w:pStyle w:val="FootnoteText"/>
      </w:pPr>
      <w:r>
        <w:rPr>
          <w:rStyle w:val="FootnoteReference"/>
        </w:rPr>
        <w:footnoteRef/>
      </w:r>
      <w:r>
        <w:tab/>
        <w:t>2016 m. gegužės 11 d. Europos Parlamento ir Tarybos direktyva (ES) 2016/798 dėl geležinkelių saugos (nauja redakcija) (OL L 138, 2016 5 26, p. 102).</w:t>
      </w:r>
    </w:p>
  </w:footnote>
  <w:footnote w:id="9">
    <w:p>
      <w:pPr>
        <w:pStyle w:val="FootnoteText"/>
      </w:pPr>
      <w:r>
        <w:rPr>
          <w:rStyle w:val="FootnoteReference"/>
        </w:rPr>
        <w:footnoteRef/>
      </w:r>
      <w:r>
        <w:tab/>
        <w:t>2016 m. gegužės 11 d. Europos Parlamento ir Tarybos direktyva (ES) 2016/797 dėl geležinkelių sistemos sąveikos Europos Sąjungoje (OL L 138, 2016 5 26,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2 14:28: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13E38F-4E13-4D47-95EB-D498AC43E1E8"/>
    <w:docVar w:name="LW_COVERPAGE_TYPE" w:val="1"/>
    <w:docVar w:name="LW_CROSSREFERENCE" w:val="&lt;UNUSED&gt;"/>
    <w:docVar w:name="LW_DocType" w:val="COM"/>
    <w:docVar w:name="LW_EMISSION" w:val="2019 02 12"/>
    <w:docVar w:name="LW_EMISSION_ISODATE" w:val="2019-02-12"/>
    <w:docVar w:name="LW_EMISSION_LOCATION" w:val="STR"/>
    <w:docVar w:name="LW_EMISSION_PREFIX" w:val="Strasbūr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40"/>
    <w:docVar w:name="LW_REF.II.NEW.CP_YEAR" w:val="2019"/>
    <w:docVar w:name="LW_REF.INST.NEW" w:val="COM"/>
    <w:docVar w:name="LW_REF.INST.NEW_ADOPTED" w:val="final"/>
    <w:docVar w:name="LW_REF.INST.NEW_TEXT" w:val="(2019) 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tam tikr\u371? gele\u382?inkeli\u371? saugos ir susisiekimo aspekt\u371?, susijusi\u371? su Jungtin\u279?s Did\u382?iosios Britanijos ir \u352?iaur\u279?s Airijos Karalyst\u279?s i\u353?stojimu i\u353? S\u261?jungos "/>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987">
      <w:bodyDiv w:val="1"/>
      <w:marLeft w:val="0"/>
      <w:marRight w:val="0"/>
      <w:marTop w:val="0"/>
      <w:marBottom w:val="0"/>
      <w:divBdr>
        <w:top w:val="none" w:sz="0" w:space="0" w:color="auto"/>
        <w:left w:val="none" w:sz="0" w:space="0" w:color="auto"/>
        <w:bottom w:val="none" w:sz="0" w:space="0" w:color="auto"/>
        <w:right w:val="none" w:sz="0" w:space="0" w:color="auto"/>
      </w:divBdr>
      <w:divsChild>
        <w:div w:id="247347188">
          <w:marLeft w:val="0"/>
          <w:marRight w:val="0"/>
          <w:marTop w:val="0"/>
          <w:marBottom w:val="0"/>
          <w:divBdr>
            <w:top w:val="none" w:sz="0" w:space="0" w:color="auto"/>
            <w:left w:val="none" w:sz="0" w:space="0" w:color="auto"/>
            <w:bottom w:val="none" w:sz="0" w:space="0" w:color="auto"/>
            <w:right w:val="none" w:sz="0" w:space="0" w:color="auto"/>
          </w:divBdr>
          <w:divsChild>
            <w:div w:id="150099828">
              <w:marLeft w:val="0"/>
              <w:marRight w:val="0"/>
              <w:marTop w:val="0"/>
              <w:marBottom w:val="0"/>
              <w:divBdr>
                <w:top w:val="none" w:sz="0" w:space="0" w:color="auto"/>
                <w:left w:val="none" w:sz="0" w:space="0" w:color="auto"/>
                <w:bottom w:val="none" w:sz="0" w:space="0" w:color="auto"/>
                <w:right w:val="none" w:sz="0" w:space="0" w:color="auto"/>
              </w:divBdr>
              <w:divsChild>
                <w:div w:id="1234656953">
                  <w:marLeft w:val="0"/>
                  <w:marRight w:val="0"/>
                  <w:marTop w:val="0"/>
                  <w:marBottom w:val="0"/>
                  <w:divBdr>
                    <w:top w:val="none" w:sz="0" w:space="0" w:color="auto"/>
                    <w:left w:val="none" w:sz="0" w:space="0" w:color="auto"/>
                    <w:bottom w:val="none" w:sz="0" w:space="0" w:color="auto"/>
                    <w:right w:val="none" w:sz="0" w:space="0" w:color="auto"/>
                  </w:divBdr>
                  <w:divsChild>
                    <w:div w:id="156044447">
                      <w:marLeft w:val="-150"/>
                      <w:marRight w:val="-150"/>
                      <w:marTop w:val="0"/>
                      <w:marBottom w:val="0"/>
                      <w:divBdr>
                        <w:top w:val="none" w:sz="0" w:space="0" w:color="auto"/>
                        <w:left w:val="none" w:sz="0" w:space="0" w:color="auto"/>
                        <w:bottom w:val="none" w:sz="0" w:space="0" w:color="auto"/>
                        <w:right w:val="none" w:sz="0" w:space="0" w:color="auto"/>
                      </w:divBdr>
                      <w:divsChild>
                        <w:div w:id="1687751764">
                          <w:marLeft w:val="0"/>
                          <w:marRight w:val="0"/>
                          <w:marTop w:val="0"/>
                          <w:marBottom w:val="0"/>
                          <w:divBdr>
                            <w:top w:val="none" w:sz="0" w:space="0" w:color="auto"/>
                            <w:left w:val="none" w:sz="0" w:space="0" w:color="auto"/>
                            <w:bottom w:val="none" w:sz="0" w:space="0" w:color="auto"/>
                            <w:right w:val="none" w:sz="0" w:space="0" w:color="auto"/>
                          </w:divBdr>
                          <w:divsChild>
                            <w:div w:id="1313290547">
                              <w:marLeft w:val="0"/>
                              <w:marRight w:val="0"/>
                              <w:marTop w:val="0"/>
                              <w:marBottom w:val="0"/>
                              <w:divBdr>
                                <w:top w:val="none" w:sz="0" w:space="0" w:color="auto"/>
                                <w:left w:val="none" w:sz="0" w:space="0" w:color="auto"/>
                                <w:bottom w:val="none" w:sz="0" w:space="0" w:color="auto"/>
                                <w:right w:val="none" w:sz="0" w:space="0" w:color="auto"/>
                              </w:divBdr>
                              <w:divsChild>
                                <w:div w:id="384912902">
                                  <w:marLeft w:val="0"/>
                                  <w:marRight w:val="0"/>
                                  <w:marTop w:val="0"/>
                                  <w:marBottom w:val="300"/>
                                  <w:divBdr>
                                    <w:top w:val="none" w:sz="0" w:space="0" w:color="auto"/>
                                    <w:left w:val="none" w:sz="0" w:space="0" w:color="auto"/>
                                    <w:bottom w:val="none" w:sz="0" w:space="0" w:color="auto"/>
                                    <w:right w:val="none" w:sz="0" w:space="0" w:color="auto"/>
                                  </w:divBdr>
                                  <w:divsChild>
                                    <w:div w:id="1753773799">
                                      <w:marLeft w:val="0"/>
                                      <w:marRight w:val="0"/>
                                      <w:marTop w:val="0"/>
                                      <w:marBottom w:val="0"/>
                                      <w:divBdr>
                                        <w:top w:val="none" w:sz="0" w:space="0" w:color="auto"/>
                                        <w:left w:val="none" w:sz="0" w:space="0" w:color="auto"/>
                                        <w:bottom w:val="none" w:sz="0" w:space="0" w:color="auto"/>
                                        <w:right w:val="none" w:sz="0" w:space="0" w:color="auto"/>
                                      </w:divBdr>
                                      <w:divsChild>
                                        <w:div w:id="562984908">
                                          <w:marLeft w:val="0"/>
                                          <w:marRight w:val="0"/>
                                          <w:marTop w:val="0"/>
                                          <w:marBottom w:val="0"/>
                                          <w:divBdr>
                                            <w:top w:val="none" w:sz="0" w:space="0" w:color="auto"/>
                                            <w:left w:val="none" w:sz="0" w:space="0" w:color="auto"/>
                                            <w:bottom w:val="none" w:sz="0" w:space="0" w:color="auto"/>
                                            <w:right w:val="none" w:sz="0" w:space="0" w:color="auto"/>
                                          </w:divBdr>
                                          <w:divsChild>
                                            <w:div w:id="1159737191">
                                              <w:marLeft w:val="0"/>
                                              <w:marRight w:val="0"/>
                                              <w:marTop w:val="0"/>
                                              <w:marBottom w:val="0"/>
                                              <w:divBdr>
                                                <w:top w:val="none" w:sz="0" w:space="0" w:color="auto"/>
                                                <w:left w:val="none" w:sz="0" w:space="0" w:color="auto"/>
                                                <w:bottom w:val="none" w:sz="0" w:space="0" w:color="auto"/>
                                                <w:right w:val="none" w:sz="0" w:space="0" w:color="auto"/>
                                              </w:divBdr>
                                              <w:divsChild>
                                                <w:div w:id="3284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4933-A1A7-46FC-8A71-8DBA45C8329F}">
  <ds:schemaRefs>
    <ds:schemaRef ds:uri="office.server.policy"/>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C9573828-6C65-40D4-BA74-D9B2A13A8297}">
  <ds:schemaRefs>
    <ds:schemaRef ds:uri="http://schemas.microsoft.com/office/2006/metadata/properties"/>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5173920-bf43-43cc-9123-1897e847dfc2"/>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B589BC0B-B671-4F37-AB3C-327E815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2311</Words>
  <Characters>16345</Characters>
  <Application>Microsoft Office Word</Application>
  <DocSecurity>0</DocSecurity>
  <Lines>281</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2019-02-12T12:55:00Z</dcterms:created>
  <dcterms:modified xsi:type="dcterms:W3CDTF">2019-02-12T13:28:00Z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