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F7BCFA-6C98-460E-9A7F-0633BC54A5F0" style="width:450.35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b/>
          <w:noProof/>
        </w:rPr>
      </w:pPr>
      <w:r>
        <w:rPr>
          <w:noProof/>
        </w:rPr>
        <w:t>Syftet med förslaget är att anpassa beloppen för de medel som ställts till förfogande för ekonomisk, social och territoriell sammanhållning och som avses i artikel 91.1 i förordning (EU) nr 1303/2013</w:t>
      </w:r>
      <w:r>
        <w:rPr>
          <w:rStyle w:val="FootnoteReference"/>
          <w:noProof/>
        </w:rPr>
        <w:footnoteReference w:id="1"/>
      </w:r>
      <w:r>
        <w:rPr>
          <w:noProof/>
        </w:rPr>
        <w:t xml:space="preserve">, beloppet för den särskilda tilldelningen för sysselsättningsinitiativet som avses i artikel 92.5 i den förordningen samt de årliga åtagandebemyndiganden som avspeglas i bilaga VI i den förordningen för att avspegla ökningarna av medlen för sysselsättningsinitiativet för unga, i enlighet med den budget som antagits för 2019. Mer specifikt bör åtagandebemyndigandena för den särskilda tilldelningen för sysselsättningsinitiativet för unga ökas med 116,7 miljoner EUR i löpande priser, så att det sammanlagda beloppet för 2019 blir 350 miljoner EUR. </w:t>
      </w:r>
    </w:p>
    <w:p>
      <w:pPr>
        <w:rPr>
          <w:b/>
          <w:noProof/>
        </w:rPr>
      </w:pPr>
      <w:r>
        <w:rPr>
          <w:noProof/>
        </w:rPr>
        <w:t>Dessutom, mot bakgrund av de tidigare erfarenheterna av en ökning av medlen för den särskilda tilldelningen för sysselsättningsinitiativet för unga, som gav upphov till omfattande ändringar i program i syfte att tillhandahålla belopp från Europeiska socialfonden (ESF) som skulle matcha stödet från den särskilda tilldelningen för sysselsättningsinitiativet för unga, har medlagstiftarna bett kommissionen att föreslå åtgärder för att säkerställa en snabb programplanering för de ytterligare medlen från sysselsättningsinitiativet för unga under 2019 för att inte hindra det övergripande genomförandet av de operativa programmen för 2014–2020. Genom förslaget införs därför relevanta bestämmelser till följd av denna begäran.</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 xml:space="preserve">Förslaget är ett resultat av unionens budget för 2019. </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 xml:space="preserve">Förslaget är förenligt med andra förslag och initiativ som antagits av Europeiska kommissionen.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 xml:space="preserve">Ändringen avspeglar ökningen av medlen för den särskilda tilldelningen för sysselsättningsinitiativet för unga i unionens budget för 2019. </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noProof/>
        </w:rPr>
      </w:pPr>
      <w:r>
        <w:rPr>
          <w:noProof/>
        </w:rPr>
        <w:t xml:space="preserve">Förslaget är förenligt med subsidiaritetsprincipen. </w:t>
      </w:r>
    </w:p>
    <w:p>
      <w:pPr>
        <w:pStyle w:val="ManualHeading2"/>
        <w:rPr>
          <w:rFonts w:eastAsia="Arial Unicode MS"/>
          <w:noProof/>
          <w:u w:color="000000"/>
          <w:bdr w:val="nil"/>
        </w:rPr>
      </w:pPr>
      <w:r>
        <w:rPr>
          <w:noProof/>
        </w:rPr>
        <w:t>•</w:t>
      </w:r>
      <w:r>
        <w:rPr>
          <w:noProof/>
        </w:rPr>
        <w:tab/>
        <w:t>Proportionalitetsprincipen</w:t>
      </w:r>
    </w:p>
    <w:p>
      <w:pPr>
        <w:rPr>
          <w:noProof/>
        </w:rPr>
      </w:pPr>
      <w:r>
        <w:rPr>
          <w:noProof/>
        </w:rPr>
        <w:t>Förslaget är proportionerligt. Det omfattar de tekniska justeringar som krävs till följd av antagandet av 2019 års budget i vilken medlen för den särskilda tilldelningen för sysselsättningsinitiativet för unga ökade. Dessutom införs, på begäran av budgetmyndigheten och för att underlätta planeringen och säkerställa ett smidigt genomförande, en möjlighet för medlemsstaterna att överföra en del av de ytterligare medlen så att de utgör motsvarande ESF-stöd.</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Föreslaget instrument: ändring av den nuvarande förordningen.</w:t>
      </w:r>
    </w:p>
    <w:p>
      <w:pPr>
        <w:pBdr>
          <w:top w:val="nil"/>
          <w:left w:val="nil"/>
          <w:bottom w:val="nil"/>
          <w:right w:val="nil"/>
          <w:between w:val="nil"/>
          <w:bar w:val="nil"/>
        </w:pBdr>
        <w:spacing w:before="0" w:after="240"/>
        <w:rPr>
          <w:rFonts w:eastAsia="Arial Unicode MS"/>
          <w:noProof/>
        </w:rPr>
      </w:pPr>
      <w:r>
        <w:rPr>
          <w:noProof/>
        </w:rPr>
        <w:t>Kommissionen har undersökt det handlingsutrymme som regelverket medger och anser att det är nödvändigt att föreslå ändringar av förordning (EU) nr 1303/2013.</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Med hänsyn till de särskilda omständigheterna i detta förslag har inga efterhandsutvärderingar/kontroller av ändamålsenligheten med befintlig lagstiftning gjorts.</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Med hänsyn till de särskilda omständigheterna i detta förslag har inget samråd med externa berörda parter skett.</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Någon extern experthjälp har inte behövts.</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noProof/>
        </w:rPr>
      </w:pPr>
      <w:r>
        <w:rPr>
          <w:noProof/>
        </w:rPr>
        <w:t>Det här är inte ett initiativ inom ramen för programmet om lagstiftningens ändamålsenlighet och resultat (Refit-programmet).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Förslaget får inga konsekvenser för skyddet av de grundläggande rättigheterna.</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 xml:space="preserve">Åtagandebemyndigandena för 2019 för den särskilda tilldelningen för sysselsättningsinitiativet för unga bör ökas med 116,7 miljoner EUR till 350 miljoner EUR i löpande priser. </w:t>
      </w:r>
    </w:p>
    <w:p>
      <w:pPr>
        <w:pBdr>
          <w:top w:val="nil"/>
          <w:left w:val="nil"/>
          <w:bottom w:val="nil"/>
          <w:right w:val="nil"/>
          <w:between w:val="nil"/>
          <w:bar w:val="nil"/>
        </w:pBdr>
        <w:spacing w:before="0" w:after="240"/>
        <w:rPr>
          <w:noProof/>
        </w:rPr>
      </w:pPr>
      <w:r>
        <w:rPr>
          <w:noProof/>
        </w:rPr>
        <w:t xml:space="preserve">Den föreslagna ändringen bör inte leda till ytterligare behov av betalningsbemyndiganden under 2019. För 2020 bör budgetkonsekvenserna begränsas till ytterligare betalningsbemyndiganden som täcker den årliga förfinansieringen som ska betalas på de ökade medlen för sysselsättningsinitiativet för unga. </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Förklarande dokument (för direktiv)</w:t>
      </w:r>
    </w:p>
    <w:p>
      <w:pPr>
        <w:pBdr>
          <w:top w:val="nil"/>
          <w:left w:val="nil"/>
          <w:bottom w:val="nil"/>
          <w:right w:val="nil"/>
          <w:between w:val="nil"/>
          <w:bar w:val="nil"/>
        </w:pBdr>
        <w:spacing w:before="0" w:after="240"/>
        <w:rPr>
          <w:noProof/>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 xml:space="preserve">Syftet med förslaget är att anpassa beloppen för de medel som ställts till förfogande för ekonomisk, social och territoriell sammanhållning och för sysselsättningsinitiativet för unga som anges i artiklarna 91.1 och 92.5 i förordning (EU) nr 1303/2013 samt de årliga åtagandebemyndiganden som avspeglas i bilaga VI så att de omfattar ytterligare medel för den särskilda tilldelningen för sysselsättningsinitiativet för unga. Åtagandebemyndigandena för 2019 för den särskilda tilldelningen för sysselsättningsinitiativet för unga bör därför ökas med 116,7 miljoner EUR, i enlighet med den budget som antagits för 2019, så att det sammanlagda beloppet för 2018 blir 350 miljoner EUR. </w:t>
      </w:r>
    </w:p>
    <w:p>
      <w:pPr>
        <w:pBdr>
          <w:top w:val="nil"/>
          <w:left w:val="nil"/>
          <w:bottom w:val="nil"/>
          <w:right w:val="nil"/>
          <w:between w:val="nil"/>
          <w:bar w:val="nil"/>
        </w:pBdr>
        <w:spacing w:before="0" w:after="240"/>
        <w:rPr>
          <w:noProof/>
        </w:rPr>
      </w:pPr>
      <w:r>
        <w:rPr>
          <w:noProof/>
        </w:rPr>
        <w:t>I förslaget införs även bestämmelser för att underlätta medlemsstaternas planering av de ytterligare medlen. På grund av det långt framskridna genomförandet av de operativa programmen 2014–2020 och med tanke på det rättsliga kravet att stödet från den särskilda tilldelningen för sysselsättningsinitiativet för unga ska matcha motsvarande ESF-stöd, är det nödvändigt att förhindra en eventuell minskning av stödet från ESF till andra politikområden och till åtgärder som vidtas utanför sysselsättningsinitiativet för unga. Därför införs ett andra stycke i artikel 92.5 som ger medlemsstaterna möjlighet att överföra upp till 50 % av de ytterligare medlen för den särskilda tilldelningen för sysselsättningsinitiativet för unga till ESF så att de utgör motsvarande riktade investeringar från ESF i enlighet med artikel 22 i förordning (EU) nr 1304/2013</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2019/0027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(EU) nr 1303/2013 vad gäller medlen för den särskilda tilldelningen för sysselsättningsinitiativet för unga</w:t>
      </w:r>
    </w:p>
    <w:p>
      <w:pPr>
        <w:pStyle w:val="Institutionquiagit"/>
        <w:rPr>
          <w:noProof/>
          <w:szCs w:val="24"/>
        </w:rPr>
      </w:pPr>
      <w:r>
        <w:rPr>
          <w:noProof/>
        </w:rPr>
        <w:t>EUROPAPARLAMENTET OCH EUROPEISKA UNIONENS RÅD HAR ANTAGIT DENNA FÖRORDNING</w:t>
      </w:r>
    </w:p>
    <w:p>
      <w:pPr>
        <w:rPr>
          <w:noProof/>
          <w:szCs w:val="24"/>
        </w:rPr>
      </w:pPr>
      <w:r>
        <w:rPr>
          <w:noProof/>
        </w:rPr>
        <w:t xml:space="preserve">med beaktande av fördraget om Europeiska unionens funktionssätt, särskilt artikel 177, </w:t>
      </w:r>
    </w:p>
    <w:p>
      <w:pPr>
        <w:rPr>
          <w:noProof/>
          <w:szCs w:val="24"/>
        </w:rPr>
      </w:pPr>
      <w:r>
        <w:rPr>
          <w:noProof/>
        </w:rPr>
        <w:t>med beaktande av Europeiska kommissionens förslag,</w:t>
      </w:r>
    </w:p>
    <w:p>
      <w:pPr>
        <w:rPr>
          <w:noProof/>
          <w:szCs w:val="24"/>
        </w:rPr>
      </w:pPr>
      <w:r>
        <w:rPr>
          <w:noProof/>
        </w:rPr>
        <w:t>efter översändande av utkastet till lagstiftningsakt till de nationella parlamenten,</w:t>
      </w:r>
    </w:p>
    <w:p>
      <w:pPr>
        <w:rPr>
          <w:noProof/>
          <w:szCs w:val="24"/>
        </w:rPr>
      </w:pPr>
      <w:r>
        <w:rPr>
          <w:noProof/>
        </w:rPr>
        <w:t>med beaktande av Europeiska ekonomiska och sociala kommitténs yttrande</w:t>
      </w:r>
      <w:r>
        <w:rPr>
          <w:rStyle w:val="FootnoteReference"/>
          <w:noProof/>
        </w:rPr>
        <w:footnoteReference w:id="3"/>
      </w:r>
      <w:r>
        <w:rPr>
          <w:noProof/>
        </w:rPr>
        <w:t>,</w:t>
      </w:r>
    </w:p>
    <w:p>
      <w:pPr>
        <w:rPr>
          <w:noProof/>
          <w:szCs w:val="24"/>
        </w:rPr>
      </w:pPr>
      <w:r>
        <w:rPr>
          <w:noProof/>
        </w:rPr>
        <w:t>med beaktande av Regionkommitténs yttrande</w:t>
      </w:r>
      <w:r>
        <w:rPr>
          <w:rStyle w:val="FootnoteReference"/>
          <w:noProof/>
        </w:rPr>
        <w:footnoteReference w:id="4"/>
      </w:r>
      <w:r>
        <w:rPr>
          <w:noProof/>
        </w:rPr>
        <w:t xml:space="preserve">, </w:t>
      </w:r>
    </w:p>
    <w:p>
      <w:pPr>
        <w:rPr>
          <w:noProof/>
          <w:szCs w:val="24"/>
        </w:rPr>
      </w:pPr>
      <w:r>
        <w:rPr>
          <w:noProof/>
        </w:rPr>
        <w:t>i enlighet med det ordinarie lagstiftningsförfarandet, och</w:t>
      </w:r>
    </w:p>
    <w:p>
      <w:pPr>
        <w:rPr>
          <w:noProof/>
          <w:szCs w:val="24"/>
        </w:rPr>
      </w:pPr>
      <w:r>
        <w:rPr>
          <w:noProof/>
        </w:rPr>
        <w:t>av följande skäl:</w:t>
      </w:r>
    </w:p>
    <w:p>
      <w:pPr>
        <w:pStyle w:val="ManualConsidrant"/>
        <w:rPr>
          <w:noProof/>
          <w:szCs w:val="24"/>
        </w:rPr>
      </w:pPr>
      <w:r>
        <w:t>(1)</w:t>
      </w:r>
      <w:r>
        <w:tab/>
      </w:r>
      <w:r>
        <w:rPr>
          <w:noProof/>
        </w:rPr>
        <w:t>I Europaparlamentets och rådets förordning (EU) nr 1303/2013</w:t>
      </w:r>
      <w:r>
        <w:rPr>
          <w:rStyle w:val="FootnoteReference"/>
          <w:noProof/>
        </w:rPr>
        <w:footnoteReference w:id="5"/>
      </w:r>
      <w:r>
        <w:rPr>
          <w:noProof/>
        </w:rPr>
        <w:t xml:space="preserve"> fastställs de allmänna och gemensamma bestämmelserna för de europeiska struktur- och investeringsfonderna. </w:t>
      </w:r>
    </w:p>
    <w:p>
      <w:pPr>
        <w:pStyle w:val="ManualConsidrant"/>
        <w:rPr>
          <w:noProof/>
          <w:szCs w:val="24"/>
        </w:rPr>
      </w:pPr>
      <w:r>
        <w:t>(2)</w:t>
      </w:r>
      <w:r>
        <w:tab/>
      </w:r>
      <w:r>
        <w:rPr>
          <w:noProof/>
        </w:rPr>
        <w:t>I Europeiska unionens allmänna budget för budgetåret 2019</w:t>
      </w:r>
      <w:r>
        <w:rPr>
          <w:rStyle w:val="FootnoteReference"/>
          <w:noProof/>
        </w:rPr>
        <w:footnoteReference w:id="6"/>
      </w:r>
      <w:r>
        <w:rPr>
          <w:noProof/>
        </w:rPr>
        <w:t xml:space="preserve"> ändrades de sammanlagda medlen för sysselsättningsinitiativet genom att man ökade åtagandebemyndigandena för den särskilda tilldelningen för sysselsättningsinitiativet för unga för 2019 med 116,7 miljoner EUR i löpande priser, vilket gjorde att åtagandebemyndigandena för den särskilda tilldelningen för sysselsättningsinitiativet för hela programperioden kom att uppgå till 4 527 882 072 EUR i löpande priser. </w:t>
      </w:r>
    </w:p>
    <w:p>
      <w:pPr>
        <w:pStyle w:val="ManualConsidrant"/>
        <w:rPr>
          <w:noProof/>
          <w:szCs w:val="24"/>
        </w:rPr>
      </w:pPr>
      <w:r>
        <w:t>(3)</w:t>
      </w:r>
      <w:r>
        <w:tab/>
      </w:r>
      <w:r>
        <w:rPr>
          <w:noProof/>
        </w:rPr>
        <w:t>För 2019 ska de ytterligare medlen på 99 573 877 EUR i 2011 års priser finansieras genom den samlade marginalen för åtaganden inom marginalen för den fleråriga budgetramen för 2014–2020.</w:t>
      </w:r>
    </w:p>
    <w:p>
      <w:pPr>
        <w:pStyle w:val="ManualConsidrant"/>
        <w:rPr>
          <w:noProof/>
          <w:szCs w:val="24"/>
        </w:rPr>
      </w:pPr>
      <w:r>
        <w:t>(4)</w:t>
      </w:r>
      <w:r>
        <w:tab/>
      </w:r>
      <w:r>
        <w:rPr>
          <w:noProof/>
        </w:rPr>
        <w:t>Det är lämpligt att föreskriva särskilda åtgärder för att underlätta genomförandet av sysselsättningsinitiativet, på grund av det långt framskridna genomförandet av de operativa programmen för programperioden 2014–2020.</w:t>
      </w:r>
    </w:p>
    <w:p>
      <w:pPr>
        <w:pStyle w:val="ManualConsidrant"/>
        <w:rPr>
          <w:noProof/>
        </w:rPr>
      </w:pPr>
      <w:r>
        <w:t>(5)</w:t>
      </w:r>
      <w:r>
        <w:tab/>
      </w:r>
      <w:r>
        <w:rPr>
          <w:noProof/>
        </w:rPr>
        <w:t xml:space="preserve">Eftersom det är bråttom att ändra de program som stöder sysselsättningsinitiativet för unga så att de omfattar de ytterligare medlen för den särskilda tilldelningen för ungdomssysselsättningsinitiativet före utgången av 2019 bör denna förordning träda i kraft dagen efter det att den har offentliggjorts i </w:t>
      </w:r>
      <w:r>
        <w:rPr>
          <w:i/>
          <w:noProof/>
        </w:rPr>
        <w:t>Europeiska unionens officiella tidning</w:t>
      </w:r>
      <w:r>
        <w:rPr>
          <w:noProof/>
        </w:rPr>
        <w:t>.</w:t>
      </w:r>
    </w:p>
    <w:p>
      <w:pPr>
        <w:pStyle w:val="ManualConsidrant"/>
        <w:rPr>
          <w:noProof/>
        </w:rPr>
      </w:pPr>
      <w:r>
        <w:t>(6)</w:t>
      </w:r>
      <w:r>
        <w:tab/>
      </w:r>
      <w:r>
        <w:rPr>
          <w:noProof/>
        </w:rPr>
        <w:t>Förordning (EU) nr 1303/2013 bör därför ändras i enlighet med detta.</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Förordning (EU) nr 1303/2013 ska ändras på följande sätt:</w:t>
      </w:r>
    </w:p>
    <w:p>
      <w:pPr>
        <w:pStyle w:val="Point0number"/>
        <w:numPr>
          <w:ilvl w:val="0"/>
          <w:numId w:val="14"/>
        </w:numPr>
        <w:rPr>
          <w:noProof/>
        </w:rPr>
      </w:pPr>
      <w:r>
        <w:rPr>
          <w:noProof/>
        </w:rPr>
        <w:t>I artikel 91 ska punkt 1 ersättas med följande:</w:t>
      </w:r>
    </w:p>
    <w:p>
      <w:pPr>
        <w:pStyle w:val="Text1"/>
        <w:rPr>
          <w:noProof/>
        </w:rPr>
      </w:pPr>
      <w:r>
        <w:rPr>
          <w:noProof/>
        </w:rPr>
        <w:t>”1. De medel för ekonomisk, social och territoriell sammanhållning som är tillgängliga för budgetåtaganden under perioden 2014–2020 ska uppgå till 330 081 919 243 EUR i 2011 års priser, i enlighet med den årliga fördelning som anges i bilaga VI, varav 325 938 694 233 EUR utgör de samlade medel som tilldelas Eruf, ESF och Sammanhållningsfonden och 4 143 225 010 EUR utgör en särskild tilldelning för sysselsättningsinitiativet för unga. Medlen för ekonomisk, social och territoriell sammanhållning ska indexregleras med 2 % per år inför programplanering och senare budgetering i unionens budget.”</w:t>
      </w:r>
    </w:p>
    <w:p>
      <w:pPr>
        <w:pStyle w:val="Point0number"/>
        <w:numPr>
          <w:ilvl w:val="0"/>
          <w:numId w:val="15"/>
        </w:numPr>
        <w:rPr>
          <w:noProof/>
        </w:rPr>
      </w:pPr>
      <w:r>
        <w:rPr>
          <w:noProof/>
        </w:rPr>
        <w:t>I artikel 92 ska punkt 5 ersättas med följande:</w:t>
      </w:r>
    </w:p>
    <w:p>
      <w:pPr>
        <w:pStyle w:val="Text1"/>
        <w:rPr>
          <w:noProof/>
        </w:rPr>
      </w:pPr>
      <w:r>
        <w:rPr>
          <w:noProof/>
        </w:rPr>
        <w:t xml:space="preserve">”5. Medlen för sysselsättningsinitiativet för unga ska uppgå till 4 143 225 010 EUR av den särskilda tilldelningen för sysselsättningsinitiativet för unga, varav 99 573 877 EUR utgör de ytterligare resurserna för 2019. Dessa ska kompletteras med riktade investeringar från ESF, i enlighet med artikel 22 i förordning (EU) nr 1304/2013. </w:t>
      </w:r>
    </w:p>
    <w:p>
      <w:pPr>
        <w:pStyle w:val="Text1"/>
        <w:rPr>
          <w:noProof/>
        </w:rPr>
      </w:pPr>
      <w:r>
        <w:rPr>
          <w:noProof/>
        </w:rPr>
        <w:t>Medlemsstater som utnyttjar de ytterligare medlen för den särskilda tilldelningen för sysselsättningsinitiativet för unga för 2019 som avses i första stycket, får begära en överföring av högst 50 % av de ytterligare medlen för den särskilda tilldelningen för sysselsättningsinitiativet för unga till ESF så att de utgör motsvarande riktade investeringar från ESF i enlighet med artikel 22 i förordning (EU) nr 1304/2013. En sådan överföring ska ske till de regionkategorier som enligt regionkategoriseringen är berättigade till en ökning av den särskilda tilldelningen för sysselsättningsinitiativet för unga. Medlemsstaterna ska begära överföringen i en begäran om ändring av programmet i enlighet med artikel 30.1 i denna förordning. Medel som tilldelats tidigare år kan inte överföras.</w:t>
      </w:r>
    </w:p>
    <w:p>
      <w:pPr>
        <w:pStyle w:val="Text1"/>
        <w:rPr>
          <w:noProof/>
        </w:rPr>
      </w:pPr>
      <w:r>
        <w:rPr>
          <w:noProof/>
        </w:rPr>
        <w:t>Andra stycket ska tillämpas på alla ytterligare medel för den särskilda tilldelningen för sysselsättningsinitiativet för unga vilket innebär att medlen ökar utöver 4 043 651 133 EUR.”</w:t>
      </w:r>
    </w:p>
    <w:p>
      <w:pPr>
        <w:pStyle w:val="Point0number"/>
        <w:numPr>
          <w:ilvl w:val="0"/>
          <w:numId w:val="15"/>
        </w:numPr>
        <w:rPr>
          <w:noProof/>
        </w:rPr>
      </w:pPr>
      <w:r>
        <w:rPr>
          <w:noProof/>
        </w:rPr>
        <w:t>Bilaga VI ska ersättas med texten i bilagan till den här förordningen.</w:t>
      </w:r>
    </w:p>
    <w:p>
      <w:pPr>
        <w:pStyle w:val="Titrearticle"/>
        <w:rPr>
          <w:noProof/>
        </w:rPr>
      </w:pPr>
      <w:r>
        <w:rPr>
          <w:noProof/>
        </w:rPr>
        <w:t>Artikel 2</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pStyle w:val="Fichefinanciretitre"/>
        <w:rPr>
          <w:noProof/>
        </w:rPr>
      </w:pPr>
      <w:r>
        <w:rPr>
          <w:noProof/>
        </w:rPr>
        <w:br w:type="page"/>
        <w:t xml:space="preserve">FINANSIERINGSÖVERSIKT FÖR RÄTTSAKT </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titel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Grunder för förslaget eller initiativet </w:t>
      </w:r>
    </w:p>
    <w:p>
      <w:pPr>
        <w:pStyle w:val="ManualHeading2"/>
        <w:rPr>
          <w:b w:val="0"/>
          <w:noProof/>
        </w:rPr>
      </w:pPr>
      <w:r>
        <w:rPr>
          <w:noProof/>
        </w:rPr>
        <w:tab/>
      </w:r>
      <w:r>
        <w:rPr>
          <w:b w:val="0"/>
          <w:noProof/>
        </w:rPr>
        <w:t>1.6.</w:t>
      </w:r>
      <w:r>
        <w:rPr>
          <w:noProof/>
        </w:rPr>
        <w:tab/>
      </w:r>
      <w:r>
        <w:rPr>
          <w:b w:val="0"/>
          <w:noProof/>
        </w:rPr>
        <w:t xml:space="preserve">Varaktighet och budgetkonsekvenser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Regler om uppföljning och rapportering </w:t>
      </w:r>
    </w:p>
    <w:p>
      <w:pPr>
        <w:pStyle w:val="ManualHeading2"/>
        <w:rPr>
          <w:b w:val="0"/>
          <w:noProof/>
        </w:rPr>
      </w:pPr>
      <w:r>
        <w:rPr>
          <w:noProof/>
        </w:rPr>
        <w:tab/>
      </w:r>
      <w:r>
        <w:rPr>
          <w:b w:val="0"/>
          <w:noProof/>
        </w:rPr>
        <w:t>2.2.</w:t>
      </w:r>
      <w:r>
        <w:rPr>
          <w:noProof/>
        </w:rPr>
        <w:tab/>
      </w:r>
      <w:r>
        <w:rPr>
          <w:b w:val="0"/>
          <w:noProof/>
        </w:rPr>
        <w:t xml:space="preserve">Förvaltnings-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pPr>
        <w:jc w:val="center"/>
        <w:rPr>
          <w:b/>
          <w:noProof/>
          <w:u w:val="single"/>
        </w:rPr>
      </w:pPr>
      <w:r>
        <w:rPr>
          <w:b/>
          <w:noProof/>
          <w:u w:val="single"/>
        </w:rPr>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noProof/>
        </w:rPr>
      </w:pPr>
      <w:r>
        <w:rPr>
          <w:noProof/>
        </w:rPr>
        <w:t>1.1.</w:t>
      </w:r>
      <w:r>
        <w:rPr>
          <w:noProof/>
        </w:rPr>
        <w:tab/>
        <w:t xml:space="preserve">Förslagets eller initiativets titel </w:t>
      </w:r>
    </w:p>
    <w:p>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förordning om ändring av förordning (EU) nr 1303/2013 vad gäller medlen för den särskilda tilldelningen för sysselsättningsinitiativet för unga</w:t>
      </w:r>
    </w:p>
    <w:p>
      <w:pPr>
        <w:pStyle w:val="ManualHeading2"/>
        <w:rPr>
          <w:noProof/>
          <w:szCs w:val="24"/>
        </w:rPr>
      </w:pPr>
      <w:r>
        <w:rPr>
          <w:noProof/>
        </w:rPr>
        <w:t>1.2.</w:t>
      </w:r>
      <w:r>
        <w:rPr>
          <w:noProof/>
        </w:rPr>
        <w:tab/>
        <w:t>Berörda politikområden i den verksamhetsbaserade förvaltningen och budgeteringen</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4 Sysselsättning, socialpolitik och inkludering</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04 02 64 – Sysselsättningsinitiativet för unga</w:t>
      </w:r>
    </w:p>
    <w:p>
      <w:pPr>
        <w:pStyle w:val="ManualHeading2"/>
        <w:rPr>
          <w:bCs/>
          <w:noProof/>
          <w:szCs w:val="24"/>
        </w:rPr>
      </w:pPr>
      <w:r>
        <w:rPr>
          <w:noProof/>
        </w:rPr>
        <w:t>1.3.</w:t>
      </w:r>
      <w:r>
        <w:rPr>
          <w:noProof/>
        </w:rPr>
        <w:tab/>
        <w:t xml:space="preserve">Typ av förslag eller initiativ </w:t>
      </w:r>
    </w:p>
    <w:p>
      <w:pPr>
        <w:pStyle w:val="Text1"/>
        <w:rPr>
          <w:b/>
          <w:noProof/>
          <w:sz w:val="22"/>
        </w:rPr>
      </w:pPr>
      <w:r>
        <w:rPr>
          <w:noProof/>
          <w:sz w:val="22"/>
        </w:rPr>
        <w:sym w:font="Wingdings" w:char="F0A8"/>
      </w:r>
      <w:r>
        <w:rPr>
          <w:noProof/>
        </w:rPr>
        <w:t xml:space="preserve"> </w:t>
      </w:r>
      <w:r>
        <w:rPr>
          <w:b/>
          <w:noProof/>
        </w:rPr>
        <w:t>en ny åtgärd</w:t>
      </w:r>
      <w:r>
        <w:rPr>
          <w:b/>
          <w:noProof/>
          <w:sz w:val="22"/>
        </w:rPr>
        <w:t xml:space="preserve"> </w:t>
      </w:r>
    </w:p>
    <w:p>
      <w:pPr>
        <w:pStyle w:val="Text1"/>
        <w:rPr>
          <w:noProof/>
          <w:sz w:val="22"/>
        </w:rPr>
      </w:pPr>
      <w:r>
        <w:rPr>
          <w:noProof/>
          <w:sz w:val="22"/>
        </w:rPr>
        <w:sym w:font="Wingdings" w:char="F0A8"/>
      </w:r>
      <w:r>
        <w:rPr>
          <w:noProof/>
        </w:rPr>
        <w:t xml:space="preserve"> </w:t>
      </w:r>
      <w:r>
        <w:rPr>
          <w:b/>
          <w:noProof/>
        </w:rPr>
        <w:t>en ny åtgärd som bygger på ett pilotprojekt eller en förberedande åtgärd</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noProof/>
        </w:rPr>
        <w:t xml:space="preserve"> </w:t>
      </w:r>
      <w:r>
        <w:rPr>
          <w:b/>
          <w:noProof/>
        </w:rPr>
        <w:t>en förlängning av en befintlig åtgärd</w:t>
      </w:r>
      <w:r>
        <w:rPr>
          <w:noProof/>
          <w:sz w:val="22"/>
        </w:rPr>
        <w:t xml:space="preserve"> </w:t>
      </w:r>
    </w:p>
    <w:p>
      <w:pPr>
        <w:pStyle w:val="Text1"/>
        <w:rPr>
          <w:noProof/>
        </w:rPr>
      </w:pPr>
      <w:r>
        <w:rPr>
          <w:noProof/>
          <w:sz w:val="22"/>
        </w:rPr>
        <w:sym w:font="Wingdings" w:char="F0A8"/>
      </w:r>
      <w:r>
        <w:rPr>
          <w:noProof/>
        </w:rPr>
        <w:t xml:space="preserve"> </w:t>
      </w:r>
      <w:r>
        <w:rPr>
          <w:b/>
          <w:noProof/>
        </w:rPr>
        <w:t>en tidigare åtgärd som omformas till eller ersätts av en ny</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1.4.2.</w:t>
      </w:r>
      <w:r>
        <w:rPr>
          <w:noProof/>
        </w:rPr>
        <w:tab/>
        <w:t xml:space="preserve">Specifikt/specifika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1.4.3.</w:t>
      </w:r>
      <w:r>
        <w:rPr>
          <w:noProof/>
        </w:rPr>
        <w:tab/>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1.4.4.</w:t>
      </w:r>
      <w:r>
        <w:rPr>
          <w:noProof/>
        </w:rPr>
        <w:tab/>
        <w:t xml:space="preserve">Indikatorer för bedömning av resultat eller verkan </w:t>
      </w:r>
    </w:p>
    <w:p>
      <w:pPr>
        <w:pStyle w:val="Text1"/>
        <w:rPr>
          <w:i/>
          <w:noProof/>
          <w:sz w:val="20"/>
        </w:rPr>
      </w:pPr>
      <w:r>
        <w:rPr>
          <w:i/>
          <w:noProof/>
          <w:sz w:val="20"/>
        </w:rPr>
        <w:t>Ange indikatorer för övervakning av framsteg och resultat.</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1.5.</w:t>
      </w:r>
      <w:r>
        <w:rPr>
          <w:noProof/>
        </w:rPr>
        <w:tab/>
        <w:t xml:space="preserve">Grunder för förslaget eller initiativet </w:t>
      </w:r>
    </w:p>
    <w:p>
      <w:pPr>
        <w:pStyle w:val="ManualHeading3"/>
        <w:rPr>
          <w:noProof/>
        </w:rPr>
      </w:pPr>
      <w:r>
        <w:rPr>
          <w:noProof/>
        </w:rPr>
        <w:t>1.5.1.</w:t>
      </w:r>
      <w:r>
        <w:rPr>
          <w:noProof/>
        </w:rPr>
        <w:tab/>
        <w:t xml:space="preserve">Krav som ska uppfyllas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1.5.2.</w:t>
      </w:r>
      <w:r>
        <w:rPr>
          <w:noProof/>
        </w:rPr>
        <w:tab/>
        <w:t>Mervärdet i unionens intervention</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1.5.3.</w:t>
      </w:r>
      <w:r>
        <w:rPr>
          <w:noProof/>
        </w:rPr>
        <w:tab/>
        <w:t>Erfarenheter från tidigare liknande åtgärder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1.5.4.</w:t>
      </w:r>
      <w:r>
        <w:rPr>
          <w:noProof/>
        </w:rPr>
        <w:tab/>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1.6.</w:t>
      </w:r>
      <w:r>
        <w:rPr>
          <w:noProof/>
        </w:rPr>
        <w:tab/>
        <w:t xml:space="preserve">Varaktighet och budgetkonsekvenser </w:t>
      </w:r>
    </w:p>
    <w:p>
      <w:pPr>
        <w:pStyle w:val="Text1"/>
        <w:rPr>
          <w:noProof/>
        </w:rPr>
      </w:pPr>
      <w:r>
        <w:rPr>
          <w:noProof/>
        </w:rPr>
        <w:sym w:font="Wingdings" w:char="F0A8"/>
      </w:r>
      <w:r>
        <w:rPr>
          <w:noProof/>
        </w:rPr>
        <w:t xml:space="preserve"> Förslag eller initiativ som pågår under en </w:t>
      </w:r>
      <w:r>
        <w:rPr>
          <w:b/>
          <w:noProof/>
        </w:rPr>
        <w:t xml:space="preserve">begränsad tid </w:t>
      </w:r>
    </w:p>
    <w:p>
      <w:pPr>
        <w:pStyle w:val="ListDash2"/>
        <w:rPr>
          <w:noProof/>
        </w:rPr>
      </w:pPr>
      <w:r>
        <w:rPr>
          <w:noProof/>
        </w:rPr>
        <w:sym w:font="Wingdings" w:char="F078"/>
      </w:r>
      <w:r>
        <w:rPr>
          <w:noProof/>
        </w:rPr>
        <w:tab/>
        <w:t>Förslaget eller initiativet ska gälla från den 1 januari 2017 till den 31 december 2023</w:t>
      </w:r>
    </w:p>
    <w:p>
      <w:pPr>
        <w:pStyle w:val="ListDash2"/>
        <w:rPr>
          <w:noProof/>
        </w:rPr>
      </w:pPr>
      <w:r>
        <w:rPr>
          <w:noProof/>
        </w:rPr>
        <w:sym w:font="Wingdings" w:char="F078"/>
      </w:r>
      <w:r>
        <w:rPr>
          <w:noProof/>
        </w:rPr>
        <w:tab/>
        <w:t>Det påverkar resursanvändningen från 2017 till 2020</w:t>
      </w:r>
    </w:p>
    <w:p>
      <w:pPr>
        <w:pStyle w:val="Text1"/>
        <w:rPr>
          <w:noProof/>
        </w:rPr>
      </w:pPr>
      <w:r>
        <w:rPr>
          <w:noProof/>
        </w:rPr>
        <w:sym w:font="Wingdings" w:char="F0A8"/>
      </w:r>
      <w:r>
        <w:rPr>
          <w:noProof/>
        </w:rPr>
        <w:t xml:space="preserve"> Förslag eller initiativ som pågår under en </w:t>
      </w:r>
      <w:r>
        <w:rPr>
          <w:b/>
          <w:noProof/>
        </w:rPr>
        <w:t>obegränsad tid</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r>
        <w:rPr>
          <w:noProof/>
        </w:rPr>
        <w:t>1.7.</w:t>
      </w:r>
      <w:r>
        <w:rPr>
          <w:noProof/>
        </w:rPr>
        <w:tab/>
        <w:t>Planerad metod för genomförandet</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A8"/>
      </w:r>
      <w:r>
        <w:rPr>
          <w:noProof/>
        </w:rPr>
        <w:t xml:space="preserve"> av dess avdelningar, vilket också inbegriper personalen vid unionens delegationer </w:t>
      </w:r>
    </w:p>
    <w:p>
      <w:pPr>
        <w:pStyle w:val="ListDash2"/>
        <w:rPr>
          <w:noProof/>
        </w:rPr>
      </w:pPr>
      <w:r>
        <w:rPr>
          <w:noProof/>
        </w:rPr>
        <w:sym w:font="Wingdings" w:char="F0A8"/>
      </w:r>
      <w:r>
        <w:rPr>
          <w:noProof/>
        </w:rPr>
        <w:t xml:space="preserve"> av genomförandeorgan </w:t>
      </w:r>
    </w:p>
    <w:p>
      <w:pPr>
        <w:pStyle w:val="Text1"/>
        <w:rPr>
          <w:noProof/>
        </w:rPr>
      </w:pPr>
      <w:r>
        <w:rPr>
          <w:noProof/>
        </w:rPr>
        <w:sym w:font="Wingdings" w:char="F07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A8"/>
      </w:r>
      <w:r>
        <w:rPr>
          <w:b/>
          <w:noProof/>
        </w:rPr>
        <w:t>Indirekt förvaltning</w:t>
      </w:r>
      <w:r>
        <w:rPr>
          <w:noProof/>
        </w:rPr>
        <w:t xml:space="preserve"> genom att uppgifter som ingår i budgetgenomförandet anförtros</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har anförtrotts offentliga förvaltningsuppgifter i den utsträckning som de lämnar tillräckliga ekonomiska garantier</w:t>
      </w:r>
    </w:p>
    <w:p>
      <w:pPr>
        <w:pStyle w:val="ListDash2"/>
        <w:rPr>
          <w:noProof/>
        </w:rPr>
      </w:pPr>
      <w:r>
        <w:rPr>
          <w:noProof/>
        </w:rPr>
        <w:sym w:font="Wingdings" w:char="F0A8"/>
      </w:r>
      <w:r>
        <w:rPr>
          <w:noProof/>
        </w:rPr>
        <w:t xml:space="preserve"> organ som omfattas av privaträtten i en medlemsstat, som anförtrotts genomförandeuppgifter inom ramen för ett offentlig-privat partnerskap och som lämnar tillräckliga ekonomiska garantier</w:t>
      </w:r>
    </w:p>
    <w:p>
      <w:pPr>
        <w:pStyle w:val="ListDash2"/>
        <w:rPr>
          <w:noProof/>
        </w:rPr>
      </w:pPr>
      <w:r>
        <w:rPr>
          <w:noProof/>
        </w:rPr>
        <w:sym w:font="Wingdings" w:char="F0A8"/>
      </w:r>
      <w:r>
        <w:rPr>
          <w:noProof/>
        </w:rPr>
        <w:t xml:space="preserve"> personer som anförtrotts genomförandet av särskilda åtgärder inom Gusp enligt avdelning V i fördraget om Europeiska unionen och som fastställs i den relevanta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1"/>
        <w:rPr>
          <w:bCs/>
          <w:noProof/>
          <w:szCs w:val="24"/>
        </w:rPr>
      </w:pPr>
      <w:r>
        <w:rPr>
          <w:noProof/>
        </w:rPr>
        <w:t>2.</w:t>
      </w:r>
      <w:r>
        <w:rPr>
          <w:noProof/>
        </w:rPr>
        <w:tab/>
        <w:t xml:space="preserve">FÖRVALTNING </w:t>
      </w:r>
    </w:p>
    <w:p>
      <w:pPr>
        <w:pStyle w:val="ManualHeading2"/>
        <w:rPr>
          <w:noProof/>
        </w:rPr>
      </w:pPr>
      <w:r>
        <w:rPr>
          <w:noProof/>
        </w:rPr>
        <w:t>2.1.</w:t>
      </w:r>
      <w:r>
        <w:rPr>
          <w:noProof/>
        </w:rPr>
        <w:tab/>
        <w:t xml:space="preserve">Regler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2.2.</w:t>
      </w:r>
      <w:r>
        <w:rPr>
          <w:noProof/>
        </w:rPr>
        <w:tab/>
        <w:t xml:space="preserve">Förvaltnings- och kontrollsystem </w:t>
      </w:r>
    </w:p>
    <w:p>
      <w:pPr>
        <w:pStyle w:val="ManualHeading3"/>
        <w:rPr>
          <w:noProof/>
        </w:rPr>
      </w:pPr>
      <w:r>
        <w:rPr>
          <w:noProof/>
        </w:rPr>
        <w:t>2.2.1.</w:t>
      </w:r>
      <w:r>
        <w:rPr>
          <w:noProof/>
        </w:rPr>
        <w:tab/>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2.2.2.</w:t>
      </w:r>
      <w:r>
        <w:rPr>
          <w:noProof/>
        </w:rPr>
        <w:tab/>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noProof/>
        </w:rPr>
      </w:pPr>
      <w:r>
        <w:rPr>
          <w:noProof/>
        </w:rPr>
        <w:t>2.2.3.</w:t>
      </w:r>
      <w:r>
        <w:rPr>
          <w:noProof/>
        </w:rPr>
        <w:tab/>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2.3.</w:t>
      </w:r>
      <w:r>
        <w:rPr>
          <w:noProof/>
        </w:rPr>
        <w:tab/>
        <w:t xml:space="preserve">Åtgärder för att förebygga bedrägeri och 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BERÄKNADE BUDGETKONSEKVENSER AV FÖRSLAGET ELLER INITIATIVET </w:t>
      </w:r>
    </w:p>
    <w:p>
      <w:pPr>
        <w:pStyle w:val="ManualHeading2"/>
        <w:rPr>
          <w:noProof/>
        </w:rPr>
      </w:pPr>
      <w:r>
        <w:rPr>
          <w:noProof/>
        </w:rPr>
        <w:t>3.1.</w:t>
      </w:r>
      <w:r>
        <w:rPr>
          <w:noProof/>
        </w:rPr>
        <w:tab/>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58"/>
        <w:gridCol w:w="1082"/>
        <w:gridCol w:w="956"/>
        <w:gridCol w:w="1080"/>
        <w:gridCol w:w="956"/>
        <w:gridCol w:w="1448"/>
      </w:tblGrid>
      <w:tr>
        <w:tc>
          <w:tcPr>
            <w:tcW w:w="1080" w:type="dxa"/>
            <w:vMerge w:val="restart"/>
            <w:vAlign w:val="center"/>
          </w:tcPr>
          <w:p>
            <w:pPr>
              <w:spacing w:before="60" w:after="60"/>
              <w:jc w:val="center"/>
              <w:rPr>
                <w:noProof/>
              </w:rPr>
            </w:pPr>
            <w:r>
              <w:rPr>
                <w:noProof/>
                <w:sz w:val="18"/>
              </w:rPr>
              <w:t>Rubrik i den fleråriga budgetramen</w:t>
            </w:r>
          </w:p>
        </w:tc>
        <w:tc>
          <w:tcPr>
            <w:tcW w:w="3958" w:type="dxa"/>
            <w:vAlign w:val="center"/>
          </w:tcPr>
          <w:p>
            <w:pPr>
              <w:spacing w:before="60" w:after="60"/>
              <w:jc w:val="center"/>
              <w:rPr>
                <w:noProof/>
              </w:rPr>
            </w:pPr>
            <w:r>
              <w:rPr>
                <w:noProof/>
                <w:sz w:val="20"/>
              </w:rPr>
              <w:t>Budgetrubrik</w:t>
            </w:r>
          </w:p>
        </w:tc>
        <w:tc>
          <w:tcPr>
            <w:tcW w:w="1082" w:type="dxa"/>
            <w:vAlign w:val="center"/>
          </w:tcPr>
          <w:p>
            <w:pPr>
              <w:spacing w:before="60" w:after="60"/>
              <w:jc w:val="center"/>
              <w:rPr>
                <w:noProof/>
              </w:rPr>
            </w:pPr>
            <w:r>
              <w:rPr>
                <w:noProof/>
              </w:rPr>
              <w:t>Typ av</w:t>
            </w:r>
            <w:r>
              <w:rPr>
                <w:noProof/>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58" w:type="dxa"/>
            <w:vAlign w:val="center"/>
          </w:tcPr>
          <w:p>
            <w:pPr>
              <w:rPr>
                <w:noProof/>
              </w:rPr>
            </w:pPr>
            <w:r>
              <w:rPr>
                <w:noProof/>
                <w:sz w:val="20"/>
              </w:rPr>
              <w:t>Nummer</w:t>
            </w:r>
            <w:r>
              <w:rPr>
                <w:noProof/>
              </w:rPr>
              <w:br/>
            </w:r>
            <w:r>
              <w:rPr>
                <w:noProof/>
                <w:sz w:val="20"/>
              </w:rPr>
              <w:t>[Rubrik………………………...…………]</w:t>
            </w:r>
          </w:p>
        </w:tc>
        <w:tc>
          <w:tcPr>
            <w:tcW w:w="1082" w:type="dxa"/>
            <w:vAlign w:val="center"/>
          </w:tcPr>
          <w:p>
            <w:pPr>
              <w:jc w:val="center"/>
              <w:rPr>
                <w:noProof/>
              </w:rPr>
            </w:pPr>
            <w:r>
              <w:rPr>
                <w:noProof/>
                <w:sz w:val="18"/>
              </w:rPr>
              <w:t>Diff./Icke-diff</w:t>
            </w:r>
            <w:r>
              <w:rPr>
                <w:rStyle w:val="FootnoteReference"/>
                <w:noProof/>
                <w:sz w:val="18"/>
              </w:rPr>
              <w:footnoteReference w:id="10"/>
            </w:r>
            <w:r>
              <w:rPr>
                <w:noProof/>
              </w:rPr>
              <w:t>.</w:t>
            </w:r>
          </w:p>
        </w:tc>
        <w:tc>
          <w:tcPr>
            <w:tcW w:w="956" w:type="dxa"/>
            <w:vAlign w:val="center"/>
          </w:tcPr>
          <w:p>
            <w:pPr>
              <w:jc w:val="center"/>
              <w:rPr>
                <w:noProof/>
              </w:rPr>
            </w:pPr>
            <w:r>
              <w:rPr>
                <w:noProof/>
                <w:sz w:val="18"/>
              </w:rPr>
              <w:t>från Efta-länder</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från kandidat-länder</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shd w:val="clear" w:color="auto" w:fill="auto"/>
            <w:vAlign w:val="center"/>
          </w:tcPr>
          <w:p>
            <w:pPr>
              <w:jc w:val="center"/>
              <w:rPr>
                <w:noProof/>
                <w:color w:val="0000FF"/>
                <w:sz w:val="22"/>
              </w:rPr>
            </w:pPr>
            <w:r>
              <w:rPr>
                <w:noProof/>
                <w:sz w:val="22"/>
              </w:rPr>
              <w:t>1 Smart tillväxt för alla</w:t>
            </w:r>
          </w:p>
        </w:tc>
        <w:tc>
          <w:tcPr>
            <w:tcW w:w="3958" w:type="dxa"/>
            <w:vAlign w:val="center"/>
          </w:tcPr>
          <w:p>
            <w:pPr>
              <w:spacing w:after="60"/>
              <w:rPr>
                <w:noProof/>
                <w:sz w:val="22"/>
              </w:rPr>
            </w:pPr>
            <w:r>
              <w:rPr>
                <w:noProof/>
                <w:sz w:val="22"/>
              </w:rPr>
              <w:t>04 02 60 – Europeiska socialfonden – Mindre utvecklade regioner – Investera i tillväxt och sysselsättning</w:t>
            </w:r>
          </w:p>
          <w:p>
            <w:pPr>
              <w:spacing w:after="60"/>
              <w:rPr>
                <w:noProof/>
                <w:sz w:val="22"/>
              </w:rPr>
            </w:pPr>
            <w:r>
              <w:rPr>
                <w:noProof/>
                <w:sz w:val="22"/>
              </w:rPr>
              <w:t>04 02 61 – Europeiska socialfonden – Övergångsregioner – Investera i tillväxt och sysselsättning</w:t>
            </w:r>
          </w:p>
          <w:p>
            <w:pPr>
              <w:spacing w:after="60"/>
              <w:rPr>
                <w:noProof/>
                <w:sz w:val="22"/>
              </w:rPr>
            </w:pPr>
            <w:r>
              <w:rPr>
                <w:noProof/>
                <w:sz w:val="22"/>
              </w:rPr>
              <w:t>04 02 62 – Europeiska socialfonden – Mer utvecklade regioner – Investera i tillväxt och sysselsättning</w:t>
            </w:r>
          </w:p>
          <w:p>
            <w:pPr>
              <w:spacing w:after="60"/>
              <w:rPr>
                <w:noProof/>
              </w:rPr>
            </w:pPr>
            <w:r>
              <w:rPr>
                <w:noProof/>
                <w:sz w:val="22"/>
              </w:rPr>
              <w:t>04 02 64 – Sysselsättningsinitiativet för unga</w:t>
            </w:r>
          </w:p>
        </w:tc>
        <w:tc>
          <w:tcPr>
            <w:tcW w:w="1082" w:type="dxa"/>
            <w:vAlign w:val="center"/>
          </w:tcPr>
          <w:p>
            <w:pPr>
              <w:jc w:val="center"/>
              <w:rPr>
                <w:noProof/>
                <w:color w:val="0000FF"/>
                <w:sz w:val="22"/>
              </w:rPr>
            </w:pPr>
            <w:r>
              <w:rPr>
                <w:noProof/>
                <w:sz w:val="22"/>
              </w:rPr>
              <w:t>Diff.</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rPr>
          <w:noProof/>
        </w:rPr>
      </w:pPr>
    </w:p>
    <w:p>
      <w:pPr>
        <w:pStyle w:val="ListBullet1"/>
        <w:rPr>
          <w:noProof/>
        </w:rPr>
      </w:pPr>
      <w:r>
        <w:rPr>
          <w:noProof/>
        </w:rPr>
        <w:t xml:space="preserve">Nya budgetrubriker som föreslås </w:t>
      </w:r>
    </w:p>
    <w:p>
      <w:pPr>
        <w:pStyle w:val="Text1"/>
        <w:rPr>
          <w:i/>
          <w:noProof/>
          <w:sz w:val="20"/>
        </w:rPr>
      </w:pPr>
      <w:r>
        <w:rPr>
          <w:i/>
          <w:noProof/>
        </w:rPr>
        <w:t xml:space="preserve">Redovisa enligt de berörda rubrikerna i den fleråriga budgetramen </w:t>
      </w:r>
      <w:r>
        <w:rPr>
          <w:i/>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rPr>
              <w:t>Typ av</w:t>
            </w:r>
            <w:r>
              <w:rPr>
                <w:noProof/>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Nummer</w:t>
            </w:r>
            <w:r>
              <w:rPr>
                <w:noProof/>
              </w:rPr>
              <w:br/>
            </w:r>
            <w:r>
              <w:rPr>
                <w:noProof/>
                <w:sz w:val="20"/>
              </w:rPr>
              <w:t>[Rubrik………………………...…………]</w:t>
            </w:r>
          </w:p>
        </w:tc>
        <w:tc>
          <w:tcPr>
            <w:tcW w:w="1080" w:type="dxa"/>
            <w:vAlign w:val="center"/>
          </w:tcPr>
          <w:p>
            <w:pPr>
              <w:jc w:val="center"/>
              <w:rPr>
                <w:noProof/>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JA/NEJ</w:t>
            </w:r>
          </w:p>
        </w:tc>
        <w:tc>
          <w:tcPr>
            <w:tcW w:w="1080" w:type="dxa"/>
            <w:vAlign w:val="center"/>
          </w:tcPr>
          <w:p>
            <w:pPr>
              <w:jc w:val="center"/>
              <w:rPr>
                <w:noProof/>
                <w:color w:val="0000FF"/>
                <w:sz w:val="18"/>
              </w:rPr>
            </w:pPr>
            <w:r>
              <w:rPr>
                <w:noProof/>
              </w:rPr>
              <w:t>JA/NEJ</w:t>
            </w:r>
          </w:p>
        </w:tc>
        <w:tc>
          <w:tcPr>
            <w:tcW w:w="956" w:type="dxa"/>
            <w:vAlign w:val="center"/>
          </w:tcPr>
          <w:p>
            <w:pPr>
              <w:jc w:val="center"/>
              <w:rPr>
                <w:noProof/>
                <w:color w:val="0000FF"/>
                <w:sz w:val="18"/>
              </w:rPr>
            </w:pPr>
            <w:r>
              <w:rPr>
                <w:noProof/>
              </w:rPr>
              <w:t>JA/NEJ</w:t>
            </w:r>
          </w:p>
        </w:tc>
        <w:tc>
          <w:tcPr>
            <w:tcW w:w="1448" w:type="dxa"/>
            <w:vAlign w:val="center"/>
          </w:tcPr>
          <w:p>
            <w:pPr>
              <w:jc w:val="center"/>
              <w:rPr>
                <w:noProof/>
              </w:rPr>
            </w:pPr>
            <w:r>
              <w:rPr>
                <w:noProof/>
              </w:rPr>
              <w:t>JA/NEJ</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Beräknad inverkan på utgifterna </w:t>
      </w:r>
    </w:p>
    <w:p>
      <w:pPr>
        <w:pBdr>
          <w:top w:val="nil"/>
          <w:left w:val="nil"/>
          <w:bottom w:val="nil"/>
          <w:right w:val="nil"/>
          <w:between w:val="nil"/>
          <w:bar w:val="nil"/>
        </w:pBdr>
        <w:spacing w:before="0" w:after="240"/>
        <w:rPr>
          <w:noProof/>
        </w:rPr>
      </w:pPr>
      <w:r>
        <w:rPr>
          <w:noProof/>
        </w:rPr>
        <w:t>Åtagandebemyndigandena för den särskilda tilldelningen för sysselsättningsinitiativet för unga bör ökas med 116,7 miljoner EUR</w:t>
      </w:r>
      <w:r>
        <w:rPr>
          <w:rStyle w:val="FootnoteReference"/>
          <w:noProof/>
        </w:rPr>
        <w:footnoteReference w:id="13"/>
      </w:r>
      <w:r>
        <w:rPr>
          <w:noProof/>
        </w:rPr>
        <w:t xml:space="preserve"> i löpande priser.  Betalningsbemyndigandena har anpassats enligt ändringen. </w:t>
      </w:r>
    </w:p>
    <w:p>
      <w:pPr>
        <w:pStyle w:val="ManualHeading3"/>
        <w:rPr>
          <w:noProof/>
        </w:rPr>
      </w:pPr>
    </w:p>
    <w:p>
      <w:pPr>
        <w:pStyle w:val="ManualHeading3"/>
        <w:rPr>
          <w:noProof/>
        </w:rPr>
      </w:pPr>
    </w:p>
    <w:p>
      <w:pPr>
        <w:pStyle w:val="ManualHeading3"/>
        <w:rPr>
          <w:noProof/>
          <w:u w:val="single"/>
        </w:rPr>
      </w:pPr>
      <w:r>
        <w:rPr>
          <w:noProof/>
        </w:rPr>
        <w:t>3.2.1.</w:t>
      </w:r>
      <w:r>
        <w:rPr>
          <w:noProof/>
        </w:rPr>
        <w:tab/>
        <w:t xml:space="preserve">Sammanfattning av den beräknade inverkan på utgifterna </w:t>
      </w:r>
    </w:p>
    <w:p>
      <w:pPr>
        <w:spacing w:before="0" w:after="200" w:line="276" w:lineRule="auto"/>
        <w:jc w:val="left"/>
        <w:rPr>
          <w:noProof/>
          <w:sz w:val="20"/>
        </w:rPr>
      </w:pPr>
      <w:r>
        <w:rPr>
          <w:noProof/>
        </w:rPr>
        <w:br w:type="page"/>
      </w:r>
    </w:p>
    <w:p>
      <w:pPr>
        <w:jc w:val="right"/>
        <w:rPr>
          <w:noProof/>
          <w:sz w:val="20"/>
        </w:rPr>
      </w:pPr>
      <w:r>
        <w:rPr>
          <w:noProof/>
          <w:sz w:val="20"/>
        </w:rPr>
        <w:t>Miljoner euro i löpande priser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Rubrik i den fleråriga</w:t>
            </w:r>
            <w:r>
              <w:rPr>
                <w:noProof/>
              </w:rPr>
              <w:br/>
            </w:r>
            <w:r>
              <w:rPr>
                <w:b/>
                <w:noProof/>
              </w:rPr>
              <w:t xml:space="preserve">budgetramen </w:t>
            </w:r>
          </w:p>
        </w:tc>
        <w:tc>
          <w:tcPr>
            <w:tcW w:w="1080" w:type="dxa"/>
            <w:vAlign w:val="center"/>
          </w:tcPr>
          <w:p>
            <w:pPr>
              <w:spacing w:before="60" w:after="60"/>
              <w:jc w:val="center"/>
              <w:rPr>
                <w:noProof/>
              </w:rPr>
            </w:pPr>
            <w:r>
              <w:rPr>
                <w:noProof/>
                <w:sz w:val="22"/>
              </w:rPr>
              <w:t>Nummer</w:t>
            </w:r>
          </w:p>
          <w:p>
            <w:pPr>
              <w:spacing w:before="60" w:after="60"/>
              <w:jc w:val="center"/>
              <w:rPr>
                <w:noProof/>
              </w:rPr>
            </w:pPr>
            <w:r>
              <w:rPr>
                <w:noProof/>
                <w:sz w:val="22"/>
              </w:rPr>
              <w:t>1b</w:t>
            </w:r>
          </w:p>
        </w:tc>
        <w:tc>
          <w:tcPr>
            <w:tcW w:w="7817" w:type="dxa"/>
            <w:vAlign w:val="center"/>
          </w:tcPr>
          <w:p>
            <w:pPr>
              <w:spacing w:before="60" w:after="60"/>
              <w:rPr>
                <w:noProof/>
              </w:rPr>
            </w:pPr>
            <w:r>
              <w:rPr>
                <w:noProof/>
              </w:rPr>
              <w:t>Smart tillväxt för alla</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GD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TOTALT</w:t>
            </w:r>
          </w:p>
        </w:tc>
      </w:tr>
      <w:tr>
        <w:trPr>
          <w:trHeight w:val="213"/>
        </w:trPr>
        <w:tc>
          <w:tcPr>
            <w:tcW w:w="5747" w:type="dxa"/>
            <w:gridSpan w:val="3"/>
            <w:vAlign w:val="center"/>
          </w:tcPr>
          <w:p>
            <w:pPr>
              <w:spacing w:before="20" w:after="20"/>
              <w:rPr>
                <w:noProof/>
                <w:sz w:val="21"/>
              </w:rPr>
            </w:pPr>
            <w:r>
              <w:rPr>
                <w:noProof/>
                <w:sz w:val="21"/>
              </w:rPr>
              <w:sym w:font="Wingdings" w:char="F09F"/>
            </w:r>
            <w:r>
              <w:rPr>
                <w:noProof/>
              </w:rPr>
              <w:t xml:space="preserve"> </w:t>
            </w:r>
            <w:r>
              <w:rPr>
                <w:noProof/>
                <w:sz w:val="21"/>
              </w:rPr>
              <w:t>Driftsanslag</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Ekonomisk, social och territoriell sammanhållning</w:t>
            </w:r>
          </w:p>
          <w:p>
            <w:pPr>
              <w:spacing w:before="60"/>
              <w:rPr>
                <w:noProof/>
              </w:rPr>
            </w:pPr>
            <w:r>
              <w:rPr>
                <w:noProof/>
                <w:sz w:val="21"/>
              </w:rPr>
              <w:t>Europeiska regionala utvecklingsfonden, Europeiska socialfonden, Sammanhållningsfonden</w:t>
            </w:r>
          </w:p>
        </w:tc>
        <w:tc>
          <w:tcPr>
            <w:tcW w:w="3119" w:type="dxa"/>
            <w:vAlign w:val="center"/>
          </w:tcPr>
          <w:p>
            <w:pPr>
              <w:spacing w:before="20" w:after="20"/>
              <w:rPr>
                <w:noProof/>
                <w:sz w:val="18"/>
              </w:rPr>
            </w:pPr>
            <w:r>
              <w:rPr>
                <w:noProof/>
                <w:sz w:val="18"/>
              </w:rPr>
              <w:t xml:space="preserve">Åtaganden </w:t>
            </w:r>
          </w:p>
          <w:p>
            <w:pPr>
              <w:spacing w:before="20" w:after="20"/>
              <w:rPr>
                <w:noProof/>
                <w:sz w:val="18"/>
              </w:rPr>
            </w:pPr>
          </w:p>
          <w:p>
            <w:pPr>
              <w:spacing w:before="20" w:after="20"/>
              <w:rPr>
                <w:noProof/>
                <w:sz w:val="18"/>
              </w:rPr>
            </w:pPr>
          </w:p>
          <w:p>
            <w:pPr>
              <w:spacing w:after="60"/>
              <w:rPr>
                <w:noProof/>
                <w:sz w:val="22"/>
              </w:rPr>
            </w:pPr>
            <w:r>
              <w:rPr>
                <w:noProof/>
                <w:sz w:val="22"/>
              </w:rPr>
              <w:t>04 02 64 – Sysselsättningsinitiativet för unga</w:t>
            </w:r>
          </w:p>
          <w:p>
            <w:pPr>
              <w:spacing w:before="20" w:after="20"/>
              <w:rPr>
                <w:noProof/>
                <w:sz w:val="18"/>
              </w:rPr>
            </w:pP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rPr>
                <w:noProof/>
                <w:sz w:val="20"/>
              </w:rPr>
            </w:pPr>
            <w:r>
              <w:rPr>
                <w:noProof/>
                <w:sz w:val="20"/>
              </w:rPr>
              <w:t xml:space="preserve">116,667 </w:t>
            </w:r>
          </w:p>
        </w:tc>
        <w:tc>
          <w:tcPr>
            <w:tcW w:w="1276" w:type="dxa"/>
            <w:vAlign w:val="center"/>
          </w:tcPr>
          <w:p>
            <w:pPr>
              <w:spacing w:before="20" w:after="20"/>
              <w:rPr>
                <w:noProof/>
                <w:sz w:val="20"/>
              </w:rPr>
            </w:pPr>
            <w:r>
              <w:rPr>
                <w:noProof/>
                <w:sz w:val="20"/>
              </w:rPr>
              <w:t>0,000</w:t>
            </w:r>
          </w:p>
        </w:tc>
        <w:tc>
          <w:tcPr>
            <w:tcW w:w="1518" w:type="dxa"/>
            <w:vAlign w:val="center"/>
          </w:tcPr>
          <w:p>
            <w:pPr>
              <w:spacing w:before="20" w:after="20"/>
              <w:rPr>
                <w:b/>
                <w:noProof/>
                <w:sz w:val="20"/>
              </w:rPr>
            </w:pPr>
            <w:r>
              <w:rPr>
                <w:noProof/>
                <w:sz w:val="20"/>
              </w:rPr>
              <w:t>116,667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Betalningar </w:t>
            </w:r>
          </w:p>
          <w:p>
            <w:pPr>
              <w:spacing w:after="60"/>
              <w:rPr>
                <w:noProof/>
              </w:rPr>
            </w:pPr>
          </w:p>
          <w:p>
            <w:pPr>
              <w:spacing w:after="60"/>
              <w:rPr>
                <w:noProof/>
              </w:rPr>
            </w:pPr>
          </w:p>
          <w:p>
            <w:pPr>
              <w:spacing w:after="60"/>
              <w:rPr>
                <w:noProof/>
                <w:sz w:val="22"/>
              </w:rPr>
            </w:pPr>
            <w:r>
              <w:rPr>
                <w:noProof/>
                <w:sz w:val="22"/>
              </w:rPr>
              <w:t>04 02 64 – Sysselsättningsinitiativet för unga</w:t>
            </w:r>
          </w:p>
          <w:p>
            <w:pPr>
              <w:spacing w:after="60"/>
              <w:rPr>
                <w:noProof/>
                <w:sz w:val="22"/>
              </w:rPr>
            </w:pPr>
          </w:p>
          <w:p>
            <w:pPr>
              <w:spacing w:after="60"/>
              <w:rPr>
                <w:noProof/>
                <w:sz w:val="18"/>
              </w:rPr>
            </w:pPr>
            <w:r>
              <w:rPr>
                <w:noProof/>
              </w:rPr>
              <w:t xml:space="preserve"> </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5" w:type="dxa"/>
            <w:vAlign w:val="center"/>
          </w:tcPr>
          <w:p>
            <w:pPr>
              <w:spacing w:before="20" w:after="20"/>
              <w:jc w:val="right"/>
              <w:rPr>
                <w:noProof/>
                <w:sz w:val="20"/>
              </w:rPr>
            </w:pPr>
            <w:r>
              <w:rPr>
                <w:noProof/>
                <w:sz w:val="20"/>
              </w:rPr>
              <w:t>0,000</w:t>
            </w:r>
          </w:p>
        </w:tc>
        <w:tc>
          <w:tcPr>
            <w:tcW w:w="1276" w:type="dxa"/>
            <w:vAlign w:val="center"/>
          </w:tcPr>
          <w:p>
            <w:pPr>
              <w:spacing w:before="20" w:after="20"/>
              <w:rPr>
                <w:noProof/>
                <w:sz w:val="20"/>
              </w:rPr>
            </w:pPr>
            <w:r>
              <w:rPr>
                <w:noProof/>
                <w:sz w:val="20"/>
              </w:rPr>
              <w:t>3,500</w:t>
            </w:r>
          </w:p>
        </w:tc>
        <w:tc>
          <w:tcPr>
            <w:tcW w:w="1518" w:type="dxa"/>
            <w:vAlign w:val="center"/>
          </w:tcPr>
          <w:p>
            <w:pPr>
              <w:spacing w:before="20" w:after="20"/>
              <w:rPr>
                <w:b/>
                <w:noProof/>
                <w:sz w:val="20"/>
              </w:rPr>
            </w:pPr>
            <w:r>
              <w:rPr>
                <w:b/>
                <w:noProof/>
                <w:sz w:val="20"/>
              </w:rPr>
              <w:t>3,500</w:t>
            </w:r>
          </w:p>
        </w:tc>
      </w:tr>
      <w:tr>
        <w:trPr>
          <w:trHeight w:val="231"/>
        </w:trPr>
        <w:tc>
          <w:tcPr>
            <w:tcW w:w="5747" w:type="dxa"/>
            <w:gridSpan w:val="4"/>
            <w:vAlign w:val="center"/>
          </w:tcPr>
          <w:p>
            <w:pPr>
              <w:spacing w:before="20" w:after="20"/>
              <w:rPr>
                <w:noProof/>
              </w:rPr>
            </w:pPr>
            <w:r>
              <w:rPr>
                <w:noProof/>
                <w:sz w:val="21"/>
              </w:rPr>
              <w:t>Anslag av administrativ natur som finansieras genom ramanslagen för vissa operativa program</w:t>
            </w:r>
            <w:r>
              <w:rPr>
                <w:rStyle w:val="FootnoteReference"/>
                <w:noProof/>
                <w:sz w:val="21"/>
              </w:rPr>
              <w:footnoteReference w:id="14"/>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Ej tillämpligt</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rPr>
              <w:t xml:space="preserve">TOTALA anslag </w:t>
            </w:r>
            <w:r>
              <w:rPr>
                <w:noProof/>
              </w:rPr>
              <w:br/>
            </w:r>
            <w:r>
              <w:rPr>
                <w:b/>
                <w:noProof/>
              </w:rPr>
              <w:t>för GD EMPL, REGIO</w:t>
            </w:r>
            <w:r>
              <w:rPr>
                <w:noProof/>
              </w:rPr>
              <w:t xml:space="preserve"> </w:t>
            </w:r>
          </w:p>
        </w:tc>
        <w:tc>
          <w:tcPr>
            <w:tcW w:w="3197" w:type="dxa"/>
            <w:gridSpan w:val="2"/>
            <w:vAlign w:val="center"/>
          </w:tcPr>
          <w:p>
            <w:pPr>
              <w:rPr>
                <w:noProof/>
                <w:sz w:val="18"/>
              </w:rPr>
            </w:pPr>
            <w:r>
              <w:rPr>
                <w:noProof/>
                <w:sz w:val="18"/>
              </w:rPr>
              <w:t>Åtaganden</w:t>
            </w:r>
          </w:p>
        </w:tc>
        <w:tc>
          <w:tcPr>
            <w:tcW w:w="347" w:type="dxa"/>
            <w:vAlign w:val="center"/>
          </w:tcPr>
          <w:p>
            <w:pPr>
              <w:jc w:val="center"/>
              <w:rPr>
                <w:noProof/>
                <w:sz w:val="14"/>
              </w:rPr>
            </w:pPr>
            <w:r>
              <w:rPr>
                <w:noProof/>
                <w:sz w:val="14"/>
              </w:rPr>
              <w:t>=1+1a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 xml:space="preserve">116,667 </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b/>
                <w:noProof/>
                <w:sz w:val="20"/>
              </w:rPr>
            </w:pPr>
            <w:r>
              <w:rPr>
                <w:noProof/>
                <w:sz w:val="20"/>
              </w:rPr>
              <w:t>0,000</w:t>
            </w:r>
          </w:p>
        </w:tc>
        <w:tc>
          <w:tcPr>
            <w:tcW w:w="1518" w:type="dxa"/>
          </w:tcPr>
          <w:p>
            <w:pPr>
              <w:spacing w:before="20" w:after="20"/>
              <w:jc w:val="right"/>
              <w:rPr>
                <w:noProof/>
                <w:sz w:val="20"/>
                <w:szCs w:val="20"/>
              </w:rPr>
            </w:pPr>
          </w:p>
          <w:p>
            <w:pPr>
              <w:spacing w:before="20" w:after="20"/>
              <w:jc w:val="right"/>
              <w:rPr>
                <w:b/>
                <w:noProof/>
                <w:sz w:val="20"/>
                <w:szCs w:val="20"/>
              </w:rPr>
            </w:pPr>
          </w:p>
          <w:p>
            <w:pPr>
              <w:spacing w:before="20" w:after="20"/>
              <w:jc w:val="right"/>
              <w:rPr>
                <w:b/>
                <w:noProof/>
                <w:sz w:val="20"/>
              </w:rPr>
            </w:pPr>
            <w:r>
              <w:rPr>
                <w:b/>
                <w:noProof/>
                <w:sz w:val="20"/>
              </w:rPr>
              <w:t>116,667</w:t>
            </w:r>
          </w:p>
        </w:tc>
      </w:tr>
      <w:tr>
        <w:tc>
          <w:tcPr>
            <w:tcW w:w="2203" w:type="dxa"/>
            <w:vMerge/>
          </w:tcPr>
          <w:p>
            <w:pPr>
              <w:rPr>
                <w:noProof/>
                <w:sz w:val="20"/>
              </w:rPr>
            </w:pPr>
          </w:p>
        </w:tc>
        <w:tc>
          <w:tcPr>
            <w:tcW w:w="3197" w:type="dxa"/>
            <w:gridSpan w:val="2"/>
            <w:vAlign w:val="center"/>
          </w:tcPr>
          <w:p>
            <w:pPr>
              <w:rPr>
                <w:noProof/>
                <w:sz w:val="18"/>
              </w:rPr>
            </w:pPr>
            <w:r>
              <w:rPr>
                <w:noProof/>
                <w:sz w:val="18"/>
              </w:rPr>
              <w:t>Betalningar</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0,000</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3,500</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center"/>
              <w:rPr>
                <w:b/>
                <w:noProof/>
                <w:sz w:val="20"/>
              </w:rPr>
            </w:pPr>
            <w:r>
              <w:rPr>
                <w:b/>
                <w:noProof/>
                <w:sz w:val="20"/>
              </w:rPr>
              <w:t>3,500</w:t>
            </w:r>
          </w:p>
        </w:tc>
      </w:tr>
    </w:tbl>
    <w:p>
      <w:pPr>
        <w:rPr>
          <w:noProof/>
          <w:sz w:val="16"/>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347"/>
        <w:gridCol w:w="709"/>
        <w:gridCol w:w="708"/>
        <w:gridCol w:w="709"/>
        <w:gridCol w:w="1276"/>
        <w:gridCol w:w="1276"/>
        <w:gridCol w:w="1275"/>
        <w:gridCol w:w="1276"/>
        <w:gridCol w:w="144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TOTALA driftsanslag</w:t>
            </w:r>
          </w:p>
        </w:tc>
        <w:tc>
          <w:tcPr>
            <w:tcW w:w="1440" w:type="dxa"/>
            <w:vAlign w:val="center"/>
          </w:tcPr>
          <w:p>
            <w:pPr>
              <w:spacing w:beforeLines="20" w:before="48" w:afterLines="20" w:after="48"/>
              <w:rPr>
                <w:noProof/>
                <w:sz w:val="18"/>
              </w:rPr>
            </w:pPr>
            <w:r>
              <w:rPr>
                <w:noProof/>
                <w:sz w:val="18"/>
              </w:rPr>
              <w:t>Åtaganden</w:t>
            </w:r>
          </w:p>
        </w:tc>
        <w:tc>
          <w:tcPr>
            <w:tcW w:w="347" w:type="dxa"/>
            <w:vAlign w:val="center"/>
          </w:tcPr>
          <w:p>
            <w:pPr>
              <w:spacing w:beforeLines="20" w:before="48" w:afterLines="20" w:after="48"/>
              <w:jc w:val="center"/>
              <w:rPr>
                <w:noProof/>
                <w:sz w:val="14"/>
              </w:rPr>
            </w:pPr>
            <w:r>
              <w:rPr>
                <w:noProof/>
                <w:sz w:val="14"/>
              </w:rPr>
              <w:t>(4)</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 xml:space="preserve">116,667 </w:t>
            </w:r>
            <w:r>
              <w:rPr>
                <w:noProof/>
              </w:rPr>
              <w:tab/>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116,667</w:t>
            </w:r>
          </w:p>
        </w:tc>
      </w:tr>
      <w:tr>
        <w:trPr>
          <w:trHeight w:val="414"/>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347" w:type="dxa"/>
            <w:vAlign w:val="center"/>
          </w:tcPr>
          <w:p>
            <w:pPr>
              <w:spacing w:beforeLines="20" w:before="48" w:afterLines="20" w:after="48"/>
              <w:jc w:val="center"/>
              <w:rPr>
                <w:noProof/>
                <w:sz w:val="14"/>
              </w:rPr>
            </w:pPr>
            <w:r>
              <w:rPr>
                <w:noProof/>
                <w:sz w:val="14"/>
              </w:rPr>
              <w:t>(5)</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rPr>
            </w:pPr>
            <w:r>
              <w:rPr>
                <w:noProof/>
                <w:sz w:val="20"/>
              </w:rPr>
              <w:t>0,000</w:t>
            </w:r>
          </w:p>
        </w:tc>
        <w:tc>
          <w:tcPr>
            <w:tcW w:w="1276" w:type="dxa"/>
          </w:tcPr>
          <w:p>
            <w:pPr>
              <w:spacing w:before="20" w:after="20"/>
              <w:jc w:val="right"/>
              <w:rPr>
                <w:noProof/>
                <w:sz w:val="20"/>
              </w:rPr>
            </w:pPr>
            <w:r>
              <w:rPr>
                <w:noProof/>
                <w:sz w:val="20"/>
              </w:rPr>
              <w:t>3,500</w:t>
            </w:r>
          </w:p>
        </w:tc>
        <w:tc>
          <w:tcPr>
            <w:tcW w:w="1448" w:type="dxa"/>
          </w:tcPr>
          <w:p>
            <w:pPr>
              <w:spacing w:before="20" w:after="20"/>
              <w:jc w:val="right"/>
              <w:rPr>
                <w:b/>
                <w:noProof/>
                <w:sz w:val="20"/>
              </w:rPr>
            </w:pPr>
            <w:r>
              <w:rPr>
                <w:b/>
                <w:noProof/>
                <w:sz w:val="20"/>
              </w:rPr>
              <w:t>3,500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TOTALA anslag av administrativ natur som finansieras genom ramanslagen för vissa operativa program</w:t>
            </w:r>
          </w:p>
        </w:tc>
        <w:tc>
          <w:tcPr>
            <w:tcW w:w="347" w:type="dxa"/>
            <w:vAlign w:val="center"/>
          </w:tcPr>
          <w:p>
            <w:pPr>
              <w:spacing w:beforeLines="20" w:before="48" w:afterLines="20" w:after="48"/>
              <w:jc w:val="center"/>
              <w:rPr>
                <w:noProof/>
                <w:sz w:val="14"/>
              </w:rPr>
            </w:pPr>
            <w:r>
              <w:rPr>
                <w:noProof/>
                <w:sz w:val="14"/>
              </w:rPr>
              <w:t>(6)</w:t>
            </w:r>
          </w:p>
        </w:tc>
        <w:tc>
          <w:tcPr>
            <w:tcW w:w="709" w:type="dxa"/>
            <w:vAlign w:val="center"/>
          </w:tcPr>
          <w:p>
            <w:pPr>
              <w:spacing w:before="20" w:after="20"/>
              <w:jc w:val="right"/>
              <w:rPr>
                <w:b/>
                <w:noProof/>
                <w:sz w:val="20"/>
              </w:rPr>
            </w:pPr>
          </w:p>
        </w:tc>
        <w:tc>
          <w:tcPr>
            <w:tcW w:w="708" w:type="dxa"/>
            <w:vAlign w:val="center"/>
          </w:tcPr>
          <w:p>
            <w:pPr>
              <w:spacing w:before="20" w:after="20"/>
              <w:jc w:val="right"/>
              <w:rPr>
                <w:b/>
                <w:noProof/>
                <w:sz w:val="20"/>
              </w:rPr>
            </w:pPr>
          </w:p>
        </w:tc>
        <w:tc>
          <w:tcPr>
            <w:tcW w:w="709"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b/>
                <w:noProof/>
                <w:sz w:val="20"/>
              </w:rPr>
            </w:pPr>
            <w:r>
              <w:rPr>
                <w:noProof/>
                <w:sz w:val="20"/>
              </w:rPr>
              <w:t>0,000</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0,000</w:t>
            </w:r>
          </w:p>
        </w:tc>
      </w:tr>
      <w:tr>
        <w:tc>
          <w:tcPr>
            <w:tcW w:w="3960" w:type="dxa"/>
            <w:vMerge w:val="restart"/>
            <w:shd w:val="thinDiagStripe" w:color="C0C0C0" w:fill="auto"/>
            <w:vAlign w:val="center"/>
          </w:tcPr>
          <w:p>
            <w:pPr>
              <w:jc w:val="center"/>
              <w:rPr>
                <w:b/>
                <w:noProof/>
              </w:rPr>
            </w:pPr>
            <w:r>
              <w:rPr>
                <w:b/>
                <w:noProof/>
                <w:sz w:val="22"/>
              </w:rPr>
              <w:t>TOTALA anslag</w:t>
            </w:r>
            <w:r>
              <w:rPr>
                <w:noProof/>
              </w:rPr>
              <w:br/>
            </w:r>
            <w:r>
              <w:rPr>
                <w:b/>
                <w:noProof/>
                <w:sz w:val="22"/>
              </w:rPr>
              <w:t>under RUBRIKEN 1b</w:t>
            </w:r>
            <w:r>
              <w:rPr>
                <w:noProof/>
              </w:rPr>
              <w:br/>
            </w:r>
            <w:r>
              <w:rPr>
                <w:noProof/>
                <w:sz w:val="22"/>
              </w:rPr>
              <w:t>i den fleråriga budgetramen</w:t>
            </w:r>
          </w:p>
        </w:tc>
        <w:tc>
          <w:tcPr>
            <w:tcW w:w="1440" w:type="dxa"/>
            <w:vAlign w:val="center"/>
          </w:tcPr>
          <w:p>
            <w:pPr>
              <w:rPr>
                <w:noProof/>
                <w:sz w:val="18"/>
              </w:rPr>
            </w:pPr>
            <w:r>
              <w:rPr>
                <w:noProof/>
                <w:sz w:val="18"/>
              </w:rPr>
              <w:t>Åtaganden</w:t>
            </w:r>
          </w:p>
        </w:tc>
        <w:tc>
          <w:tcPr>
            <w:tcW w:w="347" w:type="dxa"/>
            <w:vAlign w:val="center"/>
          </w:tcPr>
          <w:p>
            <w:pPr>
              <w:jc w:val="center"/>
              <w:rPr>
                <w:noProof/>
                <w:sz w:val="14"/>
              </w:rPr>
            </w:pPr>
            <w:r>
              <w:rPr>
                <w:noProof/>
                <w:sz w:val="14"/>
              </w:rPr>
              <w:t>=4+ 6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116,667</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116,667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347" w:type="dxa"/>
            <w:vAlign w:val="center"/>
          </w:tcPr>
          <w:p>
            <w:pPr>
              <w:jc w:val="center"/>
              <w:rPr>
                <w:noProof/>
                <w:sz w:val="14"/>
              </w:rPr>
            </w:pPr>
            <w:r>
              <w:rPr>
                <w:noProof/>
                <w:sz w:val="14"/>
              </w:rPr>
              <w:t>=5+ 6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rPr>
            </w:pPr>
            <w:r>
              <w:rPr>
                <w:noProof/>
                <w:sz w:val="20"/>
              </w:rPr>
              <w:t>0,000</w:t>
            </w:r>
          </w:p>
        </w:tc>
        <w:tc>
          <w:tcPr>
            <w:tcW w:w="1276" w:type="dxa"/>
            <w:vAlign w:val="center"/>
          </w:tcPr>
          <w:p>
            <w:pPr>
              <w:spacing w:before="20" w:after="20"/>
              <w:jc w:val="right"/>
              <w:rPr>
                <w:noProof/>
                <w:sz w:val="20"/>
              </w:rPr>
            </w:pPr>
            <w:r>
              <w:rPr>
                <w:noProof/>
                <w:sz w:val="20"/>
              </w:rPr>
              <w:t>3,500</w:t>
            </w:r>
          </w:p>
        </w:tc>
        <w:tc>
          <w:tcPr>
            <w:tcW w:w="1448" w:type="dxa"/>
            <w:vAlign w:val="center"/>
          </w:tcPr>
          <w:p>
            <w:pPr>
              <w:spacing w:before="20" w:after="20"/>
              <w:jc w:val="right"/>
              <w:rPr>
                <w:b/>
                <w:noProof/>
                <w:sz w:val="20"/>
              </w:rPr>
            </w:pPr>
            <w:r>
              <w:rPr>
                <w:b/>
                <w:noProof/>
                <w:sz w:val="20"/>
              </w:rPr>
              <w:t>3,500</w:t>
            </w:r>
          </w:p>
        </w:tc>
      </w:tr>
      <w:tr>
        <w:tc>
          <w:tcPr>
            <w:tcW w:w="3960" w:type="dxa"/>
            <w:shd w:val="thinDiagStripe" w:color="C0C0C0" w:fill="auto"/>
          </w:tcPr>
          <w:p>
            <w:pPr>
              <w:rPr>
                <w:noProof/>
                <w:sz w:val="20"/>
              </w:rPr>
            </w:pPr>
          </w:p>
        </w:tc>
        <w:tc>
          <w:tcPr>
            <w:tcW w:w="1440" w:type="dxa"/>
            <w:vAlign w:val="center"/>
          </w:tcPr>
          <w:p>
            <w:pPr>
              <w:rPr>
                <w:noProof/>
                <w:sz w:val="18"/>
              </w:rPr>
            </w:pPr>
          </w:p>
        </w:tc>
        <w:tc>
          <w:tcPr>
            <w:tcW w:w="347" w:type="dxa"/>
            <w:vAlign w:val="center"/>
          </w:tcPr>
          <w:p>
            <w:pPr>
              <w:jc w:val="center"/>
              <w:rPr>
                <w:noProof/>
                <w:sz w:val="14"/>
              </w:rPr>
            </w:pP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448" w:type="dxa"/>
            <w:vAlign w:val="center"/>
          </w:tcPr>
          <w:p>
            <w:pPr>
              <w:spacing w:before="20" w:after="20"/>
              <w:jc w:val="right"/>
              <w:rPr>
                <w:b/>
                <w:noProof/>
                <w:sz w:val="20"/>
              </w:rPr>
            </w:pPr>
          </w:p>
        </w:tc>
      </w:tr>
    </w:tbl>
    <w:p>
      <w:pPr>
        <w:rPr>
          <w:noProof/>
          <w:sz w:val="16"/>
        </w:rPr>
      </w:pPr>
    </w:p>
    <w:p>
      <w:pPr>
        <w:rPr>
          <w:noProof/>
        </w:rPr>
      </w:pPr>
    </w:p>
    <w:p>
      <w:pPr>
        <w:rPr>
          <w:b/>
          <w:noProof/>
          <w:sz w:val="22"/>
          <w:u w:val="single"/>
        </w:rPr>
      </w:pPr>
      <w:r>
        <w:rPr>
          <w:noProof/>
        </w:rPr>
        <w:br/>
      </w:r>
    </w:p>
    <w:p>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TOTALA driftsanslag</w:t>
            </w:r>
          </w:p>
        </w:tc>
        <w:tc>
          <w:tcPr>
            <w:tcW w:w="1440" w:type="dxa"/>
            <w:tcBorders>
              <w:top w:val="single" w:sz="4" w:space="0" w:color="auto"/>
            </w:tcBorders>
            <w:vAlign w:val="center"/>
          </w:tcPr>
          <w:p>
            <w:pPr>
              <w:spacing w:beforeLines="20" w:before="48" w:afterLines="20" w:after="48"/>
              <w:rPr>
                <w:noProof/>
                <w:sz w:val="18"/>
              </w:rPr>
            </w:pPr>
            <w:r>
              <w:rPr>
                <w:noProof/>
                <w:sz w:val="18"/>
              </w:rPr>
              <w:t>Åtaganden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TOTALA anslag av administrativ natur som finansieras genom ramanslagen för vissa operativa program</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TOTALA anslag</w:t>
            </w:r>
            <w:r>
              <w:rPr>
                <w:noProof/>
              </w:rPr>
              <w:br/>
            </w:r>
            <w:r>
              <w:rPr>
                <w:b/>
                <w:noProof/>
                <w:sz w:val="22"/>
              </w:rPr>
              <w:t>under RUBRIKERNA 1–4</w:t>
            </w:r>
            <w:r>
              <w:rPr>
                <w:noProof/>
              </w:rPr>
              <w:br/>
            </w:r>
            <w:r>
              <w:rPr>
                <w:noProof/>
                <w:sz w:val="22"/>
              </w:rPr>
              <w:t>i den fleråriga budgetramen</w:t>
            </w:r>
            <w:r>
              <w:rPr>
                <w:noProof/>
              </w:rPr>
              <w:br/>
            </w:r>
            <w:r>
              <w:rPr>
                <w:noProof/>
                <w:sz w:val="20"/>
              </w:rP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Betalningar</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Rubrik i den fleråriga</w:t>
            </w:r>
            <w:r>
              <w:rPr>
                <w:noProof/>
              </w:rPr>
              <w:br/>
            </w:r>
            <w:r>
              <w:rPr>
                <w:b/>
                <w:noProof/>
              </w:rPr>
              <w:t xml:space="preserve">budgetramen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”Administrativa utgifter”</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br/>
            </w:r>
            <w:r>
              <w:rPr>
                <w:b/>
                <w:noProof/>
                <w:sz w:val="20"/>
              </w:rPr>
              <w:t>n</w:t>
            </w:r>
          </w:p>
        </w:tc>
        <w:tc>
          <w:tcPr>
            <w:tcW w:w="868" w:type="dxa"/>
            <w:vAlign w:val="center"/>
          </w:tcPr>
          <w:p>
            <w:pPr>
              <w:jc w:val="center"/>
              <w:rPr>
                <w:noProof/>
                <w:sz w:val="20"/>
              </w:rPr>
            </w:pPr>
            <w:r>
              <w:rPr>
                <w:noProof/>
                <w:sz w:val="20"/>
              </w:rPr>
              <w:t>År</w:t>
            </w:r>
            <w:r>
              <w:rPr>
                <w:noProof/>
              </w:rPr>
              <w:br/>
            </w:r>
            <w:r>
              <w:rPr>
                <w:b/>
                <w:noProof/>
                <w:sz w:val="20"/>
              </w:rPr>
              <w:t>n+1</w:t>
            </w:r>
          </w:p>
        </w:tc>
        <w:tc>
          <w:tcPr>
            <w:tcW w:w="868" w:type="dxa"/>
            <w:vAlign w:val="center"/>
          </w:tcPr>
          <w:p>
            <w:pPr>
              <w:jc w:val="center"/>
              <w:rPr>
                <w:noProof/>
                <w:sz w:val="20"/>
              </w:rPr>
            </w:pPr>
            <w:r>
              <w:rPr>
                <w:noProof/>
                <w:sz w:val="20"/>
              </w:rPr>
              <w:t>År</w:t>
            </w:r>
            <w:r>
              <w:rPr>
                <w:noProof/>
              </w:rPr>
              <w:br/>
            </w:r>
            <w:r>
              <w:rPr>
                <w:b/>
                <w:noProof/>
                <w:sz w:val="20"/>
              </w:rPr>
              <w:t>n+2</w:t>
            </w:r>
          </w:p>
        </w:tc>
        <w:tc>
          <w:tcPr>
            <w:tcW w:w="868" w:type="dxa"/>
            <w:vAlign w:val="center"/>
          </w:tcPr>
          <w:p>
            <w:pPr>
              <w:jc w:val="center"/>
              <w:rPr>
                <w:noProof/>
                <w:sz w:val="20"/>
              </w:rPr>
            </w:pPr>
            <w:r>
              <w:rPr>
                <w:noProof/>
                <w:sz w:val="20"/>
              </w:rPr>
              <w:t>År</w:t>
            </w:r>
            <w:r>
              <w:rPr>
                <w:noProof/>
              </w:rPr>
              <w:br/>
            </w:r>
            <w:r>
              <w:rPr>
                <w:b/>
                <w:noProof/>
                <w:sz w:val="20"/>
              </w:rPr>
              <w:t>n+3</w:t>
            </w:r>
          </w:p>
        </w:tc>
        <w:tc>
          <w:tcPr>
            <w:tcW w:w="2604" w:type="dxa"/>
            <w:gridSpan w:val="3"/>
            <w:vAlign w:val="center"/>
          </w:tcPr>
          <w:p>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pPr>
              <w:jc w:val="center"/>
              <w:rPr>
                <w:b/>
                <w:noProof/>
                <w:sz w:val="20"/>
              </w:rPr>
            </w:pPr>
            <w:r>
              <w:rPr>
                <w:b/>
                <w:noProof/>
                <w:sz w:val="20"/>
              </w:rPr>
              <w:t>TOTALT</w:t>
            </w:r>
          </w:p>
        </w:tc>
      </w:tr>
      <w:tr>
        <w:trPr>
          <w:gridAfter w:val="10"/>
          <w:wAfter w:w="9947" w:type="dxa"/>
        </w:trPr>
        <w:tc>
          <w:tcPr>
            <w:tcW w:w="3960" w:type="dxa"/>
            <w:vAlign w:val="center"/>
          </w:tcPr>
          <w:p>
            <w:pPr>
              <w:spacing w:before="60" w:after="60"/>
              <w:jc w:val="center"/>
              <w:rPr>
                <w:noProof/>
              </w:rPr>
            </w:pPr>
            <w:r>
              <w:rPr>
                <w:noProof/>
                <w:sz w:val="22"/>
              </w:rPr>
              <w:t xml:space="preserve">GD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Personalresurser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Övriga administrativa utgifter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GD &lt;….&gt; TOTALT</w:t>
            </w:r>
          </w:p>
        </w:tc>
        <w:tc>
          <w:tcPr>
            <w:tcW w:w="2094" w:type="dxa"/>
            <w:gridSpan w:val="2"/>
            <w:vAlign w:val="center"/>
          </w:tcPr>
          <w:p>
            <w:pPr>
              <w:rPr>
                <w:noProof/>
                <w:sz w:val="14"/>
              </w:rPr>
            </w:pPr>
            <w:r>
              <w:rPr>
                <w:noProof/>
                <w:sz w:val="18"/>
              </w:rPr>
              <w:t xml:space="preserve">Anslag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TOTALA anslag</w:t>
            </w:r>
            <w:r>
              <w:rPr>
                <w:noProof/>
              </w:rPr>
              <w:br/>
            </w:r>
            <w:r>
              <w:rPr>
                <w:b/>
                <w:noProof/>
                <w:sz w:val="22"/>
              </w:rPr>
              <w:t>under RUBRIKEN 5</w:t>
            </w:r>
            <w:r>
              <w:rPr>
                <w:noProof/>
              </w:rPr>
              <w:br/>
            </w:r>
            <w:r>
              <w:rPr>
                <w:noProof/>
                <w:sz w:val="22"/>
              </w:rPr>
              <w:t>i den fleråriga budgetramen</w:t>
            </w:r>
            <w:r>
              <w:rPr>
                <w:b/>
                <w:noProof/>
                <w:sz w:val="22"/>
              </w:rPr>
              <w:t xml:space="preserve"> </w:t>
            </w:r>
          </w:p>
        </w:tc>
        <w:tc>
          <w:tcPr>
            <w:tcW w:w="2094" w:type="dxa"/>
            <w:vAlign w:val="center"/>
          </w:tcPr>
          <w:p>
            <w:pPr>
              <w:spacing w:before="40" w:after="40"/>
              <w:rPr>
                <w:noProof/>
              </w:rPr>
            </w:pPr>
            <w:r>
              <w:rPr>
                <w:noProof/>
                <w:sz w:val="18"/>
              </w:rPr>
              <w:t>(summa åtaganden = summa betalningar)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År</w:t>
            </w:r>
            <w:r>
              <w:rPr>
                <w:noProof/>
              </w:rPr>
              <w:br/>
            </w:r>
            <w:r>
              <w:rPr>
                <w:b/>
                <w:noProof/>
                <w:sz w:val="20"/>
              </w:rPr>
              <w:t>n+1</w:t>
            </w:r>
          </w:p>
        </w:tc>
        <w:tc>
          <w:tcPr>
            <w:tcW w:w="868" w:type="dxa"/>
            <w:vAlign w:val="center"/>
          </w:tcPr>
          <w:p>
            <w:pPr>
              <w:jc w:val="center"/>
              <w:rPr>
                <w:noProof/>
                <w:sz w:val="20"/>
              </w:rPr>
            </w:pPr>
            <w:r>
              <w:rPr>
                <w:noProof/>
                <w:sz w:val="20"/>
              </w:rPr>
              <w:t>År</w:t>
            </w:r>
            <w:r>
              <w:rPr>
                <w:noProof/>
              </w:rPr>
              <w:br/>
            </w:r>
            <w:r>
              <w:rPr>
                <w:b/>
                <w:noProof/>
                <w:sz w:val="20"/>
              </w:rPr>
              <w:t>n+2</w:t>
            </w:r>
          </w:p>
        </w:tc>
        <w:tc>
          <w:tcPr>
            <w:tcW w:w="868" w:type="dxa"/>
            <w:vAlign w:val="center"/>
          </w:tcPr>
          <w:p>
            <w:pPr>
              <w:jc w:val="center"/>
              <w:rPr>
                <w:noProof/>
                <w:sz w:val="20"/>
              </w:rPr>
            </w:pPr>
            <w:r>
              <w:rPr>
                <w:noProof/>
                <w:sz w:val="20"/>
              </w:rPr>
              <w:t>År</w:t>
            </w:r>
            <w:r>
              <w:rPr>
                <w:noProof/>
              </w:rPr>
              <w:br/>
            </w:r>
            <w:r>
              <w:rPr>
                <w:b/>
                <w:noProof/>
                <w:sz w:val="20"/>
              </w:rPr>
              <w:t>n+3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rPr>
            </w:pPr>
            <w:r>
              <w:rPr>
                <w:b/>
                <w:noProof/>
                <w:sz w:val="22"/>
              </w:rPr>
              <w:t>TOTALA anslag</w:t>
            </w:r>
            <w:r>
              <w:rPr>
                <w:noProof/>
              </w:rPr>
              <w:br/>
            </w:r>
            <w:r>
              <w:rPr>
                <w:b/>
                <w:noProof/>
                <w:sz w:val="22"/>
              </w:rPr>
              <w:t>under RUBRIKERNA 1–5</w:t>
            </w:r>
            <w:r>
              <w:rPr>
                <w:noProof/>
              </w:rPr>
              <w:br/>
            </w:r>
            <w:r>
              <w:rPr>
                <w:noProof/>
                <w:sz w:val="22"/>
              </w:rP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Beräknad inverkan på driftsanslagen </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78"/>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År</w:t>
            </w:r>
            <w:r>
              <w:rPr>
                <w:noProof/>
              </w:rPr>
              <w:br/>
            </w:r>
            <w:r>
              <w:rPr>
                <w:b/>
                <w:noProof/>
                <w:sz w:val="18"/>
              </w:rPr>
              <w:t>n</w:t>
            </w:r>
          </w:p>
        </w:tc>
        <w:tc>
          <w:tcPr>
            <w:tcW w:w="1260" w:type="dxa"/>
            <w:gridSpan w:val="2"/>
            <w:vAlign w:val="center"/>
          </w:tcPr>
          <w:p>
            <w:pPr>
              <w:ind w:right="-29"/>
              <w:jc w:val="center"/>
              <w:rPr>
                <w:noProof/>
                <w:sz w:val="18"/>
                <w:szCs w:val="18"/>
              </w:rPr>
            </w:pPr>
            <w:r>
              <w:rPr>
                <w:noProof/>
                <w:sz w:val="18"/>
              </w:rPr>
              <w:t>År</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År</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År</w:t>
            </w:r>
            <w:r>
              <w:rPr>
                <w:noProof/>
              </w:rPr>
              <w:br/>
            </w:r>
            <w:r>
              <w:rPr>
                <w:b/>
                <w:noProof/>
                <w:sz w:val="18"/>
              </w:rPr>
              <w:t>n+3</w:t>
            </w:r>
          </w:p>
        </w:tc>
        <w:tc>
          <w:tcPr>
            <w:tcW w:w="3600" w:type="dxa"/>
            <w:gridSpan w:val="6"/>
            <w:vAlign w:val="center"/>
          </w:tcPr>
          <w:p>
            <w:pPr>
              <w:jc w:val="center"/>
              <w:rPr>
                <w:noProof/>
                <w:sz w:val="18"/>
                <w:szCs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szCs w:val="18"/>
              </w:rPr>
            </w:pPr>
            <w:r>
              <w:rPr>
                <w:b/>
                <w:noProof/>
                <w:sz w:val="18"/>
              </w:rPr>
              <w:t>TOTALT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kostnad</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17"/>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Delsumma för specifikt mål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Delsumma för specifikt mål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Beräknad inverkan på anslag av administrativ natur</w:t>
      </w:r>
    </w:p>
    <w:p>
      <w:pPr>
        <w:pStyle w:val="ManualHeading4"/>
        <w:rPr>
          <w:noProof/>
        </w:rPr>
      </w:pPr>
      <w:r>
        <w:rPr>
          <w:noProof/>
        </w:rPr>
        <w:t>3.2.3.1.</w:t>
      </w:r>
      <w:r>
        <w:rPr>
          <w:noProof/>
        </w:rPr>
        <w:tab/>
        <w:t xml:space="preserve">Sammanfattning </w:t>
      </w:r>
    </w:p>
    <w:p>
      <w:pPr>
        <w:pStyle w:val="ListDash1"/>
        <w:rPr>
          <w:noProof/>
        </w:rPr>
      </w:pPr>
      <w:r>
        <w:rPr>
          <w:noProof/>
        </w:rPr>
        <w:sym w:font="Wingdings" w:char="F078"/>
      </w:r>
      <w:r>
        <w:rPr>
          <w:noProof/>
        </w:rPr>
        <w:tab/>
        <w:t xml:space="preserve">Förslaget/initiativet kräver inte att anslag av administrativ natur tas i anspråk </w:t>
      </w:r>
    </w:p>
    <w:p>
      <w:pPr>
        <w:pStyle w:val="ListDash1"/>
        <w:rPr>
          <w:noProof/>
        </w:rPr>
      </w:pPr>
      <w:r>
        <w:rPr>
          <w:noProof/>
        </w:rPr>
        <w:sym w:font="Wingdings" w:char="F0A8"/>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År</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För in så många år som behövs för att redovisa inverkan på resursanvändningen (jfr punkt 1.6)</w:t>
            </w: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5</w:t>
            </w:r>
            <w:r>
              <w:rPr>
                <w:noProof/>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för belopp utanför RUBRIK 5</w:t>
            </w:r>
            <w:r>
              <w:rPr>
                <w:rStyle w:val="FootnoteReference"/>
                <w:b/>
                <w:noProof/>
                <w:sz w:val="16"/>
              </w:rPr>
              <w:footnoteReference w:id="19"/>
            </w:r>
            <w:r>
              <w:rPr>
                <w:noProof/>
              </w:rPr>
              <w:br/>
            </w:r>
            <w:r>
              <w:rPr>
                <w:b/>
                <w:noProof/>
                <w:sz w:val="16"/>
              </w:rP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Andra utgifter</w:t>
            </w:r>
            <w:r>
              <w:rPr>
                <w:noProof/>
              </w:rPr>
              <w:br/>
            </w:r>
            <w:r>
              <w:rPr>
                <w:noProof/>
                <w:sz w:val="16"/>
              </w:rPr>
              <w:t>av administrativ natur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w:t>
            </w:r>
            <w:r>
              <w:rPr>
                <w:noProof/>
              </w:rPr>
              <w:br/>
            </w:r>
            <w:r>
              <w:rPr>
                <w:b/>
                <w:noProof/>
                <w:sz w:val="16"/>
              </w:rPr>
              <w:t>för belopp utanför RUBRIK 5</w:t>
            </w:r>
            <w:r>
              <w:rPr>
                <w:noProof/>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Personalbehov och andra administrativa kostnader ska täckas genom anslag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r>
        <w:rPr>
          <w:noProof/>
        </w:rPr>
        <w:tab/>
      </w:r>
    </w:p>
    <w:p>
      <w:pPr>
        <w:pStyle w:val="ManualHeading4"/>
        <w:rPr>
          <w:bCs/>
          <w:noProof/>
          <w:szCs w:val="24"/>
        </w:rPr>
      </w:pPr>
      <w:r>
        <w:rPr>
          <w:noProof/>
        </w:rPr>
        <w:t>3.2.3.2.</w:t>
      </w:r>
      <w:r>
        <w:rPr>
          <w:noProof/>
        </w:rPr>
        <w:tab/>
        <w:t>Beräknat personalbehov</w:t>
      </w:r>
    </w:p>
    <w:p>
      <w:pPr>
        <w:pStyle w:val="ListDash1"/>
        <w:rPr>
          <w:noProof/>
        </w:rPr>
      </w:pPr>
      <w:r>
        <w:rPr>
          <w:noProof/>
        </w:rPr>
        <w:sym w:font="Wingdings" w:char="F078"/>
      </w:r>
      <w:r>
        <w:rPr>
          <w:noProof/>
        </w:rPr>
        <w:tab/>
        <w:t xml:space="preserve">Förslaget/initiativet kräver inte att personalresurser tas i anspråk </w:t>
      </w:r>
    </w:p>
    <w:p>
      <w:pPr>
        <w:pStyle w:val="ListDash1"/>
        <w:rPr>
          <w:noProof/>
        </w:rPr>
      </w:pPr>
      <w:r>
        <w:rPr>
          <w:noProof/>
        </w:rPr>
        <w:sym w:font="Wingdings" w:char="F0A8"/>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År</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År</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År </w:t>
            </w:r>
            <w:r>
              <w:rPr>
                <w:noProof/>
                <w:sz w:val="16"/>
                <w:szCs w:val="16"/>
              </w:rPr>
              <w:br/>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År </w:t>
            </w:r>
            <w:r>
              <w:rPr>
                <w:noProof/>
                <w:sz w:val="16"/>
                <w:szCs w:val="16"/>
              </w:rPr>
              <w:br/>
            </w:r>
            <w:r>
              <w:rPr>
                <w:b/>
                <w:noProof/>
                <w:sz w:val="16"/>
              </w:rPr>
              <w:t>n+3</w:t>
            </w:r>
          </w:p>
        </w:tc>
        <w:tc>
          <w:tcPr>
            <w:tcW w:w="345" w:type="pct"/>
            <w:gridSpan w:val="3"/>
            <w:shd w:val="clear" w:color="auto" w:fill="auto"/>
            <w:vAlign w:val="center"/>
          </w:tcPr>
          <w:p>
            <w:pPr>
              <w:jc w:val="center"/>
              <w:rPr>
                <w:b/>
                <w:noProof/>
                <w:sz w:val="16"/>
                <w:szCs w:val="16"/>
              </w:rPr>
            </w:pPr>
            <w:r>
              <w:rPr>
                <w:noProof/>
                <w:sz w:val="16"/>
              </w:rPr>
              <w:t>För in så många år som behövs för att redovisa inverkan på resursanvändningen (jfr punkt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Tjänster som tas upp i tjänsteförteckningen (tjänstemän och tillfälligt anställda)</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Extern personal (i heltidsekvivalenter)</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personal från bemanningsföretag finansierade genom ramanslaget)</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05 02 (kontraktsanställda, nationella experter och vikarier som arbetar med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motsvarar det politikområde eller den avdelning i budgeten som avses.</w:t>
      </w:r>
    </w:p>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Förenlighet med den gällande fleråriga budgetramen </w:t>
      </w:r>
    </w:p>
    <w:p>
      <w:pPr>
        <w:pStyle w:val="ListDash1"/>
        <w:rPr>
          <w:noProof/>
        </w:rPr>
      </w:pPr>
      <w:r>
        <w:rPr>
          <w:noProof/>
        </w:rPr>
        <w:sym w:font="Wingdings" w:char="F078"/>
      </w:r>
      <w:r>
        <w:rPr>
          <w:noProof/>
        </w:rPr>
        <w:tab/>
        <w:t>Förslaget/initiativet är förenligt med den gällande fleråriga budgetramen</w:t>
      </w:r>
    </w:p>
    <w:p>
      <w:pPr>
        <w:pStyle w:val="ListDash1"/>
        <w:rPr>
          <w:noProof/>
        </w:rPr>
      </w:pPr>
      <w:r>
        <w:rPr>
          <w:noProof/>
        </w:rPr>
        <w:sym w:font="Wingdings" w:char="F0A8"/>
      </w:r>
      <w:r>
        <w:rPr>
          <w:noProof/>
        </w:rPr>
        <w:tab/>
        <w:t>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pPr>
        <w:pStyle w:val="ManualHeading3"/>
        <w:rPr>
          <w:bCs/>
          <w:noProof/>
          <w:szCs w:val="24"/>
        </w:rPr>
      </w:pPr>
      <w:r>
        <w:rPr>
          <w:noProof/>
        </w:rPr>
        <w:t>3.2.5.</w:t>
      </w:r>
      <w:r>
        <w:rPr>
          <w:noProof/>
        </w:rPr>
        <w:tab/>
        <w:t xml:space="preserve">Bidrag från tredje part </w:t>
      </w:r>
    </w:p>
    <w:p>
      <w:pPr>
        <w:pStyle w:val="ListDash1"/>
        <w:rPr>
          <w:noProof/>
        </w:rPr>
      </w:pPr>
      <w:r>
        <w:rPr>
          <w:noProof/>
        </w:rPr>
        <w:t xml:space="preserve">Det ingår inga bidrag från tredje part i det aktuella förslaget eller initiativet </w:t>
      </w:r>
    </w:p>
    <w:p>
      <w:pPr>
        <w:pStyle w:val="ListDash1"/>
        <w:rPr>
          <w:noProof/>
        </w:rPr>
      </w:pPr>
      <w:r>
        <w:rPr>
          <w:noProof/>
        </w:rPr>
        <w:t>Förslaget eller initiativet kommer att medfinansieras enligt följande:</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rPr>
              <w:br/>
            </w:r>
            <w:r>
              <w:rPr>
                <w:b/>
                <w:noProof/>
                <w:sz w:val="20"/>
              </w:rPr>
              <w:t>n</w:t>
            </w:r>
          </w:p>
        </w:tc>
        <w:tc>
          <w:tcPr>
            <w:tcW w:w="964" w:type="dxa"/>
            <w:vAlign w:val="center"/>
          </w:tcPr>
          <w:p>
            <w:pPr>
              <w:jc w:val="center"/>
              <w:rPr>
                <w:noProof/>
                <w:sz w:val="20"/>
              </w:rPr>
            </w:pPr>
            <w:r>
              <w:rPr>
                <w:noProof/>
                <w:sz w:val="20"/>
              </w:rPr>
              <w:t>År</w:t>
            </w:r>
            <w:r>
              <w:rPr>
                <w:noProof/>
              </w:rPr>
              <w:br/>
            </w:r>
            <w:r>
              <w:rPr>
                <w:b/>
                <w:noProof/>
                <w:sz w:val="20"/>
              </w:rPr>
              <w:t>n+1</w:t>
            </w:r>
          </w:p>
        </w:tc>
        <w:tc>
          <w:tcPr>
            <w:tcW w:w="964" w:type="dxa"/>
            <w:vAlign w:val="center"/>
          </w:tcPr>
          <w:p>
            <w:pPr>
              <w:jc w:val="center"/>
              <w:rPr>
                <w:noProof/>
                <w:sz w:val="20"/>
              </w:rPr>
            </w:pPr>
            <w:r>
              <w:rPr>
                <w:noProof/>
                <w:sz w:val="20"/>
              </w:rPr>
              <w:t>År</w:t>
            </w:r>
            <w:r>
              <w:rPr>
                <w:noProof/>
              </w:rPr>
              <w:br/>
            </w:r>
            <w:r>
              <w:rPr>
                <w:b/>
                <w:noProof/>
                <w:sz w:val="20"/>
              </w:rPr>
              <w:t>n+2</w:t>
            </w:r>
          </w:p>
        </w:tc>
        <w:tc>
          <w:tcPr>
            <w:tcW w:w="964" w:type="dxa"/>
            <w:vAlign w:val="center"/>
          </w:tcPr>
          <w:p>
            <w:pPr>
              <w:jc w:val="center"/>
              <w:rPr>
                <w:noProof/>
                <w:sz w:val="20"/>
              </w:rPr>
            </w:pPr>
            <w:r>
              <w:rPr>
                <w:noProof/>
                <w:sz w:val="20"/>
              </w:rPr>
              <w:t>År</w:t>
            </w:r>
            <w:r>
              <w:rPr>
                <w:noProof/>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rPr>
            </w:pPr>
            <w:r>
              <w:rPr>
                <w:noProof/>
                <w:sz w:val="20"/>
              </w:rPr>
              <w:t>Ange vilket organ som deltar i medfinansieringen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medfinansiering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Beräknad inverkan på inkomsterna </w:t>
      </w:r>
    </w:p>
    <w:p>
      <w:pPr>
        <w:pStyle w:val="ListDash1"/>
        <w:rPr>
          <w:noProof/>
        </w:rPr>
      </w:pPr>
      <w:r>
        <w:rPr>
          <w:noProof/>
        </w:rPr>
        <w:sym w:font="Wingdings" w:char="F078"/>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tabs>
          <w:tab w:val="clear" w:pos="2126"/>
        </w:tabs>
        <w:rPr>
          <w:noProof/>
        </w:rPr>
      </w:pPr>
      <w:r>
        <w:rPr>
          <w:noProof/>
        </w:rPr>
        <w:sym w:font="Wingdings" w:char="F0A8"/>
      </w:r>
      <w:r>
        <w:rPr>
          <w:noProof/>
        </w:rPr>
        <w:tab/>
        <w:t xml:space="preserve">Påverkan på egna medel </w:t>
      </w:r>
    </w:p>
    <w:p>
      <w:pPr>
        <w:pStyle w:val="ListNumberLevel3"/>
        <w:tabs>
          <w:tab w:val="clear" w:pos="2126"/>
        </w:tabs>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 eller initiativets inverkan på inkomsterna</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rPr>
              <w:br/>
            </w:r>
            <w:r>
              <w:rPr>
                <w:b/>
                <w:noProof/>
                <w:sz w:val="18"/>
              </w:rPr>
              <w:t>n</w:t>
            </w:r>
          </w:p>
        </w:tc>
        <w:tc>
          <w:tcPr>
            <w:tcW w:w="900" w:type="dxa"/>
            <w:vAlign w:val="center"/>
          </w:tcPr>
          <w:p>
            <w:pPr>
              <w:jc w:val="center"/>
              <w:rPr>
                <w:noProof/>
                <w:sz w:val="18"/>
              </w:rPr>
            </w:pPr>
            <w:r>
              <w:rPr>
                <w:noProof/>
                <w:sz w:val="18"/>
              </w:rPr>
              <w:t>År</w:t>
            </w:r>
            <w:r>
              <w:rPr>
                <w:noProof/>
              </w:rPr>
              <w:br/>
            </w:r>
            <w:r>
              <w:rPr>
                <w:b/>
                <w:noProof/>
                <w:sz w:val="18"/>
              </w:rPr>
              <w:t>n+1</w:t>
            </w:r>
          </w:p>
        </w:tc>
        <w:tc>
          <w:tcPr>
            <w:tcW w:w="900" w:type="dxa"/>
            <w:vAlign w:val="center"/>
          </w:tcPr>
          <w:p>
            <w:pPr>
              <w:jc w:val="center"/>
              <w:rPr>
                <w:noProof/>
                <w:sz w:val="18"/>
              </w:rPr>
            </w:pPr>
            <w:r>
              <w:rPr>
                <w:noProof/>
                <w:sz w:val="18"/>
              </w:rPr>
              <w:t>År</w:t>
            </w:r>
            <w:r>
              <w:rPr>
                <w:noProof/>
              </w:rPr>
              <w:br/>
            </w:r>
            <w:r>
              <w:rPr>
                <w:b/>
                <w:noProof/>
                <w:sz w:val="18"/>
              </w:rPr>
              <w:t>n+2</w:t>
            </w:r>
          </w:p>
        </w:tc>
        <w:tc>
          <w:tcPr>
            <w:tcW w:w="1080" w:type="dxa"/>
            <w:vAlign w:val="center"/>
          </w:tcPr>
          <w:p>
            <w:pPr>
              <w:jc w:val="center"/>
              <w:rPr>
                <w:noProof/>
                <w:sz w:val="18"/>
              </w:rPr>
            </w:pPr>
            <w:r>
              <w:rPr>
                <w:noProof/>
                <w:sz w:val="18"/>
              </w:rPr>
              <w:t>År</w:t>
            </w:r>
            <w:r>
              <w:rPr>
                <w:noProof/>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Ange med vilken metod inverkan på inkomsterna har beräknats.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 senast ändrad genom Europaparlamentets och rådets förordning (EU) 2018/1719 av den 14 november 2018 om ändring av förordning (EU) nr 1303/2013 vad gäller medlen för ekonomisk, social och territoriell sammanhållning samt medlen för målet Investering för tillväxt och sysselsättning. EUT L 291, 16.11.2018, s. 5.</w:t>
      </w:r>
    </w:p>
  </w:footnote>
  <w:footnote w:id="2">
    <w:p>
      <w:pPr>
        <w:pStyle w:val="FootnoteText"/>
      </w:pPr>
      <w:r>
        <w:rPr>
          <w:rStyle w:val="FootnoteReference"/>
        </w:rPr>
        <w:footnoteRef/>
      </w:r>
      <w:r>
        <w:tab/>
        <w:t>Europaparlamentets och rådets förordning (EU) nr 1304/2013 av den 17 december 2013 om Europeiska socialfonden och om upphävande av rådets förordning (EG) nr 1081/2006 (EUT L 347, 20.12.2013, s. 470).</w:t>
      </w:r>
    </w:p>
  </w:footnote>
  <w:footnote w:id="3">
    <w:p>
      <w:pPr>
        <w:pStyle w:val="FootnoteText"/>
        <w:rPr>
          <w:lang w:val="fr-BE"/>
        </w:rPr>
      </w:pPr>
      <w:r>
        <w:rPr>
          <w:rStyle w:val="FootnoteReference"/>
        </w:rPr>
        <w:footnoteRef/>
      </w:r>
      <w:r>
        <w:rPr>
          <w:lang w:val="fr-BE"/>
        </w:rPr>
        <w:tab/>
        <w:t>EUT C […], […], s. […].</w:t>
      </w:r>
    </w:p>
  </w:footnote>
  <w:footnote w:id="4">
    <w:p>
      <w:pPr>
        <w:pStyle w:val="FootnoteText"/>
        <w:rPr>
          <w:lang w:val="fr-BE"/>
        </w:rPr>
      </w:pPr>
      <w:r>
        <w:rPr>
          <w:rStyle w:val="FootnoteReference"/>
        </w:rPr>
        <w:footnoteRef/>
      </w:r>
      <w:r>
        <w:rPr>
          <w:lang w:val="fr-BE"/>
        </w:rPr>
        <w:tab/>
        <w:t>EUT C […], […], s. […].</w:t>
      </w:r>
    </w:p>
  </w:footnote>
  <w:footnote w:id="5">
    <w:p>
      <w:pPr>
        <w:pStyle w:val="FootnoteText"/>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w:t>
      </w:r>
    </w:p>
  </w:footnote>
  <w:footnote w:id="6">
    <w:p>
      <w:pPr>
        <w:pStyle w:val="FootnoteText"/>
      </w:pPr>
      <w:r>
        <w:rPr>
          <w:rStyle w:val="FootnoteReference"/>
        </w:rPr>
        <w:footnoteRef/>
      </w:r>
      <w:r>
        <w:tab/>
        <w:t>EUT C […], […], s. […].</w:t>
      </w:r>
    </w:p>
  </w:footnote>
  <w:footnote w:id="7">
    <w:p>
      <w:pPr>
        <w:pStyle w:val="FootnoteText"/>
        <w:rPr>
          <w:szCs w:val="24"/>
        </w:rPr>
      </w:pPr>
      <w:r>
        <w:rPr>
          <w:rStyle w:val="FootnoteReference"/>
        </w:rPr>
        <w:footnoteRef/>
      </w:r>
      <w:r>
        <w:tab/>
        <w:t>Verksamhetsbaserad förvaltning och verksamhetsbaserad budgetering benämns ibland med de interna förkortningarna ABM respektive ABB.</w:t>
      </w:r>
    </w:p>
  </w:footnote>
  <w:footnote w:id="8">
    <w:p>
      <w:pPr>
        <w:pStyle w:val="FootnoteText"/>
        <w:rPr>
          <w:szCs w:val="24"/>
        </w:rPr>
      </w:pPr>
      <w:r>
        <w:rPr>
          <w:rStyle w:val="FootnoteReference"/>
        </w:rPr>
        <w:footnoteRef/>
      </w:r>
      <w:r>
        <w:tab/>
        <w:t>I den mening som avses i artikel 54.2 a eller b i budgetförordningen.</w:t>
      </w:r>
    </w:p>
  </w:footnote>
  <w:footnote w:id="9">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rPr>
          <w:lang w:val="de-DE"/>
        </w:rPr>
        <w:tab/>
        <w:t xml:space="preserve">Diff. = differentierade anslag/Icke-diff. </w:t>
      </w:r>
      <w:r>
        <w:t>= icke-differentierade anslag.</w:t>
      </w:r>
    </w:p>
  </w:footnote>
  <w:footnote w:id="11">
    <w:p>
      <w:pPr>
        <w:pStyle w:val="FootnoteText"/>
        <w:rPr>
          <w:szCs w:val="24"/>
        </w:rPr>
      </w:pPr>
      <w:r>
        <w:rPr>
          <w:rStyle w:val="FootnoteReference"/>
        </w:rPr>
        <w:footnoteRef/>
      </w:r>
      <w:r>
        <w:tab/>
        <w:t xml:space="preserve">Efta: Europeiska frihandelssammanslutningen. </w:t>
      </w:r>
    </w:p>
  </w:footnote>
  <w:footnote w:id="12">
    <w:p>
      <w:pPr>
        <w:pStyle w:val="FootnoteText"/>
        <w:rPr>
          <w:szCs w:val="24"/>
        </w:rPr>
      </w:pPr>
      <w:r>
        <w:rPr>
          <w:rStyle w:val="FootnoteReference"/>
        </w:rPr>
        <w:footnoteRef/>
      </w:r>
      <w:r>
        <w:tab/>
        <w:t>Kandidatländer och i förekommande fall potentiella kandidatländer i västra Balkan.</w:t>
      </w:r>
    </w:p>
  </w:footnote>
  <w:footnote w:id="13">
    <w:p>
      <w:pPr>
        <w:pStyle w:val="FootnoteText"/>
      </w:pPr>
      <w:r>
        <w:rPr>
          <w:rStyle w:val="FootnoteReference"/>
        </w:rPr>
        <w:footnoteRef/>
      </w:r>
      <w:r>
        <w:tab/>
        <w:t>Dessa ytterligare medel finansieras genom den samlade marginalen för åtaganden inom marginalen för den fleråriga budgetramen för 2014–2020.</w:t>
      </w:r>
    </w:p>
  </w:footnote>
  <w:footnote w:id="14">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15">
    <w:p>
      <w:pPr>
        <w:pStyle w:val="FootnoteText"/>
        <w:rPr>
          <w:szCs w:val="24"/>
        </w:rPr>
      </w:pPr>
      <w:r>
        <w:rPr>
          <w:rStyle w:val="FootnoteReference"/>
        </w:rPr>
        <w:footnoteRef/>
      </w:r>
      <w:r>
        <w:tab/>
        <w:t>Med år n avses det år då förslaget eller initiativet ska börja genomföras.</w:t>
      </w:r>
    </w:p>
  </w:footnote>
  <w:footnote w:id="16">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17">
    <w:p>
      <w:pPr>
        <w:pStyle w:val="FootnoteText"/>
        <w:rPr>
          <w:szCs w:val="24"/>
        </w:rPr>
      </w:pPr>
      <w:r>
        <w:rPr>
          <w:rStyle w:val="FootnoteReference"/>
        </w:rPr>
        <w:footnoteRef/>
      </w:r>
      <w:r>
        <w:tab/>
        <w:t xml:space="preserve">Mål som redovisats under punkt 1.4.2: ”Specifikt/specifika mål…”. </w:t>
      </w:r>
    </w:p>
  </w:footnote>
  <w:footnote w:id="18">
    <w:p>
      <w:pPr>
        <w:pStyle w:val="FootnoteText"/>
        <w:rPr>
          <w:szCs w:val="24"/>
        </w:rPr>
      </w:pPr>
      <w:r>
        <w:rPr>
          <w:rStyle w:val="FootnoteReference"/>
        </w:rPr>
        <w:footnoteRef/>
      </w:r>
      <w:r>
        <w:tab/>
        <w:t>Med år n avses det år då förslaget eller initiativet ska börja genomföras.</w:t>
      </w:r>
    </w:p>
  </w:footnote>
  <w:footnote w:id="19">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0">
    <w:p>
      <w:pPr>
        <w:pStyle w:val="FootnoteText"/>
        <w:rPr>
          <w:szCs w:val="24"/>
        </w:rPr>
      </w:pPr>
      <w:r>
        <w:rPr>
          <w:rStyle w:val="FootnoteReference"/>
        </w:rPr>
        <w:footnoteRef/>
      </w:r>
      <w:r>
        <w:tab/>
        <w:t xml:space="preserve">[Denna fotnot förklarar vissa initialförkortningar som inte används i den svenska versionen.] </w:t>
      </w:r>
    </w:p>
  </w:footnote>
  <w:footnote w:id="21">
    <w:p>
      <w:pPr>
        <w:pStyle w:val="FootnoteText"/>
        <w:rPr>
          <w:szCs w:val="24"/>
        </w:rPr>
      </w:pPr>
      <w:r>
        <w:rPr>
          <w:rStyle w:val="FootnoteReference"/>
        </w:rPr>
        <w:footnoteRef/>
      </w:r>
      <w:r>
        <w:tab/>
        <w:t>Särskilt tak för finansiering av extern personal genom driftsanslag (tidigare s.k. BA-poster).</w:t>
      </w:r>
    </w:p>
  </w:footnote>
  <w:footnote w:id="22">
    <w:p>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 w:numId="30">
    <w:abstractNumId w:val="22"/>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20"/>
  </w:num>
  <w:num w:numId="40">
    <w:abstractNumId w:val="21"/>
  </w:num>
  <w:num w:numId="41">
    <w:abstractNumId w:val="11"/>
  </w:num>
  <w:num w:numId="42">
    <w:abstractNumId w:val="19"/>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6 09:35: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F7BCFA-6C98-460E-9A7F-0633BC54A5F0"/>
    <w:docVar w:name="LW_COVERPAGE_TYPE" w:val="1"/>
    <w:docVar w:name="LW_CROSSREFERENCE" w:val="&lt;UNUSED&gt;"/>
    <w:docVar w:name="LW_DocType" w:val="COM"/>
    <w:docVar w:name="LW_EMISSION" w:val="1.2.2019"/>
    <w:docVar w:name="LW_EMISSION_ISODATE" w:val="2019-02-01"/>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27"/>
    <w:docVar w:name="LW_REF.II.NEW.CP_YEAR" w:val="2019"/>
    <w:docVar w:name="LW_REF.INST.NEW" w:val="COM"/>
    <w:docVar w:name="LW_REF.INST.NEW_ADOPTED" w:val="final"/>
    <w:docVar w:name="LW_REF.INST.NEW_TEXT" w:val="(2019) 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förordning (EU) nr 1303/2013 vad gäller medlen för den särskilda tilldelningen för sysselsättningsinitiativet för unga"/>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53">
      <w:bodyDiv w:val="1"/>
      <w:marLeft w:val="0"/>
      <w:marRight w:val="0"/>
      <w:marTop w:val="0"/>
      <w:marBottom w:val="0"/>
      <w:divBdr>
        <w:top w:val="none" w:sz="0" w:space="0" w:color="auto"/>
        <w:left w:val="none" w:sz="0" w:space="0" w:color="auto"/>
        <w:bottom w:val="none" w:sz="0" w:space="0" w:color="auto"/>
        <w:right w:val="none" w:sz="0" w:space="0" w:color="auto"/>
      </w:divBdr>
    </w:div>
    <w:div w:id="293368241">
      <w:bodyDiv w:val="1"/>
      <w:marLeft w:val="0"/>
      <w:marRight w:val="0"/>
      <w:marTop w:val="0"/>
      <w:marBottom w:val="0"/>
      <w:divBdr>
        <w:top w:val="none" w:sz="0" w:space="0" w:color="auto"/>
        <w:left w:val="none" w:sz="0" w:space="0" w:color="auto"/>
        <w:bottom w:val="none" w:sz="0" w:space="0" w:color="auto"/>
        <w:right w:val="none" w:sz="0" w:space="0" w:color="auto"/>
      </w:divBdr>
    </w:div>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 w:id="1204438961">
      <w:bodyDiv w:val="1"/>
      <w:marLeft w:val="0"/>
      <w:marRight w:val="0"/>
      <w:marTop w:val="0"/>
      <w:marBottom w:val="0"/>
      <w:divBdr>
        <w:top w:val="none" w:sz="0" w:space="0" w:color="auto"/>
        <w:left w:val="none" w:sz="0" w:space="0" w:color="auto"/>
        <w:bottom w:val="none" w:sz="0" w:space="0" w:color="auto"/>
        <w:right w:val="none" w:sz="0" w:space="0" w:color="auto"/>
      </w:divBdr>
      <w:divsChild>
        <w:div w:id="912544142">
          <w:marLeft w:val="0"/>
          <w:marRight w:val="0"/>
          <w:marTop w:val="0"/>
          <w:marBottom w:val="0"/>
          <w:divBdr>
            <w:top w:val="none" w:sz="0" w:space="0" w:color="auto"/>
            <w:left w:val="none" w:sz="0" w:space="0" w:color="auto"/>
            <w:bottom w:val="none" w:sz="0" w:space="0" w:color="auto"/>
            <w:right w:val="none" w:sz="0" w:space="0" w:color="auto"/>
          </w:divBdr>
          <w:divsChild>
            <w:div w:id="1370688718">
              <w:marLeft w:val="0"/>
              <w:marRight w:val="0"/>
              <w:marTop w:val="0"/>
              <w:marBottom w:val="0"/>
              <w:divBdr>
                <w:top w:val="none" w:sz="0" w:space="0" w:color="auto"/>
                <w:left w:val="none" w:sz="0" w:space="0" w:color="auto"/>
                <w:bottom w:val="none" w:sz="0" w:space="0" w:color="auto"/>
                <w:right w:val="none" w:sz="0" w:space="0" w:color="auto"/>
              </w:divBdr>
              <w:divsChild>
                <w:div w:id="1549755144">
                  <w:marLeft w:val="0"/>
                  <w:marRight w:val="0"/>
                  <w:marTop w:val="0"/>
                  <w:marBottom w:val="0"/>
                  <w:divBdr>
                    <w:top w:val="none" w:sz="0" w:space="0" w:color="auto"/>
                    <w:left w:val="none" w:sz="0" w:space="0" w:color="auto"/>
                    <w:bottom w:val="none" w:sz="0" w:space="0" w:color="auto"/>
                    <w:right w:val="none" w:sz="0" w:space="0" w:color="auto"/>
                  </w:divBdr>
                  <w:divsChild>
                    <w:div w:id="1016152875">
                      <w:marLeft w:val="-150"/>
                      <w:marRight w:val="-150"/>
                      <w:marTop w:val="0"/>
                      <w:marBottom w:val="0"/>
                      <w:divBdr>
                        <w:top w:val="none" w:sz="0" w:space="0" w:color="auto"/>
                        <w:left w:val="none" w:sz="0" w:space="0" w:color="auto"/>
                        <w:bottom w:val="none" w:sz="0" w:space="0" w:color="auto"/>
                        <w:right w:val="none" w:sz="0" w:space="0" w:color="auto"/>
                      </w:divBdr>
                      <w:divsChild>
                        <w:div w:id="1481651345">
                          <w:marLeft w:val="0"/>
                          <w:marRight w:val="0"/>
                          <w:marTop w:val="0"/>
                          <w:marBottom w:val="0"/>
                          <w:divBdr>
                            <w:top w:val="none" w:sz="0" w:space="0" w:color="auto"/>
                            <w:left w:val="none" w:sz="0" w:space="0" w:color="auto"/>
                            <w:bottom w:val="none" w:sz="0" w:space="0" w:color="auto"/>
                            <w:right w:val="none" w:sz="0" w:space="0" w:color="auto"/>
                          </w:divBdr>
                          <w:divsChild>
                            <w:div w:id="887644923">
                              <w:marLeft w:val="0"/>
                              <w:marRight w:val="0"/>
                              <w:marTop w:val="0"/>
                              <w:marBottom w:val="0"/>
                              <w:divBdr>
                                <w:top w:val="none" w:sz="0" w:space="0" w:color="auto"/>
                                <w:left w:val="none" w:sz="0" w:space="0" w:color="auto"/>
                                <w:bottom w:val="none" w:sz="0" w:space="0" w:color="auto"/>
                                <w:right w:val="none" w:sz="0" w:space="0" w:color="auto"/>
                              </w:divBdr>
                              <w:divsChild>
                                <w:div w:id="668337294">
                                  <w:marLeft w:val="0"/>
                                  <w:marRight w:val="0"/>
                                  <w:marTop w:val="0"/>
                                  <w:marBottom w:val="300"/>
                                  <w:divBdr>
                                    <w:top w:val="none" w:sz="0" w:space="0" w:color="auto"/>
                                    <w:left w:val="none" w:sz="0" w:space="0" w:color="auto"/>
                                    <w:bottom w:val="none" w:sz="0" w:space="0" w:color="auto"/>
                                    <w:right w:val="none" w:sz="0" w:space="0" w:color="auto"/>
                                  </w:divBdr>
                                  <w:divsChild>
                                    <w:div w:id="2065831939">
                                      <w:marLeft w:val="0"/>
                                      <w:marRight w:val="0"/>
                                      <w:marTop w:val="0"/>
                                      <w:marBottom w:val="0"/>
                                      <w:divBdr>
                                        <w:top w:val="none" w:sz="0" w:space="0" w:color="auto"/>
                                        <w:left w:val="none" w:sz="0" w:space="0" w:color="auto"/>
                                        <w:bottom w:val="none" w:sz="0" w:space="0" w:color="auto"/>
                                        <w:right w:val="none" w:sz="0" w:space="0" w:color="auto"/>
                                      </w:divBdr>
                                      <w:divsChild>
                                        <w:div w:id="832111539">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15141">
      <w:bodyDiv w:val="1"/>
      <w:marLeft w:val="0"/>
      <w:marRight w:val="0"/>
      <w:marTop w:val="0"/>
      <w:marBottom w:val="0"/>
      <w:divBdr>
        <w:top w:val="none" w:sz="0" w:space="0" w:color="auto"/>
        <w:left w:val="none" w:sz="0" w:space="0" w:color="auto"/>
        <w:bottom w:val="none" w:sz="0" w:space="0" w:color="auto"/>
        <w:right w:val="none" w:sz="0" w:space="0" w:color="auto"/>
      </w:divBdr>
    </w:div>
    <w:div w:id="17631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0B09-450E-4BF7-8A45-AC0B0D67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22</Pages>
  <Words>3500</Words>
  <Characters>22195</Characters>
  <Application>Microsoft Office Word</Application>
  <DocSecurity>0</DocSecurity>
  <Lines>1479</Lines>
  <Paragraphs>535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2019-01-15T13:07:00Z</cp:lastPrinted>
  <dcterms:created xsi:type="dcterms:W3CDTF">2019-02-05T13:07:00Z</dcterms:created>
  <dcterms:modified xsi:type="dcterms:W3CDTF">2019-02-06T08:35:00Z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