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82CB2131-1539-423E-A8B4-F205CD23C92E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indokai és céljai</w:t>
      </w:r>
    </w:p>
    <w:p>
      <w:pPr>
        <w:rPr>
          <w:b/>
          <w:noProof/>
        </w:rPr>
      </w:pPr>
      <w:r>
        <w:rPr>
          <w:noProof/>
        </w:rPr>
        <w:t>A javaslat célja, hogy kiigazítsa az 1303/2013/EU rendelet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91. cikkének (1) bekezdésében meghatározott, a gazdasági, társadalmi és területi kohéziót szolgáló források összegét, a rendelet 92. cikkének (5) bekezdésében meghatározott, az ifjúsági foglalkoztatási kezdeményezésre (IFK) elkülönített egyedi forrás összegét, valamint a kötelezettségvállalási előirányzatoknak a rendelet VI. mellékletében szereplő éves bontását, hogy azok tükrözzék az ifjúsági foglalkoztatási kezdeményezés forrásainak megnövekedését a 2019-re elfogadott költségvetésnek megfelelően. Ezen belül az ifjúsági foglalkoztatási kezdeményezésre elkülönített kötelezettségvállalási előirányzatokat folyó áron 116,7 millió EUR-val növelni kell, így a 2019. évi teljes összeg 350 millió EUR-t tesz ki. </w:t>
      </w:r>
    </w:p>
    <w:p>
      <w:pPr>
        <w:rPr>
          <w:b/>
          <w:noProof/>
        </w:rPr>
      </w:pPr>
      <w:r>
        <w:rPr>
          <w:noProof/>
        </w:rPr>
        <w:t>Ezenkívül az ifjúsági foglalkoztatási kezdeményezésre elkülönített források megnövelésével kapcsolatos múltbeli tapasztalatokat figyelembe véve, aminek következtében a programokat jelentősen módosítani kellett ahhoz, hogy az Európai Szociális Alapból (ESZA) nyújtott összegek megegyezzenek az ifjúsági foglalkoztatási kezdeményezésre elkülönített forrásból nyújtott támogatás szintjével, az EU társjogalkotói felkérték a Bizottságot arra, hogy javasoljon olyan könnyítő intézkedéseket, amelyek biztosítják az ifjúsági foglalkoztatási kezdeményezés 2019-es további forrásainak gyors programozását, hogy a 2014-2020-as operatív programok teljes végrehajtása ne ütközzön akadályokba. Ezért a javaslat e felkérés megválaszolására releváns rendelkezéseket vezet be.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 szabályozási terület jelenlegi rendelkezéseivel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Ez a javaslat a 2019. évi uniós költségvetés eredménye.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az Unió egyéb szakpolitikáival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 javaslat összhangban van az Európai Bizottság által elfogadott más javaslatokkal és kezdeményezésekkel.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felülvizsgálat a 2019. évi uniós költségvetésben az ifjúsági foglalkoztatási kezdeményezésre elkülönített források megnövekedését tükrözi.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Szubszidiaritás (nem kizárólagos hatáskör esetén)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javaslat megfelel a szubszidiaritás elvének.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Arányosság</w:t>
      </w:r>
    </w:p>
    <w:p>
      <w:pPr>
        <w:rPr>
          <w:noProof/>
        </w:rPr>
      </w:pPr>
      <w:r>
        <w:rPr>
          <w:noProof/>
        </w:rPr>
        <w:t>A javaslat arányos. Tartalmazza az ifjúsági foglalkoztatási kezdeményezésre elkülönített forrásokat megemelő 2019-es költségvetés elfogadása után szükséges technikai kiigazításokat. Ezenkívül a költségvetési hatóság kérésére a programozás megkönnyítése és a megnövekedett források zökkenőmentes végrehajtása érdekében, bevezeti a tagállamok azon lehetőségét, hogy a kiegészítő források egy részét a kapcsolódó ESZA-támogatáshoz csoportosítsák át.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jogi aktus típusának megválasztása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Javasolt aktus: a jelenlegi rendelet módosítása.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Bizottság megvizsgálta a jogi keret által biztosított mozgásteret, és módosítások előterjesztését tartja szükségesnek az 1303/2013/EU rendelet vonatkozásában.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jelenleg hatályban lévő jogszabályok utólagos értékelése / célravezetőségi vizsgálata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 javaslat sajátos körülményeire tekintettel, a jelenleg hatályban lévő jogszabályok utólagos értékelésére vagy célravezetőségi vizsgálatára nem került sor.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Az érdekelt felekkel folytatott konzultációk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 javaslat sajátos körülményeire tekintettel, külső érdekelt felekkel nem került sor konzultációra.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Szakértői vélemények beszerzése és felhasználása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Külső szakértők bevonására nem volt szükség.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Hatásvizsgálat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Tárgytalan.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Célravezető szabályozás és egyszerűsítés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kezdeményezés nem része a célravezető és hatásos szabályozás (REFIT) programnak.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Alapjogok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javaslat nem érinti az alapjogok védelmét.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Az ifjúsági foglalkoztatási kezdeményezésre 2019-re elkülönített kötelezettségvállalási előirányzatokat 116,7 millió EUR-val meg kell emelni, folyó áron 350 millió EUR-ra.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javasolt módosítás nem eredményezhet további kifizetési előirányzatokat 2019-ben. 2020-ra a költségvetési vonzatok várhatóan azon tovább kifizetési előirányzatokra fognak korlátozódni, amelyek az ifjúsági foglalkoztatási kezdeményezések forrásainak megemelkedett éves előfinanszírozását fedezik.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Végrehajtási tervek, valamint a nyomon követés, az értékelés és a jelentéstétel szabályai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Tárgytalan.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Magyarázó dokumentumok (irányelvek esetén)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javaslat egyes rendelkezéseinek részletes magyarázata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javaslat célja, hogy kiigazítsa az 1303/2013/EU rendelet 91. cikkének (1) bekezdésében meghatározott, a gazdasági, társadalmi és területi kohéziót szolgáló források összegét, a rendelet 92. cikkének (5) bekezdésében meghatározott, az ifjúsági foglalkoztatási kezdeményezésre (IFK) elkülönített egyedi forrás összegét, valamint a kötelezettségvállalási előirányzatoknak a rendelet VI. mellékletében szereplő éves bontását annak érdekében, hogy azok az ifjúsági foglalkoztatási kezdeményezésre elkülönített kiegészítő forrásokat is magukba foglalják. Ezért a 2019-re vonatkozóan elfogadott költségvetésnek megfelelően az ifjúsági foglalkoztatási kezdeményezésre elkülönített kötelezettségvállalási előirányzatokat folyó áron 116,7 millió EUR-val kell megemelni, így a 2019. évi teljes összeg folyó áron 350 millió EUR-t tesz ki.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javaslat olyan rendelkezéseket is bevezet, amelyek megkönnyítik a kiegészítő források programozását a tagállamok számára. A 2014–2020-as operatív programok fokozott végrehajtásának köszönhetően és tekintettel azon jogi követelményre, hogy az ifjúsági foglalkoztatási kezdeményezés számára elkülönített forrásoknak megfelelő mértékű kapcsolódó ESZA-támogatást kell biztosítani, meg kell akadályozni a más szakpolitikai területeken és az ifjúsági foglalkoztatási kezdeményezésen kívüli intézkedésekhez nyújtott ESZA-támogatás esetleges csökkentését. Ezért a javaslat a rendelet 92. cikkének (5) bekezdését egy második albekezdéssel egészíti ki, amely lehetővé teszi a tagállamok számára, hogy az ifjúsági foglalkoztatási kezdeményezés kiegészítő forrásainak legfeljebb 50 %-át átcsoportosítsák az ESZA-hoz, hogy ezáltal létrehozzák az 1304/2013/EU rendelet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 22. cikkében előírtak kapcsolódó célzott ESZA-beruházást.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2019/0027 (COD)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AZ EURÓPAI PARLAMENT ÉS A TANÁCS RENDELETE</w:t>
      </w:r>
    </w:p>
    <w:p>
      <w:pPr>
        <w:pStyle w:val="Titreobjet"/>
        <w:rPr>
          <w:noProof/>
        </w:rPr>
      </w:pPr>
      <w:r>
        <w:rPr>
          <w:noProof/>
        </w:rPr>
        <w:t>az 1303/2013/EU rendeletnek az ifjúsági foglalkoztatási kezdeményezés számára elkülönített források tekintetében történő módosításáról</w:t>
      </w:r>
    </w:p>
    <w:p>
      <w:pPr>
        <w:pStyle w:val="Institutionquiagit"/>
        <w:rPr>
          <w:noProof/>
          <w:szCs w:val="24"/>
        </w:rPr>
      </w:pPr>
      <w:r>
        <w:rPr>
          <w:noProof/>
        </w:rPr>
        <w:t>AZ EURÓPAI PARLAMENT ÉS AZ EURÓPAI UNIÓ TANÁCSA,</w:t>
      </w:r>
    </w:p>
    <w:p>
      <w:pPr>
        <w:rPr>
          <w:noProof/>
          <w:szCs w:val="24"/>
        </w:rPr>
      </w:pPr>
      <w:r>
        <w:rPr>
          <w:noProof/>
        </w:rPr>
        <w:t xml:space="preserve">tekintettel az Európai Unió működéséről szóló szerződésre és különösen annak 177. cikkére, </w:t>
      </w:r>
    </w:p>
    <w:p>
      <w:pPr>
        <w:rPr>
          <w:noProof/>
          <w:szCs w:val="24"/>
        </w:rPr>
      </w:pPr>
      <w:r>
        <w:rPr>
          <w:noProof/>
        </w:rPr>
        <w:t>tekintettel az Európai Bizottság javaslatára,</w:t>
      </w:r>
    </w:p>
    <w:p>
      <w:pPr>
        <w:rPr>
          <w:noProof/>
          <w:szCs w:val="24"/>
        </w:rPr>
      </w:pPr>
      <w:r>
        <w:rPr>
          <w:noProof/>
        </w:rPr>
        <w:t>a jogalkotási aktus tervezete nemzeti parlamenteknek való megküldését követően,</w:t>
      </w:r>
    </w:p>
    <w:p>
      <w:pPr>
        <w:rPr>
          <w:noProof/>
          <w:szCs w:val="24"/>
        </w:rPr>
      </w:pPr>
      <w:r>
        <w:rPr>
          <w:noProof/>
        </w:rPr>
        <w:t>tekintettel az Európai Gazdasági és Szociális Bizottság véleményére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>
      <w:pPr>
        <w:rPr>
          <w:noProof/>
          <w:szCs w:val="24"/>
        </w:rPr>
      </w:pPr>
      <w:r>
        <w:rPr>
          <w:noProof/>
        </w:rPr>
        <w:t>tekintettel a Régiók Bizottságának véleményére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  <w:szCs w:val="24"/>
        </w:rPr>
      </w:pPr>
      <w:r>
        <w:rPr>
          <w:noProof/>
        </w:rPr>
        <w:t>rendes jogalkotási eljárás keretében,</w:t>
      </w:r>
    </w:p>
    <w:p>
      <w:pPr>
        <w:rPr>
          <w:noProof/>
          <w:szCs w:val="24"/>
        </w:rPr>
      </w:pPr>
      <w:r>
        <w:rPr>
          <w:noProof/>
        </w:rPr>
        <w:t>mivel: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Az 1303/2013/EU európai parlamenti és tanácsi rendelet megállapítja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az európai strukturális és beruházási alapokra vonatkozó közös és általános szabályokat. 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Az Európai Unió 2019-es pénzügyi évre vonatkozó általános költségvetése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módosította az ifjúsági foglalkoztatási kezdeményezés forrásainak teljes összegét azáltal, hogy a szóban forgó kezdeményezésre elkülönített kötelezettségvállalási előirányzatokat folyó árakon 116,7 millió EUR-val megnövelte az ifjúsági foglalkoztatási kezdeményezés 2019-re elkülönített kötelezettségvállalási előirányzatainak teljes összegét folyó árakon 4 527 882 072 EUR-ra emelte. 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2019-re a 2011. évi árakon számított 99 573 877 EUR összegű kiegészítő forrást a kötelezettségvállalásokra vonatkozó összesített tartalék fedezi a 2014–2020 közötti időszakra vonatkozó többéves pénzügyi keret keretösszegén belül.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Mivel a 2014–2020-as programozási időszak operatív programjainak végrehajtása előrehaladott szakaszban van, helyénvaló különleges intézkedéseket megállapítani az ifjúsági foglalkoztatási kezdeményezés végrehajtásának megkönnyítésére.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Mivel sürgősen módosítani kell az ifjúsági foglalkoztatási kezdeményezést támogató programokat, hogy azok még 2019 vége előtt tartalmazzák az ifjúsági foglalkoztatási kezdeményezésre elkülönített forrásokat, e rendeletnek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napon hatályba kell lépnie.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Az 1303/2013/EU rendeletet ezért ennek megfelelően módosítani kell.</w:t>
      </w:r>
    </w:p>
    <w:p>
      <w:pPr>
        <w:pStyle w:val="Formuledadoption"/>
        <w:rPr>
          <w:noProof/>
        </w:rPr>
      </w:pPr>
      <w:r>
        <w:rPr>
          <w:noProof/>
        </w:rPr>
        <w:t>ELFOGADTA EZT A RENDELETET: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1303/2013/EU rendelet a következőképpen módosul: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A 91. cikk (1) bekezdése helyébe a következő szöveg lép:</w:t>
      </w:r>
    </w:p>
    <w:p>
      <w:pPr>
        <w:pStyle w:val="Text1"/>
        <w:rPr>
          <w:noProof/>
        </w:rPr>
      </w:pPr>
      <w:r>
        <w:rPr>
          <w:noProof/>
        </w:rPr>
        <w:t>„(1) A 2014–2020 közötti időszak vonatkozásában a költségvetési kötelezettségvállalások tekintetében rendelkezésre álló gazdasági, társadalmi és területi kohéziós célú források összege 2011-es árakon 330 081 919 243 EUR a VI. mellékletben feltüntetett éves bontásban; ebből 325 938 694 233 EUR az ERFA, az ESZA és a Kohéziós Alap részére elkülönített globális forrás, 4 143 225 010 EUR pedig az ifjúsági foglalkoztatási kezdeményezésre elkülönített egyedi forrás. A programozás és az Unió költségvetésébe történő későbbi belefoglalás céljából a gazdasági, társadalmi és a területi kohéziót szolgáló források összegének évi 2 %-os indexálására kerül sor.”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A 92. cikk (5) bekezdése helyébe a következő szöveg lép:</w:t>
      </w:r>
    </w:p>
    <w:p>
      <w:pPr>
        <w:pStyle w:val="Text1"/>
        <w:rPr>
          <w:noProof/>
        </w:rPr>
      </w:pPr>
      <w:r>
        <w:rPr>
          <w:noProof/>
        </w:rPr>
        <w:t xml:space="preserve">„(5) Az ifjúsági foglalkoztatási kezdeményezés forrásai 4 143 225 010 EUR-t tesznek ki az ifjúsági foglalkoztatási kezdeményezésre elkülönített forrásból, amelyből 99 573 877 EUR a 2019. évre vonatkozó kiegészítő forrás. Ezt caz 1304/2013/EU rendelet 22. cikkével összhangban célzott ESZA-beruházással kell kiegészíteni. </w:t>
      </w:r>
    </w:p>
    <w:p>
      <w:pPr>
        <w:pStyle w:val="Text1"/>
        <w:rPr>
          <w:noProof/>
        </w:rPr>
      </w:pPr>
      <w:r>
        <w:rPr>
          <w:noProof/>
        </w:rPr>
        <w:t>Azok a tagállamok, amelyek az első albekezdésben említettek szerint az ifjúsági foglalkoztatási kezdeményezés egyedi allokációjának 2019-es kiegészítő forrásaiból részesülnek, az ifjúsági foglalkoztatási kezdeményezés kiegészítő forrásainak legfeljebb 50 %ának az ESZA-hoz való átcsoportosítását kérelmezhetik annak érdekében, hogy létrehozzák az 1304/2013/EU rendelet 22. cikkében előírt kapcsolódó célzott ESZA-beruházást. Ezt az átcsoportosítást az ifjúsági foglalkoztatási kezdeményezés egyedi allokációjának megemelésére jogosult régiók osztályozásának megfelelő régiókategóriák számára kell teljesíteni. A tagállamok az említett rendelet 30. cikkének (1) bekezdése szerinti program-módosítási kérelmekben kérhetik az átcsoportosítást. A korábbi évekre elkülönített források nem csoportosíthatók át.</w:t>
      </w:r>
    </w:p>
    <w:p>
      <w:pPr>
        <w:pStyle w:val="Text1"/>
        <w:rPr>
          <w:noProof/>
        </w:rPr>
      </w:pPr>
      <w:r>
        <w:rPr>
          <w:noProof/>
        </w:rPr>
        <w:t>A második albekezdést az ifjúsági foglalkoztatási kezdeményezésre allokált egyedi források minden olyan kiegészítő forrására alkalmazni kell, amely 4 043 651 133 EUR felé emeli a forrásokat.”;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A VI. melléklet helyébe e rendelet mellékletének szövege lép.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 xml:space="preserve">Ez a rendelet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napon lép hatályba.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Ez a rendelet teljes egészében kötelező és közvetlenül alkalmazandó valamennyi tagállamban.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>az Európai Parlament részéről</w:t>
      </w: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>az elnök</w:t>
      </w:r>
      <w:r>
        <w:rPr>
          <w:noProof/>
        </w:rPr>
        <w:tab/>
        <w:t>az elnök</w:t>
      </w:r>
    </w:p>
    <w:p>
      <w:pPr>
        <w:pStyle w:val="Fichefinanciretitre"/>
        <w:rPr>
          <w:noProof/>
        </w:rPr>
      </w:pPr>
      <w:r>
        <w:rPr>
          <w:noProof/>
        </w:rPr>
        <w:br w:type="page"/>
        <w:t xml:space="preserve">PÉNZÜGYI KIMUTATÁS 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JAVASLAT/KEZDEMÉNYEZÉS FŐBB ADATAI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A javaslat/kezdeményezés címe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A tevékenységalapú irányítás / tevékenységalapú költségvetés-tervezés keretébe tartozó érintett szakpolitikai terület(ek)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A javaslat/kezdeményezés típusa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Célkitűzés(ek)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A javaslat/kezdeményezés indoklása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A javaslat/kezdeményezés időtartama és pénzügyi hatása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Tervezett irányítási módszer(ek)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IRÁNYÍTÁSI INTÉZKEDÉSEK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A nyomon követésre és a jelentéstételre vonatkozó rendelkezések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Irányítási és kontrollrendszer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A csalások és a szabálytalanságok megelőzésére vonatkozó intézkedések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A JAVASLAT/KEZDEMÉNYEZÉS BECSÜLT PÉNZÜGYI HATÁSA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A többéves pénzügyi keret érintett fejezete/fejezetei és a költségvetés érintett kiadási sora/sorai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A kiadásokra gyakorolt becsült hatás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A kiadásokra gyakorolt becsült hatás összefoglalása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Az operatív előirányzatokra gyakorolt becsült hatás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Az igazgatási előirányzatokra gyakorolt becsült hatás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A jelenlegi többéves pénzügyi kerettel való összeegyeztethetőség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Harmadik felek részvétele a finanszírozásban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A bevételre gyakorolt becsült hatás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PÉNZÜGYI KIMUTATÁS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JAVASLAT/KEZDEMÉNYEZÉS FŐBB ADATAI 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A javaslat/kezdeményezés címe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 1303/2013/EU rendeletnek az ifjúsági foglalkoztatási kezdeményezésre elkülönített források tekintetében történő módosításáról szóló európai parlamenti és tanácsi rendeletre irányuló javaslat</w:t>
      </w:r>
    </w:p>
    <w:p>
      <w:pPr>
        <w:pStyle w:val="ManualHeading2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>A tevékenységalapú irányítás / tevékenységalapú költségvetés-tervezés keretébe tartozó érintett szakpolitikai terület(ek)</w:t>
      </w:r>
      <w:r>
        <w:rPr>
          <w:rStyle w:val="FootnoteReference"/>
          <w:noProof/>
        </w:rPr>
        <w:footnoteReference w:id="7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2"/>
        </w:rPr>
      </w:pPr>
      <w:r>
        <w:rPr>
          <w:noProof/>
          <w:sz w:val="22"/>
        </w:rPr>
        <w:t>4 – Foglalkoztatás, szociális ügyek és társadalmi befogadás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2"/>
        </w:rPr>
      </w:pPr>
      <w:r>
        <w:rPr>
          <w:noProof/>
          <w:sz w:val="22"/>
        </w:rPr>
        <w:t>04 02 64 – Ifjúsági foglalkoztatási kezdeményezés (YEI)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1.3.</w:t>
      </w:r>
      <w:r>
        <w:rPr>
          <w:noProof/>
        </w:rPr>
        <w:tab/>
        <w:t xml:space="preserve">A javaslat/kezdeményezés típusa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új intézkedésre</w:t>
      </w:r>
      <w:r>
        <w:rPr>
          <w:noProof/>
        </w:rPr>
        <w:t xml:space="preserve"> irányul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kísérleti projektet / előkészítő intézkedést követő új intézkedésre</w:t>
      </w:r>
      <w:r>
        <w:rPr>
          <w:rStyle w:val="FootnoteReference"/>
          <w:b/>
          <w:noProof/>
        </w:rPr>
        <w:footnoteReference w:id="8"/>
      </w:r>
      <w:r>
        <w:rPr>
          <w:noProof/>
        </w:rPr>
        <w:t xml:space="preserve"> irányul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7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jelenlegi intézkedés meghosszabbítására</w:t>
      </w:r>
      <w:r>
        <w:rPr>
          <w:noProof/>
        </w:rPr>
        <w:t xml:space="preserve"> irányul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új intézkedésnek megfelelően módosított intézkedésre</w:t>
      </w:r>
      <w:r>
        <w:rPr>
          <w:noProof/>
        </w:rPr>
        <w:t xml:space="preserve"> irányul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1.4.</w:t>
      </w:r>
      <w:r>
        <w:rPr>
          <w:noProof/>
        </w:rPr>
        <w:tab/>
        <w:t>Célkitűzés(ek)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 xml:space="preserve">A javaslat/kezdeményezés által érintett többéves bizottsági stratégiai célkitűzés(ek)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1.4.2.</w:t>
      </w:r>
      <w:r>
        <w:rPr>
          <w:noProof/>
        </w:rPr>
        <w:tab/>
        <w:t xml:space="preserve">Konkrét célkitűzés(ek) és a tevékenységalapú irányítás / tevékenységalapú költségvetés-tervezés keretébe tartozó érintett tevékenység(ek)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… sz. konkrét célkitűzés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A tevékenységalapú irányítás / tevékenységalapú költségvetés-tervezés keretébe tartozó érintett tevékenység(ek)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1.4.3.</w:t>
      </w:r>
      <w:r>
        <w:rPr>
          <w:noProof/>
        </w:rPr>
        <w:tab/>
        <w:t>Várható eredmény(ek) és hatás(ok)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Tüntesse fel, milyen hatásokat gyakorolhat a javaslat/kezdeményezés a kedvezményezettekre/célcsoportokra.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1.4.4.</w:t>
      </w:r>
      <w:r>
        <w:rPr>
          <w:noProof/>
        </w:rPr>
        <w:tab/>
        <w:t xml:space="preserve">Eredmény- és hatásmutatók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Tüntesse fel a javaslat/kezdeményezés megvalósításának nyomon követését lehetővé tevő mutatókat.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1.5.</w:t>
      </w:r>
      <w:r>
        <w:rPr>
          <w:noProof/>
        </w:rPr>
        <w:tab/>
        <w:t xml:space="preserve">A javaslat/kezdeményezés indoklása </w:t>
      </w:r>
    </w:p>
    <w:p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Rövid vagy hosszú távon kielégítendő szükséglet(ek)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1.5.2.</w:t>
      </w:r>
      <w:r>
        <w:rPr>
          <w:noProof/>
        </w:rPr>
        <w:tab/>
        <w:t>Az uniós részvételből származó hozzáadott érték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1.5.3.</w:t>
      </w:r>
      <w:r>
        <w:rPr>
          <w:noProof/>
        </w:rPr>
        <w:tab/>
        <w:t>Hasonló korábbi tapasztalatok tanulsága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1.5.4.</w:t>
      </w:r>
      <w:r>
        <w:rPr>
          <w:noProof/>
        </w:rPr>
        <w:tab/>
        <w:t>Egyéb megfelelő eszközökkel való összeegyeztethetőség és lehetséges szinergiák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1.6.</w:t>
      </w:r>
      <w:r>
        <w:rPr>
          <w:noProof/>
        </w:rPr>
        <w:tab/>
        <w:t xml:space="preserve">A javaslat/kezdeményezés időtartama és pénzügyi hatása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határozott időtartamra</w:t>
      </w:r>
      <w:r>
        <w:rPr>
          <w:noProof/>
        </w:rPr>
        <w:t xml:space="preserve"> vonatkozik</w:t>
      </w:r>
      <w:r>
        <w:rPr>
          <w:b/>
          <w:noProof/>
        </w:rPr>
        <w:t xml:space="preserve">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A javaslat/kezdeményezés időtartama: 2017. január 1-jétől 2023. december 31-ig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Pénzügyi hatás: 2017-től 2020-ig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határozatlan időtartamra</w:t>
      </w:r>
      <w:r>
        <w:rPr>
          <w:noProof/>
        </w:rPr>
        <w:t xml:space="preserve"> vonatkozik</w:t>
      </w:r>
    </w:p>
    <w:p>
      <w:pPr>
        <w:pStyle w:val="ListDash1"/>
        <w:rPr>
          <w:noProof/>
        </w:rPr>
      </w:pPr>
      <w:r>
        <w:rPr>
          <w:noProof/>
        </w:rPr>
        <w:t>Beindítási időszak: ÉÉÉÉ-tól/-től ÉÉÉÉ-ig</w:t>
      </w:r>
    </w:p>
    <w:p>
      <w:pPr>
        <w:pStyle w:val="ListDash1"/>
        <w:rPr>
          <w:noProof/>
        </w:rPr>
      </w:pPr>
      <w:r>
        <w:rPr>
          <w:noProof/>
        </w:rPr>
        <w:t>azt követően: rendes ütem.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1.7.</w:t>
      </w:r>
      <w:r>
        <w:rPr>
          <w:noProof/>
        </w:rPr>
        <w:tab/>
        <w:t>Tervezett irányítási módszer(ek)</w:t>
      </w:r>
      <w:r>
        <w:rPr>
          <w:rStyle w:val="FootnoteReference"/>
          <w:noProof/>
        </w:rPr>
        <w:footnoteReference w:id="9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noProof/>
        </w:rPr>
        <w:t xml:space="preserve">Bizottság általi </w:t>
      </w:r>
      <w:r>
        <w:rPr>
          <w:b/>
          <w:noProof/>
        </w:rPr>
        <w:t>közvetlen irányítás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Bizottság szervezeti egységein keresztül, ideértve az uniós küldöttségek személyzetét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végrehajtó ügynökségen keresztül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b/>
          <w:noProof/>
        </w:rPr>
        <w:t>Megosztott irányítás</w:t>
      </w:r>
      <w:r>
        <w:rPr>
          <w:noProof/>
        </w:rPr>
        <w:t xml:space="preserve"> a tagállamokkal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Közvetett irányítás</w:t>
      </w:r>
      <w:r>
        <w:rPr>
          <w:noProof/>
        </w:rPr>
        <w:t xml:space="preserve"> a költségvetés végrehajtásával kapcsolatos feladatoknak a következőkre történő átruházásával: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harmadik országok vagy az általuk kijelölt szervek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nemzetközi szervezetek és ügynökségeik (nevezze meg)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az EBB és az Európai Beruházási Alap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költségvetési rendelet 208. és 209. cikkében említett szervek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közjogi szervek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magánjog alapján működő, közfeladatot ellátó szervek, olyan mértékben, amennyiben megfelelő pénzügyi garanciákat nyújtanak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valamely tagállam magánjoga alapján működő, köz- és magánszféra közötti partnerség végrehajtásával megbízott és megfelelő pénzügyi garanciákat nyújtó szervek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az EUSZ V. címének értelmében a KKBP terén konkrét fellépések végrehajtásával megbízott, és a vonatkozó alap-jogiaktusban meghatározott személyek.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Egynél több irányítási módszer feltüntetése esetén kérjük, adjon részletes felvilágosítást a „Megjegyzések” rovatban.</w:t>
      </w:r>
    </w:p>
    <w:p>
      <w:pPr>
        <w:rPr>
          <w:noProof/>
        </w:rPr>
      </w:pPr>
      <w:r>
        <w:rPr>
          <w:noProof/>
        </w:rPr>
        <w:t xml:space="preserve">Megjegyzések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IRÁNYÍTÁSI INTÉZKEDÉSEK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A nyomon követésre és a jelentéstételre vonatkozó rendelkezések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Gyakoriság és feltételek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Irányítási és kontrollrendszer </w:t>
      </w:r>
    </w:p>
    <w:p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 xml:space="preserve">Felismert kockázat(ok)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2.2.2.</w:t>
      </w:r>
      <w:r>
        <w:rPr>
          <w:noProof/>
        </w:rPr>
        <w:tab/>
        <w:t>A létrehozott belső kontrollrendszerrel kapcsolatos információk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3"/>
        <w:rPr>
          <w:noProof/>
        </w:rPr>
      </w:pPr>
      <w:r>
        <w:rPr>
          <w:noProof/>
        </w:rPr>
        <w:t>2.2.3.</w:t>
      </w:r>
      <w:r>
        <w:rPr>
          <w:noProof/>
        </w:rPr>
        <w:tab/>
        <w:t xml:space="preserve">A kontrollok költségeinek és hasznának becslése, a hibakockázat várható szintjének értékelése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2.3.</w:t>
      </w:r>
      <w:r>
        <w:rPr>
          <w:noProof/>
        </w:rPr>
        <w:tab/>
        <w:t xml:space="preserve">A csalások és a szabálytalanságok megelőzésére vonatkozó intézkedések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Tüntesse fel a meglévő vagy tervezett megelőző és védintézkedéseket.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Tárgytalan.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A JAVASLAT/KEZDEMÉNYEZÉS BECSÜLT PÉNZÜGYI HATÁSA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A többéves pénzügyi keret érintett fejezete/fejezetei és a költségvetés érintett kiadási sora/sorai </w:t>
      </w:r>
    </w:p>
    <w:p>
      <w:pPr>
        <w:pStyle w:val="ListBullet1"/>
        <w:rPr>
          <w:noProof/>
        </w:rPr>
      </w:pPr>
      <w:r>
        <w:rPr>
          <w:noProof/>
        </w:rPr>
        <w:t xml:space="preserve">Jelenlegi költségvetési sorok </w:t>
      </w:r>
    </w:p>
    <w:p>
      <w:pPr>
        <w:pStyle w:val="Text1"/>
        <w:rPr>
          <w:noProof/>
        </w:rPr>
      </w:pPr>
      <w:r>
        <w:rPr>
          <w:noProof/>
        </w:rPr>
        <w:t xml:space="preserve">A többéves pénzügyi keret fejezetei, azon belül pedig a költségvetési sorok </w:t>
      </w:r>
      <w:r>
        <w:rPr>
          <w:noProof/>
          <w:u w:val="single"/>
        </w:rPr>
        <w:t>sorrendjében</w:t>
      </w:r>
      <w:r>
        <w:rPr>
          <w:noProof/>
        </w:rPr>
        <w:t>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58"/>
        <w:gridCol w:w="1082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A többéves pénzügyi keret fejezete</w:t>
            </w:r>
          </w:p>
        </w:tc>
        <w:tc>
          <w:tcPr>
            <w:tcW w:w="3958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Költségvetési sor</w:t>
            </w: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Kiadás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18"/>
              </w:rPr>
              <w:t>típusa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Hozzájárulás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58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Szám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[Fejezet………………………...…………]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diff./nem diff.</w:t>
            </w:r>
            <w:r>
              <w:rPr>
                <w:rStyle w:val="FootnoteReference"/>
                <w:noProof/>
                <w:sz w:val="18"/>
              </w:rPr>
              <w:footnoteReference w:id="10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EFTA-országoktól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tagjelölt országoktól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harmadik országoktól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a költségvetési rendelet 21. cikke (2) bekezdésének b) pontja értelmében </w:t>
            </w:r>
          </w:p>
        </w:tc>
      </w:tr>
      <w:tr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1 Intelligens és inkluzív növekedés</w:t>
            </w:r>
          </w:p>
        </w:tc>
        <w:tc>
          <w:tcPr>
            <w:tcW w:w="3958" w:type="dxa"/>
            <w:vAlign w:val="center"/>
          </w:tcPr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 02 60 – Európai Szociális Alap – Kevésbé fejlett régiók – A növekedést és munkahelyteremtést szolgáló beruházások</w:t>
            </w:r>
          </w:p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 02 61 – Európai Szociális Alap – Átmeneti régiók – A növekedést és munkahelyteremtést szolgáló beruházások</w:t>
            </w:r>
          </w:p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 02 62 – Európai Szociális Alap – Fejlettebb régiók – A növekedést és munkahelyteremtést szolgáló beruházások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  <w:sz w:val="22"/>
              </w:rPr>
              <w:t>04 02 64 – Ifjúsági foglalkoztatási kezdeményezés (YEI)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NEM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NEM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NEM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NEM</w:t>
            </w:r>
          </w:p>
        </w:tc>
      </w:tr>
    </w:tbl>
    <w:p>
      <w:pPr>
        <w:rPr>
          <w:noProof/>
        </w:rPr>
      </w:pPr>
    </w:p>
    <w:p>
      <w:pPr>
        <w:pStyle w:val="ListBullet1"/>
        <w:rPr>
          <w:noProof/>
        </w:rPr>
      </w:pPr>
      <w:r>
        <w:rPr>
          <w:noProof/>
        </w:rPr>
        <w:t xml:space="preserve">Létrehozandó új költségvetési sorok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</w:rPr>
        <w:t>A többéves pénzügyi keret fejezetei, azon belül pedig a költségvetési sorok</w:t>
      </w:r>
      <w:r>
        <w:rPr>
          <w:noProof/>
        </w:rPr>
        <w:t xml:space="preserve"> </w:t>
      </w:r>
      <w:r>
        <w:rPr>
          <w:i/>
          <w:noProof/>
          <w:u w:val="single"/>
        </w:rPr>
        <w:t>sorrendjében</w:t>
      </w:r>
      <w:r>
        <w:rPr>
          <w:noProof/>
        </w:rPr>
        <w:t>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 többéves pénzügyi keret fejezete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Költségvetési sor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Kiadás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18"/>
              </w:rPr>
              <w:t>típusa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Hozzájárulás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Szám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[Fejezet……………………………………]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diff./nem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EFTA-országoktól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tagjelölt országoktól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harmadik országoktól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a költségvetési rendelet 21. cikke (2) bekezdésének b) pontja értelmében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IGEN/NEM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IGEN/NEM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IGEN/NEM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IGEN/NEM</w:t>
            </w:r>
          </w:p>
        </w:tc>
      </w:tr>
    </w:tbl>
    <w:p>
      <w:pPr>
        <w:pStyle w:val="Institutionquisigne"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3.2.</w:t>
      </w:r>
      <w:r>
        <w:rPr>
          <w:noProof/>
        </w:rPr>
        <w:tab/>
        <w:t xml:space="preserve">A kiadásokra gyakorolt becsült hatás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ifjúsági foglalkoztatási kezdeményezésre elkülönített 2019. évi kötelezettségvállalási előirányzatokat folyó árakon számolva 116,7 millió EUR-val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növelni kell.  A kifizetési előirányzatok ennek megfelelően kiigazításra kerültek. </w:t>
      </w:r>
    </w:p>
    <w:p>
      <w:pPr>
        <w:pStyle w:val="ManualHeading3"/>
        <w:rPr>
          <w:noProof/>
        </w:rPr>
      </w:pPr>
    </w:p>
    <w:p>
      <w:pPr>
        <w:pStyle w:val="ManualHeading3"/>
        <w:rPr>
          <w:noProof/>
        </w:rPr>
      </w:pPr>
    </w:p>
    <w:p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  <w:t xml:space="preserve">A kiadásokra gyakorolt becsült hatás összefoglalása </w:t>
      </w:r>
    </w:p>
    <w:p>
      <w:pPr>
        <w:spacing w:before="0" w:after="200" w:line="276" w:lineRule="auto"/>
        <w:jc w:val="left"/>
        <w:rPr>
          <w:noProof/>
          <w:sz w:val="20"/>
        </w:rPr>
      </w:pPr>
      <w:r>
        <w:rPr>
          <w:noProof/>
        </w:rPr>
        <w:br w:type="page"/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millió EUR (folyó árak, három tizedesjegyig)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080"/>
        <w:gridCol w:w="7817"/>
      </w:tblGrid>
      <w:tr>
        <w:trPr>
          <w:jc w:val="center"/>
        </w:trPr>
        <w:tc>
          <w:tcPr>
            <w:tcW w:w="5351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A többéves pénzügyi keret fejezete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Szám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1b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Intelligens és inkluzív növekedés</w:t>
            </w:r>
          </w:p>
        </w:tc>
      </w:tr>
    </w:tbl>
    <w:p>
      <w:pPr>
        <w:rPr>
          <w:noProof/>
          <w:sz w:val="16"/>
        </w:rPr>
      </w:pPr>
    </w:p>
    <w:tbl>
      <w:tblPr>
        <w:tblW w:w="14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25"/>
        <w:gridCol w:w="709"/>
        <w:gridCol w:w="708"/>
        <w:gridCol w:w="709"/>
        <w:gridCol w:w="1276"/>
        <w:gridCol w:w="1276"/>
        <w:gridCol w:w="1275"/>
        <w:gridCol w:w="1276"/>
        <w:gridCol w:w="1518"/>
      </w:tblGrid>
      <w:tr>
        <w:tc>
          <w:tcPr>
            <w:tcW w:w="2203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FŐIGAZGATÓSÁG: </w:t>
            </w:r>
            <w:r>
              <w:rPr>
                <w:noProof/>
              </w:rPr>
              <w:t xml:space="preserve">EMPL, REGIO </w:t>
            </w:r>
          </w:p>
        </w:tc>
        <w:tc>
          <w:tcPr>
            <w:tcW w:w="3119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2014</w:t>
            </w:r>
          </w:p>
        </w:tc>
        <w:tc>
          <w:tcPr>
            <w:tcW w:w="70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2018</w:t>
            </w:r>
          </w:p>
        </w:tc>
        <w:tc>
          <w:tcPr>
            <w:tcW w:w="127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ÖSSZESEN</w:t>
            </w:r>
          </w:p>
        </w:tc>
      </w:tr>
      <w:tr>
        <w:trPr>
          <w:trHeight w:val="213"/>
        </w:trPr>
        <w:tc>
          <w:tcPr>
            <w:tcW w:w="5747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Operatív előirányzatok</w:t>
            </w: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2203" w:type="dxa"/>
            <w:vAlign w:val="center"/>
          </w:tcPr>
          <w:p>
            <w:pPr>
              <w:spacing w:before="60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1b: Gazdasági, társadalmi és területi kohézió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21"/>
              </w:rPr>
              <w:t>Európai Regionális Fejlesztési Alap, Európai Szociális Alap, a Kohéziós Alap</w:t>
            </w:r>
          </w:p>
        </w:tc>
        <w:tc>
          <w:tcPr>
            <w:tcW w:w="3119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Kötelezettségvállalási előirányzatok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 02 64 – Ifjúsági foglalkoztatási kezdeményezés (YEI)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116 667 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51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116 667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rPr>
          <w:noProof/>
        </w:rPr>
      </w:pPr>
    </w:p>
    <w:tbl>
      <w:tblPr>
        <w:tblW w:w="14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78"/>
        <w:gridCol w:w="347"/>
        <w:gridCol w:w="709"/>
        <w:gridCol w:w="708"/>
        <w:gridCol w:w="709"/>
        <w:gridCol w:w="1276"/>
        <w:gridCol w:w="1276"/>
        <w:gridCol w:w="1275"/>
        <w:gridCol w:w="1276"/>
        <w:gridCol w:w="1518"/>
      </w:tblGrid>
      <w:tr>
        <w:trPr>
          <w:trHeight w:val="85"/>
        </w:trPr>
        <w:tc>
          <w:tcPr>
            <w:tcW w:w="2203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</w:p>
        </w:tc>
        <w:tc>
          <w:tcPr>
            <w:tcW w:w="3119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Kifizetési előirányzatok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 02 64 – Ifjúsági foglalkoztatási kezdeményezés (YEI)</w:t>
            </w:r>
          </w:p>
          <w:p>
            <w:pPr>
              <w:spacing w:after="60"/>
              <w:rPr>
                <w:noProof/>
                <w:sz w:val="22"/>
              </w:rPr>
            </w:pPr>
          </w:p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3 500</w:t>
            </w:r>
          </w:p>
        </w:tc>
        <w:tc>
          <w:tcPr>
            <w:tcW w:w="151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3 500</w:t>
            </w:r>
          </w:p>
        </w:tc>
      </w:tr>
      <w:tr>
        <w:trPr>
          <w:trHeight w:val="231"/>
        </w:trPr>
        <w:tc>
          <w:tcPr>
            <w:tcW w:w="5747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Bizonyos egyedi programok keretéből finanszírozott igazgatási előirányzatok</w:t>
            </w:r>
            <w:r>
              <w:rPr>
                <w:rStyle w:val="FootnoteReference"/>
                <w:noProof/>
                <w:sz w:val="21"/>
              </w:rPr>
              <w:footnoteReference w:id="14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2203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Tárgytalan.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70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203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Az EMPL, REGIO Főigazgatósághoz tartozó előirányzatok ÖSSZESEN</w:t>
            </w:r>
            <w:r>
              <w:rPr>
                <w:noProof/>
              </w:rPr>
              <w:t xml:space="preserve"> 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116 667 </w:t>
            </w: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51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116 667</w:t>
            </w:r>
          </w:p>
        </w:tc>
      </w:tr>
      <w:tr>
        <w:tc>
          <w:tcPr>
            <w:tcW w:w="2203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3197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+(3)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3 500</w:t>
            </w:r>
          </w:p>
        </w:tc>
        <w:tc>
          <w:tcPr>
            <w:tcW w:w="151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3 500</w:t>
            </w:r>
          </w:p>
        </w:tc>
      </w:tr>
    </w:tbl>
    <w:p>
      <w:pPr>
        <w:rPr>
          <w:noProof/>
          <w:sz w:val="16"/>
        </w:rPr>
      </w:pPr>
    </w:p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347"/>
        <w:gridCol w:w="709"/>
        <w:gridCol w:w="708"/>
        <w:gridCol w:w="709"/>
        <w:gridCol w:w="1276"/>
        <w:gridCol w:w="1276"/>
        <w:gridCol w:w="1275"/>
        <w:gridCol w:w="1276"/>
        <w:gridCol w:w="1448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Operatív előirányzatok ÖSSZESEN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347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116 667 </w:t>
            </w:r>
            <w:r>
              <w:rPr>
                <w:noProof/>
              </w:rPr>
              <w:tab/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116 667</w:t>
            </w:r>
          </w:p>
        </w:tc>
      </w:tr>
      <w:tr>
        <w:trPr>
          <w:trHeight w:val="414"/>
        </w:trP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347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3 500</w:t>
            </w:r>
          </w:p>
        </w:tc>
        <w:tc>
          <w:tcPr>
            <w:tcW w:w="144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3 500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Bizonyos egyedi programok keretéből finanszírozott igazgatási jellegű előirányzatok ÖSSZESEN</w:t>
            </w:r>
          </w:p>
        </w:tc>
        <w:tc>
          <w:tcPr>
            <w:tcW w:w="347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0 000</w:t>
            </w: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A</w:t>
            </w:r>
            <w:r>
              <w:rPr>
                <w:noProof/>
                <w:sz w:val="22"/>
              </w:rPr>
              <w:t xml:space="preserve"> többéves pénzügyi keret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22"/>
              </w:rPr>
              <w:t>1b FEJEZETÉHEZ</w:t>
            </w:r>
            <w:r>
              <w:rPr>
                <w:noProof/>
              </w:rPr>
              <w:t xml:space="preserve"> tartozó előirányzatok </w:t>
            </w:r>
            <w:r>
              <w:rPr>
                <w:b/>
                <w:noProof/>
                <w:sz w:val="22"/>
              </w:rPr>
              <w:t>ÖSSZESEN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=4+6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116 667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116 667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=5+6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0 000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3 500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3 500</w:t>
            </w:r>
          </w:p>
        </w:tc>
      </w:tr>
      <w:tr>
        <w:tc>
          <w:tcPr>
            <w:tcW w:w="3960" w:type="dxa"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  <w:sz w:val="16"/>
        </w:rPr>
      </w:pPr>
    </w:p>
    <w:p>
      <w:pPr>
        <w:rPr>
          <w:noProof/>
        </w:rPr>
      </w:pPr>
    </w:p>
    <w:p>
      <w:pPr>
        <w:rPr>
          <w:b/>
          <w:noProof/>
          <w:sz w:val="22"/>
          <w:u w:val="single"/>
        </w:rPr>
      </w:pPr>
      <w:r>
        <w:rPr>
          <w:noProof/>
        </w:rPr>
        <w:br/>
      </w:r>
    </w:p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Ha a javaslat/kezdeményezés több fejezetet is érint: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386"/>
        <w:gridCol w:w="960"/>
        <w:gridCol w:w="840"/>
        <w:gridCol w:w="840"/>
        <w:gridCol w:w="720"/>
        <w:gridCol w:w="720"/>
        <w:gridCol w:w="960"/>
        <w:gridCol w:w="142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Operatív előirányzatok ÖSSZESEN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Bizonyos egyedi programok keretéből finanszírozott igazgatási jellegű előirányzatok ÖSSZESEN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  <w:sz w:val="22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22"/>
              </w:rPr>
              <w:t>1–4. FEJEZETÉHEZ tartozó előirányzatok ÖSSZESEN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(Referenciaösszeg)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=4+6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</w:tbl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 xml:space="preserve">A többéves pénzügyi keret fejezete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„Igazgatási kiadások”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N+1.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N+2.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N+3.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A táblázat a hatás időtartamának megfelelően (vö. 1.6. pont) további évekkel bővíthető.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ÖSSZESEN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FŐIGAZGATÓSÁG: </w:t>
            </w:r>
            <w:r>
              <w:rPr>
                <w:noProof/>
              </w:rPr>
              <w:t>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Humánerőforrás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Egyéb igazgatási kiadások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 xml:space="preserve">&lt;…&gt; </w:t>
            </w:r>
            <w:r>
              <w:rPr>
                <w:b/>
                <w:noProof/>
                <w:sz w:val="22"/>
              </w:rPr>
              <w:t>Főigazgatóság ÖSSZESEN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Előirányzatok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  <w:sz w:val="22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22"/>
              </w:rPr>
              <w:t xml:space="preserve">5. FEJEZETÉHEZ tartozó előirányzatok ÖSSZESEN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(Összes kötelezettségvállalási előirányzat = Összes kifizetési előirányzat)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N.</w:t>
            </w:r>
            <w:r>
              <w:rPr>
                <w:noProof/>
                <w:sz w:val="20"/>
              </w:rPr>
              <w:t xml:space="preserve"> év</w:t>
            </w:r>
            <w:r>
              <w:rPr>
                <w:rStyle w:val="FootnoteReference"/>
                <w:noProof/>
                <w:sz w:val="20"/>
              </w:rPr>
              <w:footnoteReference w:id="15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N+1.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N+2.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N+3.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A táblázat a hatás időtartamának megfelelően (vö. 1.6. pont) további évekkel bővíthető.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ÖSSZESEN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  <w:sz w:val="22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22"/>
              </w:rPr>
              <w:t xml:space="preserve">1–5. FEJEZETÉHEZ tartozó előirányzatok ÖSSZESEN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 xml:space="preserve">Az operatív előirányzatokra gyakorolt becsült hatás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javaslat/kezdeményezés nem vonja maga után operatív előirányzatok felhasználását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A javaslat/kezdeményezés az alábbi operatív előirányzatok felhasználását vonja maga után: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Kötelezettségvállalási előirányzatok, millió EUR (három tizedesjegyig)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Tüntesse fel a célkitűzéseket és a kimeneteket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t>N.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t>N+1.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t>N+2.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20"/>
              </w:rPr>
              <w:t>N+3.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 táblázat a hatás időtartamának megfelelően (vö. 1.6. pont) további évekkel bővíthető.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ÖSSZESEN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TELJESÍTÉSEK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Típus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Átlagos költség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Szám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Összesített szám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Összköltség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 KONKRÉT CÉLKITŰZÉS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  <w:r>
              <w:rPr>
                <w:noProof/>
                <w:sz w:val="18"/>
              </w:rPr>
              <w:t>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Kimenet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Kimenet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Kimenet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 konkrét célkitűzés részösszege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2. KONKRÉT CÉLKITŰZÉS 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Kimenet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2. konkrét célkitűzés részösszege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ÖSSZESEN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3.2.3.</w:t>
      </w:r>
      <w:r>
        <w:rPr>
          <w:noProof/>
        </w:rPr>
        <w:tab/>
        <w:t>Az igazgatási előirányzatokra gyakorolt becsült hatás</w:t>
      </w:r>
    </w:p>
    <w:p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Összefoglalás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A javaslat/kezdeményezés nem vonja maga után igazgatási előirányzatok felhasználását.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javaslat/kezdeményezés az alábbi igazgatási előirányzatok felhasználását vonja maga után:</w:t>
      </w:r>
    </w:p>
    <w:p>
      <w:pPr>
        <w:rPr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N. </w:t>
            </w:r>
            <w:r>
              <w:rPr>
                <w:noProof/>
                <w:sz w:val="16"/>
              </w:rPr>
              <w:t>év</w:t>
            </w:r>
            <w:r>
              <w:rPr>
                <w:rStyle w:val="FootnoteReference"/>
                <w:noProof/>
                <w:sz w:val="16"/>
              </w:rPr>
              <w:footnoteReference w:id="1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N+1.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N+2.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N+3.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 táblázat a hatás időtartamának megfelelően (vö. 1.6. pont) további évekkel bővíthető.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5. FEJEZETE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Humánerőforrás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Egyéb igazgatási kiadások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 xml:space="preserve">5. FEJEZETÉNEK részösszege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5. FEJEZETÉBE</w:t>
            </w:r>
            <w:r>
              <w:rPr>
                <w:rStyle w:val="FootnoteReference"/>
                <w:b/>
                <w:noProof/>
                <w:sz w:val="16"/>
              </w:rPr>
              <w:footnoteReference w:id="19"/>
            </w:r>
            <w:r>
              <w:rPr>
                <w:b/>
                <w:noProof/>
                <w:sz w:val="16"/>
              </w:rPr>
              <w:t xml:space="preserve"> bele nem tartozó előirányzatok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Humánerőforrás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Egyéb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16"/>
              </w:rPr>
              <w:t>igazgatási kiadások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A többéves pénzügyi keret 5. FEJEZETÉBE bele nem tartozó előirányzatok részösszege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A humánerőforrással és más igazgatási kiadásokkal kapcsolatos előirányzat-igényeket az adott főigazgatóság rendelkezésére álló, az intézkedés irányításához rendelt előirányzatokkal és/vagy az adott főigazgatóságon belüli átcsoportosítással kell teljesíteni. A források adott esetben a költségvetési korlátok betartása mellett kiegészíthetők az éves elosztási eljárás keretében az irányító főigazgatósághoz rendelt további allokációkkal.</w:t>
      </w:r>
      <w:r>
        <w:rPr>
          <w:noProof/>
        </w:rPr>
        <w:tab/>
      </w:r>
    </w:p>
    <w:p>
      <w:pPr>
        <w:pStyle w:val="ManualHeading4"/>
        <w:rPr>
          <w:bCs/>
          <w:noProof/>
          <w:szCs w:val="24"/>
        </w:rPr>
      </w:pPr>
      <w:r>
        <w:rPr>
          <w:noProof/>
        </w:rPr>
        <w:t>3.2.3.2.</w:t>
      </w:r>
      <w:r>
        <w:rPr>
          <w:noProof/>
        </w:rPr>
        <w:tab/>
        <w:t>Becsült humánerőforrás-szükségletek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A javaslat/kezdeményezés nem igényel humánerőforrást.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javaslat/kezdeményezés az alábbi humánerőforrás-igénnyel jár: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A becsléseket teljes munkaidős egyenértékben kell kifejezni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N. </w:t>
            </w:r>
            <w:r>
              <w:rPr>
                <w:noProof/>
                <w:sz w:val="16"/>
              </w:rPr>
              <w:t>év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N+1. év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N+2.</w:t>
            </w:r>
            <w:r>
              <w:rPr>
                <w:noProof/>
                <w:sz w:val="16"/>
              </w:rPr>
              <w:t xml:space="preserve"> év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N+3.</w:t>
            </w:r>
            <w:r>
              <w:rPr>
                <w:noProof/>
                <w:sz w:val="16"/>
              </w:rPr>
              <w:t xml:space="preserve"> év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 táblázat a hatás időtartamának megfelelően (vö. 1.6. pont)további évekkel bővíthető.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A létszámtervben szereplő álláshelyek (tisztviselők és ideiglenes alkalmazottak)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(a központban és a bizottsági képviseleteken)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(a küldöttségeknél)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(közvetett kutatás)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(közvetlen kutatás)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Külső munkatársak teljes munkaidős egyenértékben (FTE) kifejezve</w:t>
            </w:r>
            <w:r>
              <w:rPr>
                <w:rStyle w:val="FootnoteReference"/>
                <w:b/>
                <w:noProof/>
                <w:sz w:val="16"/>
              </w:rPr>
              <w:footnoteReference w:id="2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a teljes keretből)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END, INT és JED a küldöttségeknél)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a központban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a küldöttségeknél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XX </w:t>
            </w:r>
            <w:r>
              <w:rPr>
                <w:noProof/>
                <w:sz w:val="16"/>
              </w:rPr>
              <w:t>01 05 02 (AC, END, INT közvetett kutatásban)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közvetlen kutatásban)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Egyéb költségvetési tétel (kérjük megnevezni)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 xml:space="preserve">XX </w:t>
      </w:r>
      <w:r>
        <w:rPr>
          <w:noProof/>
          <w:sz w:val="18"/>
        </w:rPr>
        <w:t>az érintett szakpolitikai terület vagy költségvetési cím.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A humánerőforrás-igényeknek az adott főigazgatóság rendelkezésére álló, az intézkedés irányításához rendelt és/vagy az adott főigazgatóságon belül átcsoportosított személyzettel kell eleget tenni. A források adott esetben a meglévő költségvetési korlátok betartása mellett kiegészíthetők az éves elosztási eljárás keretében az irányító főigazgatósághoz rendelt további allokációkkal.</w:t>
      </w:r>
    </w:p>
    <w:p>
      <w:pPr>
        <w:rPr>
          <w:noProof/>
          <w:sz w:val="20"/>
        </w:rPr>
      </w:pPr>
      <w:r>
        <w:rPr>
          <w:noProof/>
          <w:sz w:val="20"/>
        </w:rPr>
        <w:t>Az elvégzendő feladatok leírása: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Tisztviselők és ideiglenes alkalmazottak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Külső munkatársak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3.2.4.</w:t>
      </w:r>
      <w:r>
        <w:rPr>
          <w:noProof/>
        </w:rPr>
        <w:tab/>
        <w:t xml:space="preserve">A jelenlegi többéves pénzügyi kerettel való összeegyeztethetőség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A javaslat/kezdeményezés összeegyeztethető a jelenlegi többéves pénzügyi kerettel.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javaslat/kezdeményezés miatt szükséges a többéves pénzügyi keret vonatkozó fejezetének átprogramozása.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Fejtse ki, miként kell átprogramozni a pénzügyi keretet: tüntesse fel az érintett költségvetési sorokat és a megfelelő összegeket.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javaslat/kezdeményezés miatt szükség van a rugalmassági eszköz alkalmazására vagy a többéves pénzügyi keret felülvizsgálatára.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Fejtse ki a szükségleteket: tüntesse fel az érintett fejezeteket és költségvetési tételeket és a megfelelő összegeket.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3.2.5.</w:t>
      </w:r>
      <w:r>
        <w:rPr>
          <w:noProof/>
        </w:rPr>
        <w:tab/>
        <w:t xml:space="preserve">Harmadik felek részvétele a finanszírozásban </w:t>
      </w:r>
    </w:p>
    <w:p>
      <w:pPr>
        <w:pStyle w:val="ListDash1"/>
        <w:rPr>
          <w:noProof/>
        </w:rPr>
      </w:pPr>
      <w:r>
        <w:rPr>
          <w:noProof/>
        </w:rPr>
        <w:t xml:space="preserve">A javaslat/kezdeményezés nem irányoz elő harmadik felek általi társfinanszírozást. </w:t>
      </w:r>
    </w:p>
    <w:p>
      <w:pPr>
        <w:pStyle w:val="ListDash1"/>
        <w:rPr>
          <w:noProof/>
        </w:rPr>
      </w:pPr>
      <w:r>
        <w:rPr>
          <w:noProof/>
        </w:rPr>
        <w:t>A javaslat/kezdeményezés az alábbi becsült társfinanszírozást irányozza elő: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előirányzatok, millió EUR (három tizedesjegyig)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 xml:space="preserve">N. </w:t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N+1.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N+2.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N+3.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A táblázat a hatás időtartamának megfelelően (vö. 1.6. pont) további évekkel bővíthető.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Összesen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Tüntesse fel a társfinanszírozó szervet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Társfinanszírozott előirányzatok ÖSSZESEN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pStyle w:val="ManualHeading2"/>
        <w:rPr>
          <w:bCs/>
          <w:noProof/>
          <w:szCs w:val="24"/>
        </w:rPr>
      </w:pPr>
      <w:r>
        <w:rPr>
          <w:noProof/>
        </w:rPr>
        <w:t>3.3.</w:t>
      </w:r>
      <w:r>
        <w:rPr>
          <w:noProof/>
        </w:rPr>
        <w:tab/>
        <w:t xml:space="preserve">A bevételre gyakorolt becsült hatás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A javaslatnak/kezdeményezésnek nincs pénzügyi hatása a bevételre.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javaslatnak/kezdeményezésnek van pénzügyi hatása – a bevételre gyakorolt hatása a következő: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 a saját forrásokra gyakorol hatást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 az egyéb bevételekre gyakorol hatást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millió EUR (három tizedesjegyig)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Bevételi költségvetési tétel: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Az aktuális költségvetési évben rendelkezésre álló előirányzatok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 javaslat/kezdeményezés hatása</w:t>
            </w:r>
            <w:r>
              <w:rPr>
                <w:rStyle w:val="FootnoteReference"/>
                <w:noProof/>
                <w:sz w:val="18"/>
              </w:rPr>
              <w:footnoteReference w:id="2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N+1.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N+2.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N+3.</w:t>
            </w:r>
            <w:r>
              <w:rPr>
                <w:noProof/>
              </w:rPr>
              <w:t xml:space="preserve"> év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A táblázat a hatás időtartamának megfelelően (vö. 1.6. pont) további évekkel bővíthető.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… jogcímcsoport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Az egyéb címzett bevételek esetében tüntesse fel az érintett kiadáshoz tartozó költségvetési sor(oka)t.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  <w:r>
        <w:rPr>
          <w:noProof/>
          <w:sz w:val="20"/>
        </w:rPr>
        <w:t>Ismertesse a bevételre gyakorolt hatás számításának módszerét.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1303/2013/EU rendelete (2013. december 17.) az Európai Regionális Fejlesztési Alapra, az Európai Szociális Alapra, a Kohéziós Alapra, az Európai Mezőgazdasági Vidékfejlesztési Alapra és az Európai Tengerügyi és Halászati Alapra vonatkozó közös rendelkezések megállapításáról, az Európai Regionális Fejlesztési Alapra, az Európai Szociális Alapra és a Kohéziós Alapra és az Európai Tengerügyi és Halászati Alapra vonatkozó általános rendelkezések megállapításáról és az 1083/2006/EK tanácsi rendelet hatályon kívül helyezéséről (HL L 347., 2013.12.20., 320. o.); legutóbb módosította: Az Európai Parlament és a Tanács (EU) 2018/1719 rendelete (2018. november 14.) az 1303/2013/EU rendeletnek a gazdasági, társadalmi és a területi kohéziót szolgáló források, valamint a beruházás a növekedésbe és munkahelyteremtésbe célkitűzés és az európai területi együttműködési célkitűzés számára biztosított források tekintetében történő módosításáról HL L 291., 2018.11.16., 5. 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1304/2013/EU rendelete (2013. december 17.) az Európai Szociális Alapról és az 1081/2006/EK tanácsi rendelet hatályon kívül helyezéséről (HL L 347., 2013.12.20., 470. o.).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HL C […], […], […] o.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HL C […], […], […] o.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1303/2013/EU rendelete (2013. december 17.) az Európai Regionális Fejlesztési Alapra, az Európai Szociális Alapra, a Kohéziós Alapra, az Európai Mezőgazdasági Vidékfejlesztési Alapra és az Európai Tengerügyi és Halászati Alapra vonatkozó közös rendelkezések megállapításáról, az Európai Regionális Fejlesztési Alapra, az Európai Szociális Alapra és a Kohéziós Alapra és az Európai Tengerügyi és Halászati Alapra vonatkozó általános rendelkezések megállapításáról és az 1083/2006/EK tanácsi rendelet hatályon kívül helyezéséről (HL L 347., 2013.12.20., 320. o.).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HL C […]., […], […] o.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Tevékenységalapú irányítás: ABM (Activity Based Management), tevékenységalapú költségvetés-tervezés: ABB (Activity Based Budgeting).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 költségvetési rendelet 54. cikke (2) bekezdésének a) vagy b) pontja szerint.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Az egyes irányítási módszerek ismertetése, valamint a költségvetési rendeletre való megfelelő hivatkozások megtalálhatók a BudgWeb oldalon: </w:t>
      </w:r>
      <w:hyperlink r:id="rId1">
        <w:r>
          <w:rPr>
            <w:rStyle w:val="Hyperlink"/>
            <w:sz w:val="18"/>
          </w:rPr>
          <w:t>http://www.cc.cec/budg/man/budgmanag/budgmanag_en.html</w:t>
        </w:r>
      </w:hyperlink>
    </w:p>
  </w:footnote>
  <w:footnote w:id="10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Diff. = Differenciált előirányzatok / Nem diff. = Nem differenciált előirányzatok.</w:t>
      </w:r>
    </w:p>
  </w:footnote>
  <w:footnote w:id="11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 xml:space="preserve">EFTA: Európai Szabadkereskedelmi Társulás. </w:t>
      </w:r>
    </w:p>
  </w:footnote>
  <w:footnote w:id="12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Tagjelölt országok és adott esetben a nyugat-balkáni potenciális tagjelölt országok.</w:t>
      </w:r>
    </w:p>
  </w:footnote>
  <w:footnote w:id="13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Ezeket a kiegészítő forrásokat a 2014–2020-as többéves pénzügyi keret felső határán belül a kötelezettségvállalásokra vonatkozó összesített tartalék finanszírozza.</w:t>
      </w:r>
    </w:p>
  </w:footnote>
  <w:footnote w:id="14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Technikai és/vagy igazgatási segítségnyújtás, valamint uniós programok és/vagy intézkedések végrehajtásához biztosított támogatási kiadások (korábban: BA-tételek), közvetett kutatás, közvetlen kutatás.</w:t>
      </w:r>
    </w:p>
  </w:footnote>
  <w:footnote w:id="15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Az N. év a javaslat/kezdeményezés végrehajtásának első éve.</w:t>
      </w:r>
    </w:p>
  </w:footnote>
  <w:footnote w:id="16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A kimenetek a nyújtandó termékek és szolgáltatások (pl. finanszírozott diákcserék száma, épített utak hossza kilométerben stb.).</w:t>
      </w:r>
    </w:p>
  </w:footnote>
  <w:footnote w:id="17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 xml:space="preserve">Az 1.4.2. szakaszban „Konkrét célkitűzés(ek)…” feltüntetett célkitűzés. </w:t>
      </w:r>
    </w:p>
  </w:footnote>
  <w:footnote w:id="18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Az N. év a javaslat/kezdeményezés végrehajtásának első éve.</w:t>
      </w:r>
    </w:p>
  </w:footnote>
  <w:footnote w:id="19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Technikai és/vagy igazgatási segítségnyújtás, valamint uniós programok és/vagy intézkedések végrehajtásához biztosított támogatási kiadások (korábban: BA-tételek), közvetett kutatás, közvetlen kutatás.</w:t>
      </w:r>
    </w:p>
  </w:footnote>
  <w:footnote w:id="20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 xml:space="preserve">AC = szerződéses alkalmazott; AL = helyi alkalmazott; END = kirendelt nemzeti szakértő; INT = kölcsönmunkaerő (átmeneti alkalmazott); JED = küldöttségi pályakezdő szakértő. </w:t>
      </w:r>
    </w:p>
  </w:footnote>
  <w:footnote w:id="21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Az operatív előirányzatokból finanszírozott külső munkatársakra vonatkozó részleges felső határérték (korábban: BA-tételek).</w:t>
      </w:r>
    </w:p>
  </w:footnote>
  <w:footnote w:id="22">
    <w:p>
      <w:pPr>
        <w:pStyle w:val="FootnoteText"/>
        <w:rPr>
          <w:szCs w:val="24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  <w:t>A tradicionális saját források (vámok, cukorilletékek) tekintetében nettó összeget kell megadni, amely a 25 %-kal (beszedési költségek) csökkentett bruttó összegeknek felel meg.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EB60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A4FD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7828F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86F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FA20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5EE5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C00D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6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25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14"/>
  </w:num>
  <w:num w:numId="18">
    <w:abstractNumId w:val="24"/>
  </w:num>
  <w:num w:numId="19">
    <w:abstractNumId w:val="12"/>
  </w:num>
  <w:num w:numId="20">
    <w:abstractNumId w:val="15"/>
  </w:num>
  <w:num w:numId="21">
    <w:abstractNumId w:val="10"/>
  </w:num>
  <w:num w:numId="22">
    <w:abstractNumId w:val="23"/>
  </w:num>
  <w:num w:numId="23">
    <w:abstractNumId w:val="9"/>
  </w:num>
  <w:num w:numId="24">
    <w:abstractNumId w:val="16"/>
  </w:num>
  <w:num w:numId="25">
    <w:abstractNumId w:val="20"/>
  </w:num>
  <w:num w:numId="26">
    <w:abstractNumId w:val="21"/>
  </w:num>
  <w:num w:numId="27">
    <w:abstractNumId w:val="11"/>
  </w:num>
  <w:num w:numId="28">
    <w:abstractNumId w:val="19"/>
  </w:num>
  <w:num w:numId="29">
    <w:abstractNumId w:val="25"/>
  </w:num>
  <w:num w:numId="30">
    <w:abstractNumId w:val="22"/>
  </w:num>
  <w:num w:numId="31">
    <w:abstractNumId w:val="14"/>
  </w:num>
  <w:num w:numId="32">
    <w:abstractNumId w:val="24"/>
  </w:num>
  <w:num w:numId="33">
    <w:abstractNumId w:val="12"/>
  </w:num>
  <w:num w:numId="34">
    <w:abstractNumId w:val="15"/>
  </w:num>
  <w:num w:numId="35">
    <w:abstractNumId w:val="10"/>
  </w:num>
  <w:num w:numId="36">
    <w:abstractNumId w:val="23"/>
  </w:num>
  <w:num w:numId="37">
    <w:abstractNumId w:val="9"/>
  </w:num>
  <w:num w:numId="38">
    <w:abstractNumId w:val="16"/>
  </w:num>
  <w:num w:numId="39">
    <w:abstractNumId w:val="20"/>
  </w:num>
  <w:num w:numId="40">
    <w:abstractNumId w:val="21"/>
  </w:num>
  <w:num w:numId="41">
    <w:abstractNumId w:val="11"/>
  </w:num>
  <w:num w:numId="42">
    <w:abstractNumId w:val="19"/>
  </w:num>
  <w:num w:numId="43">
    <w:abstractNumId w:val="25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6 09:37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2CB2131-1539-423E-A8B4-F205CD23C92E"/>
    <w:docVar w:name="LW_COVERPAGE_TYPE" w:val="1"/>
    <w:docVar w:name="LW_CROSSREFERENCE" w:val="&lt;UNUSED&gt;"/>
    <w:docVar w:name="LW_DocType" w:val="COM"/>
    <w:docVar w:name="LW_EMISSION" w:val="2019.2.1."/>
    <w:docVar w:name="LW_EMISSION_ISODATE" w:val="2019-02-01"/>
    <w:docVar w:name="LW_EMISSION_LOCATION" w:val="BRX"/>
    <w:docVar w:name="LW_EMISSION_PREFIX" w:val="Brüssze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27"/>
    <w:docVar w:name="LW_REF.II.NEW.CP_YEAR" w:val="2019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1303/2013/EU rendeletnek az ifjúsági foglalkoztatási kezdeményezés számára elkülönített források tekintetében történ\u337? módosításáról"/>
    <w:docVar w:name="LW_TYPE.DOC.CP" w:val="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hu-HU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0" w:after="150"/>
      <w:jc w:val="left"/>
    </w:pPr>
    <w:rPr>
      <w:rFonts w:eastAsia="Times New Roman"/>
      <w:szCs w:val="24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hu-HU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0" w:after="150"/>
      <w:jc w:val="left"/>
    </w:pPr>
    <w:rPr>
      <w:rFonts w:eastAsia="Times New Roman"/>
      <w:szCs w:val="24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8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72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1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99C8-0948-476F-B194-6E345B2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15</Pages>
  <Words>3178</Words>
  <Characters>23265</Characters>
  <Application>Microsoft Office Word</Application>
  <DocSecurity>0</DocSecurity>
  <Lines>1454</Lines>
  <Paragraphs>528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2019-01-15T13:07:00Z</cp:lastPrinted>
  <dcterms:created xsi:type="dcterms:W3CDTF">2019-02-05T15:24:00Z</dcterms:created>
  <dcterms:modified xsi:type="dcterms:W3CDTF">2019-02-06T08:37:00Z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