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8E6482B-2F98-4D31-A499-E0DCBCFD5953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lang w:val="fr-BE"/>
        </w:rPr>
      </w:pPr>
      <w:bookmarkStart w:id="0" w:name="_GoBack"/>
      <w:bookmarkEnd w:id="0"/>
      <w:r>
        <w:rPr>
          <w:noProof/>
          <w:lang w:val="fr-BE"/>
        </w:rPr>
        <w:lastRenderedPageBreak/>
        <w:t>ANNEXE</w:t>
      </w:r>
    </w:p>
    <w:p>
      <w:pPr>
        <w:rPr>
          <w:noProof/>
          <w:lang w:val="fr-BE"/>
        </w:rPr>
      </w:pPr>
      <w:r>
        <w:rPr>
          <w:noProof/>
          <w:lang w:val="fr-BE"/>
        </w:rPr>
        <w:t>À l'annexe II, la partie A est modifiée comme suit:</w:t>
      </w:r>
    </w:p>
    <w:p>
      <w:pPr>
        <w:pStyle w:val="Point0number"/>
        <w:numPr>
          <w:ilvl w:val="0"/>
          <w:numId w:val="1"/>
        </w:numPr>
        <w:rPr>
          <w:noProof/>
          <w:lang w:val="fr-BE"/>
        </w:rPr>
      </w:pPr>
      <w:r>
        <w:rPr>
          <w:noProof/>
          <w:lang w:val="fr-BE"/>
        </w:rPr>
        <w:t>Le paragraphe 1 est modifié comme suit:</w:t>
      </w:r>
    </w:p>
    <w:p>
      <w:pPr>
        <w:pStyle w:val="Point1letter"/>
        <w:rPr>
          <w:noProof/>
          <w:lang w:val="fr-BE"/>
        </w:rPr>
      </w:pPr>
      <w:r>
        <w:rPr>
          <w:noProof/>
          <w:lang w:val="fr-BE"/>
        </w:rPr>
        <w:t xml:space="preserve">au point a), la deuxième phrase est remplacée par le texte suivant: </w:t>
      </w:r>
    </w:p>
    <w:p>
      <w:pPr>
        <w:pStyle w:val="Text2"/>
        <w:spacing w:before="0" w:after="240"/>
        <w:rPr>
          <w:noProof/>
          <w:lang w:val="fr-BE"/>
        </w:rPr>
      </w:pPr>
      <w:r>
        <w:rPr>
          <w:noProof/>
          <w:lang w:val="fr-BE"/>
        </w:rPr>
        <w:t>«Les heures pendant lesquelles le navire fait route correspondent à la durée totale des périodes pendant lesquelles le navire fait route au moyen de sa propre propulsion;»;</w:t>
      </w:r>
    </w:p>
    <w:p>
      <w:pPr>
        <w:pStyle w:val="Point1letter"/>
        <w:rPr>
          <w:noProof/>
          <w:lang w:val="fr-BE"/>
        </w:rPr>
      </w:pPr>
      <w:r>
        <w:rPr>
          <w:noProof/>
          <w:lang w:val="fr-BE"/>
        </w:rPr>
        <w:t>au point b), la première phrase est remplacée par le texte suivant:</w:t>
      </w:r>
    </w:p>
    <w:p>
      <w:pPr>
        <w:pStyle w:val="Text2"/>
        <w:rPr>
          <w:noProof/>
          <w:lang w:val="fr-BE"/>
        </w:rPr>
      </w:pPr>
      <w:r>
        <w:rPr>
          <w:noProof/>
          <w:lang w:val="fr-BE"/>
        </w:rPr>
        <w:t>«la distance parcourue s'entend comme la distance fond parcourue.».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1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8E6482B-2F98-4D31-A499-E0DCBCFD5953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Bruxelles, le "/>
    <w:docVar w:name="LW_EMISSION_SUFFIX" w:val=" "/>
    <w:docVar w:name="LW_ID_DOCSTRUCTURE" w:val="COM/ANNEX"/>
    <w:docVar w:name="LW_ID_DOCTYPE" w:val="SG-017"/>
    <w:docVar w:name="LW_LANGUE" w:val="FR"/>
    <w:docVar w:name="LW_LEVEL_OF_SENSITIVITY" w:val="Standard treatment"/>
    <w:docVar w:name="LW_NOM.INST" w:val="COMMISSION EUROPÉENNE"/>
    <w:docVar w:name="LW_NOM.INST_JOINTDOC" w:val="&lt;EMPTY&gt;"/>
    <w:docVar w:name="LW_OBJETACTEPRINCIPAL" w:val="modifiant le règlement (UE) 2015/757 afin de tenir dûment compte du système mondial de collecte des données relatives à la consommation de fuel-oil des navires"/>
    <w:docVar w:name="LW_OBJETACTEPRINCIPAL.CP" w:val="modifiant le règlement (UE) 2015/757 afin de tenir dûment compte du système mondial de collecte des données relatives à la consommation de fuel-oil des navires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"/>
    <w:docVar w:name="LW_TYPE.DOC.CP" w:val="ANNEXE"/>
    <w:docVar w:name="LW_TYPEACTEPRINCIPAL" w:val="Proposition de règlement du Parlement européen et du Conseil"/>
    <w:docVar w:name="LW_TYPEACTEPRINCIPAL.CP" w:val="Proposition de règlement du Parlement européen et du Consei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r-F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79</Words>
  <Characters>401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DIGIT/C6</cp:lastModifiedBy>
  <cp:revision>9</cp:revision>
  <cp:lastPrinted>2018-11-21T07:44:00Z</cp:lastPrinted>
  <dcterms:created xsi:type="dcterms:W3CDTF">2019-01-24T14:41:00Z</dcterms:created>
  <dcterms:modified xsi:type="dcterms:W3CDTF">2019-01-29T12:41:00Z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