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150BE79-2C31-4AD3-BBA6-68A83A2D0446" style="width:450.5pt;height:422.5pt">
            <v:imagedata r:id="rId11" o:title=""/>
          </v:shape>
        </w:pict>
      </w:r>
    </w:p>
    <w:bookmarkEnd w:id="0"/>
    <w:p>
      <w:pPr>
        <w:rPr>
          <w:noProof/>
        </w:rPr>
        <w:sectPr>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1"/>
          <w:cols w:space="720"/>
          <w:docGrid w:linePitch="360"/>
        </w:sect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bookmarkStart w:id="1" w:name="_GoBack"/>
            <w:bookmarkEnd w:id="1"/>
            <w:r>
              <w:rPr>
                <w:rFonts w:ascii="Tahoma" w:hAnsi="Tahoma"/>
                <w:b/>
                <w:noProof/>
                <w:sz w:val="22"/>
              </w:rPr>
              <w:lastRenderedPageBreak/>
              <w:t>Scheda di sintesi</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rFonts w:ascii="Tahoma" w:hAnsi="Tahoma" w:cs="Tahoma"/>
                <w:noProof/>
                <w:color w:val="FFFFFF" w:themeColor="background1"/>
                <w:sz w:val="20"/>
                <w:szCs w:val="20"/>
              </w:rPr>
            </w:pP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A. Necessità di agire</w:t>
            </w:r>
          </w:p>
        </w:tc>
      </w:tr>
      <w:tr>
        <w:tc>
          <w:tcPr>
            <w:tcW w:w="10188" w:type="dxa"/>
            <w:tcBorders>
              <w:bottom w:val="single" w:sz="4" w:space="0" w:color="auto"/>
            </w:tcBorders>
            <w:shd w:val="clear" w:color="auto" w:fill="E0E0E0"/>
          </w:tcPr>
          <w:p>
            <w:pPr>
              <w:spacing w:before="60" w:after="60"/>
              <w:jc w:val="both"/>
              <w:rPr>
                <w:rFonts w:ascii="Tahoma" w:hAnsi="Tahoma" w:cs="Tahoma"/>
                <w:noProof/>
                <w:sz w:val="20"/>
                <w:szCs w:val="20"/>
              </w:rPr>
            </w:pPr>
            <w:r>
              <w:rPr>
                <w:rFonts w:ascii="Tahoma" w:hAnsi="Tahoma"/>
                <w:b/>
                <w:noProof/>
                <w:sz w:val="20"/>
              </w:rPr>
              <w:t>Per quale motivo? Qual è il problema affrontato?</w:t>
            </w:r>
          </w:p>
        </w:tc>
      </w:tr>
      <w:tr>
        <w:tc>
          <w:tcPr>
            <w:tcW w:w="10188" w:type="dxa"/>
            <w:tcBorders>
              <w:bottom w:val="single" w:sz="4" w:space="0" w:color="auto"/>
            </w:tcBorders>
            <w:shd w:val="clear" w:color="auto" w:fill="auto"/>
          </w:tcPr>
          <w:p>
            <w:pPr>
              <w:pStyle w:val="Text1"/>
              <w:spacing w:before="120" w:after="120"/>
              <w:ind w:left="0"/>
              <w:rPr>
                <w:rFonts w:ascii="Arial" w:eastAsiaTheme="minorHAnsi" w:hAnsi="Arial" w:cs="Arial"/>
                <w:noProof/>
                <w:sz w:val="20"/>
              </w:rPr>
            </w:pPr>
            <w:r>
              <w:rPr>
                <w:rFonts w:ascii="Arial" w:hAnsi="Arial"/>
                <w:noProof/>
                <w:sz w:val="20"/>
              </w:rPr>
              <w:t>A norma dell'articolo 22 del regolamento (UE) 2015/757 concernente il monitoraggio, la comunicazione e la verifica delle emissioni di CO</w:t>
            </w:r>
            <w:r>
              <w:rPr>
                <w:rFonts w:ascii="Arial" w:hAnsi="Arial"/>
                <w:noProof/>
                <w:sz w:val="20"/>
                <w:vertAlign w:val="subscript"/>
              </w:rPr>
              <w:t>2</w:t>
            </w:r>
            <w:r>
              <w:rPr>
                <w:rFonts w:ascii="Arial" w:hAnsi="Arial"/>
                <w:noProof/>
                <w:sz w:val="20"/>
              </w:rPr>
              <w:t xml:space="preserve"> generate dal trasporto marittimo ("regolamento MRV dell'UE"), la Commissione propone di modificare il regolamento stesso per tenere debitamente conto del sistema globale di rilevazione dei dati sul consumo di combustibile delle navi definito dall'IMO.</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Qual è l'obiettivo di questa iniziativa?</w:t>
            </w:r>
          </w:p>
        </w:tc>
      </w:tr>
      <w:tr>
        <w:tc>
          <w:tcPr>
            <w:tcW w:w="10188" w:type="dxa"/>
            <w:tcBorders>
              <w:bottom w:val="single" w:sz="4" w:space="0" w:color="auto"/>
            </w:tcBorders>
            <w:shd w:val="clear" w:color="auto" w:fill="auto"/>
          </w:tcPr>
          <w:p>
            <w:pPr>
              <w:spacing w:after="120"/>
              <w:jc w:val="both"/>
              <w:rPr>
                <w:rFonts w:ascii="Arial" w:hAnsi="Arial" w:cs="Arial"/>
                <w:noProof/>
                <w:sz w:val="20"/>
                <w:szCs w:val="20"/>
              </w:rPr>
            </w:pPr>
            <w:r>
              <w:rPr>
                <w:rFonts w:ascii="Arial" w:hAnsi="Arial"/>
                <w:noProof/>
                <w:sz w:val="20"/>
              </w:rPr>
              <w:t>L'obiettivo è agevolare l'attuazione armoniosa dei due sistemi di monitoraggio, comunicazione e verifica, salvaguardando gli obiettivi del sistema dell'UE, ossia mantenendo la raccolta di dati solidi e attendibili sulle emissioni di CO</w:t>
            </w:r>
            <w:r>
              <w:rPr>
                <w:rFonts w:ascii="Arial" w:hAnsi="Arial"/>
                <w:noProof/>
                <w:sz w:val="20"/>
                <w:vertAlign w:val="subscript"/>
              </w:rPr>
              <w:t>2</w:t>
            </w:r>
            <w:r>
              <w:rPr>
                <w:rFonts w:ascii="Arial" w:hAnsi="Arial"/>
                <w:noProof/>
                <w:sz w:val="20"/>
              </w:rPr>
              <w:t xml:space="preserve"> a livello di singole navi per incentivare la diffusione di soluzioni di efficienza energetica e influire sulla definizione delle decisioni politiche future.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Qual è il valore aggiunto di un'azione a livello dell'UE?</w:t>
            </w:r>
          </w:p>
        </w:tc>
      </w:tr>
      <w:tr>
        <w:tc>
          <w:tcPr>
            <w:tcW w:w="10188" w:type="dxa"/>
            <w:tcBorders>
              <w:bottom w:val="single" w:sz="4" w:space="0" w:color="auto"/>
            </w:tcBorders>
            <w:shd w:val="clear" w:color="auto" w:fill="auto"/>
          </w:tcPr>
          <w:p>
            <w:pPr>
              <w:autoSpaceDE w:val="0"/>
              <w:autoSpaceDN w:val="0"/>
              <w:adjustRightInd w:val="0"/>
              <w:spacing w:after="120"/>
              <w:jc w:val="both"/>
              <w:rPr>
                <w:rFonts w:ascii="Arial" w:eastAsiaTheme="minorHAnsi" w:hAnsi="Arial" w:cs="Arial"/>
                <w:noProof/>
                <w:sz w:val="20"/>
                <w:szCs w:val="20"/>
              </w:rPr>
            </w:pPr>
            <w:r>
              <w:rPr>
                <w:rFonts w:ascii="Arial" w:eastAsiaTheme="minorHAnsi" w:hAnsi="Arial"/>
                <w:noProof/>
                <w:sz w:val="20"/>
              </w:rPr>
              <w:t>Mantenendo un insieme unico di obblighi di monitoraggio, comunicazione e verifica a livello di Unione, l'azione proposta assicurerà la comparabilità e l'attendibilità continuative dei dati sulle emissioni di CO</w:t>
            </w:r>
            <w:r>
              <w:rPr>
                <w:rFonts w:ascii="Arial" w:hAnsi="Arial"/>
                <w:noProof/>
                <w:sz w:val="20"/>
                <w:vertAlign w:val="subscript"/>
              </w:rPr>
              <w:t>2</w:t>
            </w:r>
            <w:r>
              <w:rPr>
                <w:rFonts w:ascii="Arial" w:eastAsiaTheme="minorHAnsi" w:hAnsi="Arial"/>
                <w:noProof/>
                <w:sz w:val="20"/>
              </w:rPr>
              <w:t xml:space="preserve"> delle navi.</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B. Soluzioni</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Quali opzioni, di carattere legislativo e di altro tipo, sono state prese in considerazione? È stata preferita un'opzione? Per quale motivo?</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eastAsiaTheme="minorHAnsi" w:hAnsi="Arial"/>
                <w:noProof/>
                <w:sz w:val="20"/>
              </w:rPr>
              <w:t>L'ipotesi di adeguare la governance e la comunicazione dei dati sulle emissioni di CO</w:t>
            </w:r>
            <w:r>
              <w:rPr>
                <w:rFonts w:ascii="Arial" w:hAnsi="Arial"/>
                <w:noProof/>
                <w:sz w:val="20"/>
                <w:vertAlign w:val="subscript"/>
              </w:rPr>
              <w:t>2</w:t>
            </w:r>
            <w:r>
              <w:rPr>
                <w:rFonts w:ascii="Arial" w:eastAsiaTheme="minorHAnsi" w:hAnsi="Arial"/>
                <w:noProof/>
                <w:sz w:val="20"/>
              </w:rPr>
              <w:t xml:space="preserve"> è stata scartata sin dall'inizio per preservare gli obiettivi del regolamento MRV dell'UE; sono state esaminate tre altre opzioni. L'opzione 1 rispecchia la situazione senza interventi. L'opzione 2 esamina diversi scenari di semplificazione per ridurre gli oneri amministrativi e salvaguardare gli obiettivi del regolamento MRV dell'UE. L'opzione 3 equivale alla completa armonizzazione tecnica dei due sistemi.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L'opzione preferita è la 2, che semplifica i due sistemi in termini di definizioni, parametri di monitoraggio, piani di monitoraggio e modelli per ridurre gli oneri amministrativi, senza tuttavia modificare la governance, l'ambito di applicazione, la verifica, la trasparenza e gli obblighi di comunicazione delle emissioni di CO</w:t>
            </w:r>
            <w:r>
              <w:rPr>
                <w:rFonts w:ascii="Arial" w:hAnsi="Arial"/>
                <w:noProof/>
                <w:sz w:val="20"/>
                <w:vertAlign w:val="subscript"/>
              </w:rPr>
              <w:t>2</w:t>
            </w:r>
            <w:r>
              <w:rPr>
                <w:rFonts w:ascii="Arial" w:hAnsi="Arial"/>
                <w:noProof/>
                <w:sz w:val="20"/>
              </w:rPr>
              <w:t xml:space="preserve">, al fine di preservare gli obiettivi del regolamento MRV dell'UE. </w:t>
            </w:r>
          </w:p>
        </w:tc>
      </w:tr>
      <w:tr>
        <w:tc>
          <w:tcPr>
            <w:tcW w:w="10188" w:type="dxa"/>
            <w:shd w:val="clear" w:color="auto" w:fill="CCCCCC"/>
          </w:tcPr>
          <w:p>
            <w:pPr>
              <w:spacing w:before="60"/>
              <w:jc w:val="both"/>
              <w:rPr>
                <w:rFonts w:ascii="Tahoma" w:hAnsi="Tahoma" w:cs="Tahoma"/>
                <w:noProof/>
                <w:sz w:val="20"/>
                <w:szCs w:val="20"/>
              </w:rPr>
            </w:pPr>
            <w:r>
              <w:rPr>
                <w:rFonts w:ascii="Tahoma" w:hAnsi="Tahoma"/>
                <w:b/>
                <w:noProof/>
                <w:sz w:val="20"/>
              </w:rPr>
              <w:t>Chi sono i sostenitori delle varie opzioni?</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 xml:space="preserve">L'opzione 2 è in linea con le priorità espresse dalla maggioranza dei portatori di interessi che hanno partecipato alla consultazione pubblica online e hanno sottolineato la necessità di allineare gli aspetti tecnici. Al tempo stesso, mantenere l'approccio dell'UE su verifica e trasparenza è in linea con la posizione della società civile, del mondo accademico, dei cittadini e degli Stati membri.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C. Impatto dell'opzione prescelta</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Quali sono i vantaggi dell'opzione prescelta (se esiste, altrimenti delle opzioni principali)?</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L'opzione prescelta mantiene i vantaggi del regolamento MRV dell'UE in termini d'impatto ambientale, sociale ed economico e riduce gli oneri amministrativi delle imprese.</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 xml:space="preserve">Semplificando alcuni aspetti dei due sistemi di monitoraggio, comunicazione e verifica, l'opzione prescelta riduce gli oneri amministrativi e i relativi costi delle navi che devono riferire nell'ambito di entrambi i sistemi di monitoraggio, comunicazione e verifica.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Quale sarà l'incidenza su aziende, PMI e microimprese?</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Mentre le imprese soggette a entrambi i sistemi di monitoraggio, comunicazione e verifica godranno della riduzione degli oneri amministrativi, per circa il 99 % delle PMI del trasporto marittimo la situazione resterà invariata, in quanto le navi di stazza lorda inferiore a 5 000 tonnellate sono escluse dall'ambito di applicazione del regolamento MRV dell'UE.</w:t>
            </w:r>
          </w:p>
        </w:tc>
      </w:tr>
      <w:tr>
        <w:tc>
          <w:tcPr>
            <w:tcW w:w="10188" w:type="dxa"/>
            <w:tcBorders>
              <w:bottom w:val="single" w:sz="4" w:space="0" w:color="auto"/>
            </w:tcBorders>
            <w:shd w:val="clear" w:color="auto" w:fill="E6E6E6"/>
          </w:tcPr>
          <w:p>
            <w:pPr>
              <w:spacing w:before="60"/>
              <w:jc w:val="both"/>
              <w:rPr>
                <w:rFonts w:ascii="Tahoma" w:hAnsi="Tahoma" w:cs="Tahoma"/>
                <w:b/>
                <w:i/>
                <w:noProof/>
                <w:sz w:val="20"/>
                <w:szCs w:val="20"/>
              </w:rPr>
            </w:pPr>
            <w:r>
              <w:rPr>
                <w:rFonts w:ascii="Tahoma" w:hAnsi="Tahoma"/>
                <w:b/>
                <w:noProof/>
                <w:sz w:val="20"/>
              </w:rPr>
              <w:t>L'impatto sui bilanci</w:t>
            </w:r>
            <w:r>
              <w:rPr>
                <w:rFonts w:ascii="Tahoma" w:hAnsi="Tahoma"/>
                <w:noProof/>
                <w:sz w:val="20"/>
              </w:rPr>
              <w:t xml:space="preserve"> </w:t>
            </w:r>
            <w:r>
              <w:rPr>
                <w:rFonts w:ascii="Tahoma" w:hAnsi="Tahoma"/>
                <w:b/>
                <w:noProof/>
                <w:sz w:val="20"/>
              </w:rPr>
              <w:t>e sulle amministrazioni nazionali sarà considerevole?</w:t>
            </w:r>
          </w:p>
        </w:tc>
      </w:tr>
      <w:tr>
        <w:tc>
          <w:tcPr>
            <w:tcW w:w="10188" w:type="dxa"/>
            <w:shd w:val="clear" w:color="auto" w:fill="auto"/>
          </w:tcPr>
          <w:p>
            <w:pPr>
              <w:jc w:val="both"/>
              <w:rPr>
                <w:rFonts w:ascii="Arial" w:hAnsi="Arial" w:cs="Arial"/>
                <w:noProof/>
                <w:sz w:val="20"/>
                <w:szCs w:val="20"/>
              </w:rPr>
            </w:pPr>
            <w:r>
              <w:rPr>
                <w:rFonts w:ascii="Arial" w:hAnsi="Arial"/>
                <w:noProof/>
                <w:sz w:val="20"/>
              </w:rPr>
              <w:t>Non vi sarà alcun impatto significativo sui bilanci o sulle amministrazioni nazionali, in quanto sistema del regolamento MRV dell'UE è già predisposto. È tuttavia possibile un contributo per gli obblighi di comunicazione degli Stati di bandiera.</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Sono previsti altri effetti significativi?</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Nessuno rilevato.</w:t>
            </w:r>
          </w:p>
        </w:tc>
      </w:tr>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b/>
                <w:noProof/>
                <w:sz w:val="22"/>
              </w:rPr>
              <w:t>D. Tappe successive</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Quando saranno riesaminate le misure proposte?</w:t>
            </w:r>
          </w:p>
        </w:tc>
      </w:tr>
      <w:tr>
        <w:tc>
          <w:tcPr>
            <w:tcW w:w="10188" w:type="dxa"/>
            <w:tcBorders>
              <w:bottom w:val="single" w:sz="4" w:space="0" w:color="auto"/>
            </w:tcBorders>
            <w:shd w:val="clear" w:color="auto" w:fill="auto"/>
          </w:tcPr>
          <w:p>
            <w:pPr>
              <w:jc w:val="both"/>
              <w:rPr>
                <w:rFonts w:ascii="Tahoma" w:hAnsi="Tahoma" w:cs="Tahoma"/>
                <w:noProof/>
                <w:sz w:val="20"/>
                <w:szCs w:val="20"/>
              </w:rPr>
            </w:pPr>
            <w:r>
              <w:rPr>
                <w:rFonts w:ascii="Tahoma" w:hAnsi="Tahoma"/>
                <w:noProof/>
                <w:sz w:val="20"/>
              </w:rPr>
              <w:t>È previsto un monitoraggio periodico tramite raccolta d'informazioni su una serie di indicatori che gli Stati membri devono fornire ogni due anni.</w:t>
            </w:r>
          </w:p>
        </w:tc>
      </w:tr>
    </w:tbl>
    <w:p>
      <w:pPr>
        <w:rPr>
          <w:noProof/>
        </w:rPr>
      </w:pPr>
    </w:p>
    <w:sectPr>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E6018"/>
    <w:multiLevelType w:val="multilevel"/>
    <w:tmpl w:val="D124DAB6"/>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504" w:hanging="504"/>
      </w:pPr>
      <w:rPr>
        <w:b/>
      </w:rPr>
    </w:lvl>
    <w:lvl w:ilvl="3">
      <w:start w:val="1"/>
      <w:numFmt w:val="decimal"/>
      <w:lvlText w:val="%1.%2.%3.%4."/>
      <w:lvlJc w:val="left"/>
      <w:pPr>
        <w:ind w:left="648" w:hanging="648"/>
      </w:pPr>
    </w:lvl>
    <w:lvl w:ilvl="4">
      <w:start w:val="1"/>
      <w:numFmt w:val="decimal"/>
      <w:lvlText w:val="%1.%2.%3.%4.%5."/>
      <w:lvlJc w:val="left"/>
      <w:pPr>
        <w:ind w:left="79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revisionView w:markup="0"/>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che accompagna il documento"/>
    <w:docVar w:name="LW_CORRIGENDUM" w:val="&lt;UNUSED&gt;"/>
    <w:docVar w:name="LW_COVERPAGE_EXISTS" w:val="True"/>
    <w:docVar w:name="LW_COVERPAGE_GUID" w:val="E150BE79-2C31-4AD3-BBA6-68A83A2D0446"/>
    <w:docVar w:name="LW_COVERPAGE_TYPE" w:val="1"/>
    <w:docVar w:name="LW_CROSSREFERENCE" w:val="{COM(2019) 38 final} - {SEC(2019) 20 final} - {SWD(2019) 10 final}"/>
    <w:docVar w:name="LW_DATE.ADOPT.CP_ISODATE" w:val="&lt;EMPTY&gt;"/>
    <w:docVar w:name="LW_DocType" w:val="NORMAL"/>
    <w:docVar w:name="LW_EMISSION" w:val="4.2.2019"/>
    <w:docVar w:name="LW_EMISSION_ISODATE" w:val="2019-02-04"/>
    <w:docVar w:name="LW_EMISSION_LOCATION" w:val="BRX"/>
    <w:docVar w:name="LW_EMISSION_PREFIX" w:val="Bruxelles, "/>
    <w:docVar w:name="LW_EMISSION_SUFFIX" w:val=" "/>
    <w:docVar w:name="LW_ID_DOCTYPE_NONLW" w:val="CP-027"/>
    <w:docVar w:name="LW_INTERETEEE.CP" w:val="&lt;UNUSED&gt;"/>
    <w:docVar w:name="LW_LANGUE" w:val="IT"/>
    <w:docVar w:name="LW_LANGUESFAISANTFOI.CP" w:val="&lt;UNUSED&gt;"/>
    <w:docVar w:name="LW_LEVEL_OF_SENSITIVITY" w:val="Standard treatment"/>
    <w:docVar w:name="LW_NOM.INST" w:val="COMMISSIONE EUROPEA"/>
    <w:docVar w:name="LW_NOM.INST_JOINTDOC" w:val="&lt;EMPTY&gt;"/>
    <w:docVar w:name="LW_OBJETACTEPRINCIPAL.CP" w:val="che modifica il regolamento (UE) 2015/757 per tenere debitamente conto del sistema globale di rilevazione dei dati sul consumo di combustibile delle navi_x000b_"/>
    <w:docVar w:name="LW_PART_NBR" w:val="1"/>
    <w:docVar w:name="LW_PART_NBR_TOTAL" w:val="1"/>
    <w:docVar w:name="LW_REF.II.NEW.CP" w:val="&lt;UNUSED&gt;"/>
    <w:docVar w:name="LW_REF.II.NEW.CP_NUMBER" w:val="&lt;UNUSED&gt;"/>
    <w:docVar w:name="LW_REF.II.NEW.CP_YEAR" w:val="2019"/>
    <w:docVar w:name="LW_REF.INST.NEW" w:val="SWD"/>
    <w:docVar w:name="LW_REF.INST.NEW_ADOPTED" w:val="final"/>
    <w:docVar w:name="LW_REF.INST.NEW_TEXT" w:val="(2019) 1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DOCUMENTO DI LAVORO DEI SERVIZI DELLA COMMISSIONE_x000b__x000b_SINTESI DELLA VALUTAZIONE D'IMPATTO_x000b_"/>
    <w:docVar w:name="LW_TYPEACTEPRINCIPAL.CP" w:val="Proposta di_x000b_REGOLAMENTO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it-I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it-IT"/>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it-IT"/>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character" w:styleId="FootnoteReference">
    <w:name w:val="footnote reference"/>
    <w:aliases w:val="-E Fußnotenzeichen,number,SUPERS,Footnote Reference Superscript,EN Footnote Reference,-E Fuﬂnotenzeichen,-E Fuûnotenzeichen,Footnote number,stylish,Footnote symbol,(Footnote Reference),Footnote reference number,note TESI,BVI fnr"/>
    <w:basedOn w:val="DefaultParagraphFont"/>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paragraph" w:styleId="FootnoteText">
    <w:name w:val="footnote text"/>
    <w:aliases w:val="-E Fußnotentext,Fußnotentext Ursprung,Fußnote,-E Fußnotentext1,-E Fußnotentext2,-E Fußnotentext3,Fußnotentextf,Footnote text,Fußnotentext Char1,Fußnotentext Char Char,Fußnotentext Char1 Char Char,Fußnotentext Cha,Footnote Te,Footnote"/>
    <w:basedOn w:val="Normal"/>
    <w:link w:val="FootnoteTextChar"/>
    <w:uiPriority w:val="99"/>
    <w:unhideWhenUsed/>
    <w:rPr>
      <w:rFonts w:eastAsiaTheme="minorHAnsi" w:cstheme="minorBidi"/>
      <w:sz w:val="20"/>
      <w:szCs w:val="20"/>
    </w:rPr>
  </w:style>
  <w:style w:type="character" w:customStyle="1" w:styleId="FootnoteTextChar">
    <w:name w:val="Footnote Text Char"/>
    <w:aliases w:val="-E Fußnotentext Char,Fußnotentext Ursprung Char,Fußnote Char,-E Fußnotentext1 Char,-E Fußnotentext2 Char,-E Fußnotentext3 Char,Fußnotentextf Char,Footnote text Char,Fußnotentext Char1 Char,Fußnotentext Char Char Char,Footnote Te Char"/>
    <w:basedOn w:val="DefaultParagraphFont"/>
    <w:link w:val="FootnoteText"/>
    <w:uiPriority w:val="99"/>
    <w:rPr>
      <w:rFonts w:ascii="Times New Roman" w:hAnsi="Times New Roman"/>
      <w:sz w:val="20"/>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4"/>
    </w:rPr>
  </w:style>
  <w:style w:type="paragraph" w:customStyle="1" w:styleId="Text1">
    <w:name w:val="Text 1"/>
    <w:basedOn w:val="Normal"/>
    <w:link w:val="Text1Char"/>
    <w:pPr>
      <w:spacing w:after="240"/>
      <w:ind w:left="482"/>
      <w:jc w:val="both"/>
    </w:pPr>
    <w:rPr>
      <w:szCs w:val="20"/>
    </w:rPr>
  </w:style>
  <w:style w:type="character" w:customStyle="1" w:styleId="Text1Char">
    <w:name w:val="Text 1 Char"/>
    <w:link w:val="Text1"/>
    <w:locked/>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it-I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it-IT"/>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it-IT"/>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character" w:styleId="FootnoteReference">
    <w:name w:val="footnote reference"/>
    <w:aliases w:val="-E Fußnotenzeichen,number,SUPERS,Footnote Reference Superscript,EN Footnote Reference,-E Fuﬂnotenzeichen,-E Fuûnotenzeichen,Footnote number,stylish,Footnote symbol,(Footnote Reference),Footnote reference number,note TESI,BVI fnr"/>
    <w:basedOn w:val="DefaultParagraphFont"/>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paragraph" w:styleId="FootnoteText">
    <w:name w:val="footnote text"/>
    <w:aliases w:val="-E Fußnotentext,Fußnotentext Ursprung,Fußnote,-E Fußnotentext1,-E Fußnotentext2,-E Fußnotentext3,Fußnotentextf,Footnote text,Fußnotentext Char1,Fußnotentext Char Char,Fußnotentext Char1 Char Char,Fußnotentext Cha,Footnote Te,Footnote"/>
    <w:basedOn w:val="Normal"/>
    <w:link w:val="FootnoteTextChar"/>
    <w:uiPriority w:val="99"/>
    <w:unhideWhenUsed/>
    <w:rPr>
      <w:rFonts w:eastAsiaTheme="minorHAnsi" w:cstheme="minorBidi"/>
      <w:sz w:val="20"/>
      <w:szCs w:val="20"/>
    </w:rPr>
  </w:style>
  <w:style w:type="character" w:customStyle="1" w:styleId="FootnoteTextChar">
    <w:name w:val="Footnote Text Char"/>
    <w:aliases w:val="-E Fußnotentext Char,Fußnotentext Ursprung Char,Fußnote Char,-E Fußnotentext1 Char,-E Fußnotentext2 Char,-E Fußnotentext3 Char,Fußnotentextf Char,Footnote text Char,Fußnotentext Char1 Char,Fußnotentext Char Char Char,Footnote Te Char"/>
    <w:basedOn w:val="DefaultParagraphFont"/>
    <w:link w:val="FootnoteText"/>
    <w:uiPriority w:val="99"/>
    <w:rPr>
      <w:rFonts w:ascii="Times New Roman" w:hAnsi="Times New Roman"/>
      <w:sz w:val="20"/>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4"/>
    </w:rPr>
  </w:style>
  <w:style w:type="paragraph" w:customStyle="1" w:styleId="Text1">
    <w:name w:val="Text 1"/>
    <w:basedOn w:val="Normal"/>
    <w:link w:val="Text1Char"/>
    <w:pPr>
      <w:spacing w:after="240"/>
      <w:ind w:left="482"/>
      <w:jc w:val="both"/>
    </w:pPr>
    <w:rPr>
      <w:szCs w:val="20"/>
    </w:rPr>
  </w:style>
  <w:style w:type="character" w:customStyle="1" w:styleId="Text1Char">
    <w:name w:val="Text 1 Char"/>
    <w:link w:val="Text1"/>
    <w:locked/>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6DCF41F10D214DBDDF7E1F5EB8F7C1" ma:contentTypeVersion="1" ma:contentTypeDescription="Create a new document." ma:contentTypeScope="" ma:versionID="4d11a2104eb79e191fab213970d36f05">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2.xml><?xml version="1.0" encoding="utf-8"?>
<ds:datastoreItem xmlns:ds="http://schemas.openxmlformats.org/officeDocument/2006/customXml" ds:itemID="{E1588CBB-D78F-412D-9B35-4671E1A44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228E3-FEEC-429F-8C93-CFCC37DE565D}">
  <ds:schemaRefs>
    <ds:schemaRef ds:uri="http://purl.org/dc/elements/1.1/"/>
    <ds:schemaRef ds:uri="http://schemas.microsoft.com/office/2006/documentManagement/types"/>
    <ds:schemaRef ds:uri="http://www.w3.org/XML/1998/namespace"/>
    <ds:schemaRef ds:uri="http://purl.org/dc/dcmitype/"/>
    <ds:schemaRef ds:uri="http://purl.org/dc/terms/"/>
    <ds:schemaRef ds:uri="http://schemas.openxmlformats.org/package/2006/metadata/core-properties"/>
    <ds:schemaRef ds:uri="http://schemas.microsoft.com/office/infopath/2007/PartnerControl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613</Words>
  <Characters>3696</Characters>
  <Application>Microsoft Office Word</Application>
  <DocSecurity>0</DocSecurity>
  <Lines>59</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2016-12-05T13:32:00Z</cp:lastPrinted>
  <dcterms:created xsi:type="dcterms:W3CDTF">2018-11-28T09:25:00Z</dcterms:created>
  <dcterms:modified xsi:type="dcterms:W3CDTF">2019-01-29T12:38:00Z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ContentTypeId">
    <vt:lpwstr>0x010100AB6DCF41F10D214DBDDF7E1F5EB8F7C1</vt:lpwstr>
  </property>
  <property fmtid="{D5CDD505-2E9C-101B-9397-08002B2CF9AE}" pid="10" name="TemplateUrl">
    <vt:lpwstr/>
  </property>
  <property fmtid="{D5CDD505-2E9C-101B-9397-08002B2CF9AE}" pid="11" name="Level of sensitivity">
    <vt:lpwstr>Standard treatment</vt:lpwstr>
  </property>
  <property fmtid="{D5CDD505-2E9C-101B-9397-08002B2CF9AE}" pid="12" name="Last edited using">
    <vt:lpwstr>LW 6.0.1, Build 20180503</vt:lpwstr>
  </property>
  <property fmtid="{D5CDD505-2E9C-101B-9397-08002B2CF9AE}" pid="13" name="Created using">
    <vt:lpwstr>LW 6.0.1, Build 20180503</vt:lpwstr>
  </property>
</Properties>
</file>