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FFC51F4-7372-4F8F-BC6A-1ADFAE5E36CB" style="width:450.8pt;height:394.4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Streszczenie oceny skutków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Zasadność działań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Dlaczego należy podjąć działania? Na czym polega problem?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1"/>
              <w:spacing w:before="120" w:after="120"/>
              <w:ind w:left="0"/>
              <w:rPr>
                <w:rFonts w:ascii="Arial" w:eastAsiaTheme="minorHAnsi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Zgodnie z art. 22 rozporządzenia (UE) 2015/757 w sprawie monitorowania, raportowania i weryfikacji emisji dwutlenku węgla z transportu morskiego („rozporządzenie UE w sprawie monitorowania, raportowania i weryfikacji”), Komisja proponuje dokonać zmiany tego rozporządzenia w celu właściwego uwzględnienia wprowadzonego przez IMO globalnego systemu gromadzenia danych na temat zużycia paliwa olejowego przez statki.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 jest cel inicjatywy?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Celem jest ułatwienie harmonijnego wdrażania dwóch systemów monitorowania, raportowania i weryfikacji przy jednoczesnym zachowaniu celów rozporządzenia UE w sprawie monitorowania, raportowania i weryfikacji, takich jak gromadzenie rzetelnych i zweryfikowanych danych dotyczących emisji CO</w:t>
            </w:r>
            <w:r>
              <w:rPr>
                <w:rFonts w:ascii="Arial" w:hAnsi="Arial"/>
                <w:noProof/>
                <w:sz w:val="20"/>
                <w:vertAlign w:val="subscript"/>
              </w:rPr>
              <w:t>2</w:t>
            </w:r>
            <w:r>
              <w:rPr>
                <w:rFonts w:ascii="Arial" w:hAnsi="Arial"/>
                <w:noProof/>
                <w:sz w:val="20"/>
              </w:rPr>
              <w:t xml:space="preserve"> na poziomie poszczególnych statków, aby zachęcać do przyjmowania środków z zakresu efektywności energetycznej oraz dostarczać informacji, które będą wykorzystywane w przyszłości przy podejmowaniu decyzji politycznych.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Na czym polega wartość dodana podjęcia działań na poziomie UE?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Dzięki jednolitemu zestawowi wymagań w zakresie monitorowania, raportowania i weryfikacji na poziomie Unii, proponowane działanie zapewni trwałą porównywalność i rzetelność danych dotyczących emisji CO</w:t>
            </w:r>
            <w:r>
              <w:rPr>
                <w:rFonts w:ascii="Arial" w:eastAsiaTheme="minorHAnsi" w:hAnsi="Arial"/>
                <w:noProof/>
                <w:sz w:val="20"/>
                <w:vertAlign w:val="subscript"/>
              </w:rPr>
              <w:t>2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 ze statków.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Rozwiązania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warianty legislacyjne i nielegislacyjne rozważono? Czy wskazano preferowany wariant? Jak uzasadniono ten wybór lub jego brak?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HAnsi" w:hAnsi="Arial"/>
                <w:noProof/>
                <w:sz w:val="20"/>
              </w:rPr>
              <w:t>Aby zachować cele rozporządzenia w sprawie monitorowania, raportowania i weryfikacji z góry zarzucono koncepcję przewidującą dostosowanie wymogów z zakresu zarządzania i raportowania emisji CO</w:t>
            </w:r>
            <w:r>
              <w:rPr>
                <w:rFonts w:ascii="Arial" w:eastAsiaTheme="minorHAnsi" w:hAnsi="Arial"/>
                <w:noProof/>
                <w:sz w:val="20"/>
                <w:vertAlign w:val="subscript"/>
              </w:rPr>
              <w:t>2</w:t>
            </w:r>
            <w:r>
              <w:rPr>
                <w:rFonts w:ascii="Arial" w:eastAsiaTheme="minorHAnsi" w:hAnsi="Arial"/>
                <w:noProof/>
                <w:sz w:val="20"/>
              </w:rPr>
              <w:t xml:space="preserve">, natomiast rozpatrzono 3 możliwe warianty strategiczne. Wariant 1 odzwierciedlał sytuację, która miałaby miejsce, gdyby nie podjęto żadnych działań. W wariancie 2 oceniono różne scenariusze uproszczenia mające na celu ograniczenie obciążenia administracyjnego i zachowanie celów rozporządzenia UE w sprawie monitorowania, raportowania i weryfikacji. W wariancie 3 przewidziano pełną harmonizację wszystkich aspektów technicznych obydwu systemów. 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Wybrano wariant 2 i zgodnie z nim postanowiono uprościć i dostosować obydwa systemy pod względem definicji, parametrów monitorowania oraz planów i szablonów monitorowania, aby zmniejszyć obciążenie administracyjne, jednocześnie postanowiono nie zmieniać wymogów dotyczących zarządzania, zakresu, weryfikacji, przejrzystości ani wymogów w odniesieniu do raportowania w zakresie emisji CO</w:t>
            </w:r>
            <w:r>
              <w:rPr>
                <w:rFonts w:ascii="Arial" w:hAnsi="Arial"/>
                <w:noProof/>
                <w:sz w:val="20"/>
                <w:vertAlign w:val="subscript"/>
              </w:rPr>
              <w:t>2</w:t>
            </w:r>
            <w:r>
              <w:rPr>
                <w:rFonts w:ascii="Arial" w:hAnsi="Arial"/>
                <w:noProof/>
                <w:sz w:val="20"/>
              </w:rPr>
              <w:t xml:space="preserve">, aby zachować cele rozporządzenia UE w sprawie monitorowania, raportowania i weryfikacji. 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 kształtuje się poparcie dla poszczególnych wariantów?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Wariant 2 jest zgodny z opiniami wyrażonymi przez zainteresowane strony w ich odpowiedziach na internetowe konsultacje publiczne, w których podkreślono konieczność dostosowania aspektów technicznych obu systemów. Zarazem utrzymanie podejścia UE w odniesieniu do weryfikacji i przejrzystości jest zgodne ze stanowiskiem wyrażonym przez przedstawicieli społeczeństwa obywatelskiego, środowiska akademickiego, obywateli i państw członkowskich.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Skutki wdrożenia preferowanego wariantu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korzyści przyniesie wdrożenie preferowanego wariantu lub – jeśli go nie wskazano – głównych wariantów?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Preferowany wariant zachowuje korzyści jakie niesie rozporządzenie UE w sprawie monitorowania, raportowania i weryfikacji pod względem skutków środowiskowych, społecznych i gospodarczych, a zarazem zmniejsza obciążenie administracyjne dla przedsiębiorstw.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są koszty wdrożenia preferowanego wariantu lub – jeśli go nie wskazano – głównych wariantów?</w:t>
            </w:r>
            <w:r>
              <w:rPr>
                <w:rFonts w:ascii="Tahoma" w:hAnsi="Tahoma"/>
                <w:noProof/>
                <w:sz w:val="20"/>
              </w:rPr>
              <w:t xml:space="preserve">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Dostosowując niektóre z aspektów obydwu systemów monitorowania, raportowania i weryfikacji, wariant preferowany zmniejsza obciążenie administracyjne i powiązane koszty w przypadku statków, które muszą raportować w ramach obydwu systemów monitorowania, raportowania i weryfikacji.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Jakie będą skutki dla przedsiębiorstw, MŚP i mikroprzedsiębiorstw?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Przedsiębiorstwa objęte obydwoma systemami monitorowania, raportowania i weryfikacji odniosą korzyści w związku ze zmniejszeniem obciążenia administracyjnego, natomiast 99 proc. MŚP świadczących usługi transportu morskiego nie odczuje skutków podjętych działań, ponieważ statki o pojemności brutto poniżej 5000 GT pozostaną nieobjęte zakresem rozporządzenia UE w sprawie monitorowania, raportowania i weryfikacji.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Czy przewiduje się znaczące skutki dla budżetów i administracji krajowych?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Krajowe budżety i administracje nie odczują znaczących skutków, ponieważ unijny system monitorowania, raportowania i weryfikacji już istnieje. Natomiast skutki w postaci obowiązków w zakresie raportowania mogą odczuć państwa bandery.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Czy wystąpią inne znaczące skutki?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Nie stwierdzono żadnych innych znaczących skutków.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Działania następcze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Kiedy nastąpi przegląd przyjętej polityki?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Przewiduje się regularne jej monitorowanie za pośrednictwem przekazywanych przez państwa członkowskie co dwa lata informacji dotyczących szeregu wskaźników.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018"/>
    <w:multiLevelType w:val="multilevel"/>
    <w:tmpl w:val="D124D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warzysz\u261?cy dokumentowi:"/>
    <w:docVar w:name="LW_CORRIGENDUM" w:val="&lt;UNUSED&gt;"/>
    <w:docVar w:name="LW_COVERPAGE_EXISTS" w:val="True"/>
    <w:docVar w:name="LW_COVERPAGE_GUID" w:val="7FFC51F4-7372-4F8F-BC6A-1ADFAE5E36CB"/>
    <w:docVar w:name="LW_COVERPAGE_TYPE" w:val="1"/>
    <w:docVar w:name="LW_CROSSREFERENCE" w:val="{COM(2019) 38 final} - {SEC(2019) 20 final} - {SWD(2019) 10 final}"/>
    <w:docVar w:name="LW_DocType" w:val="NORMAL"/>
    <w:docVar w:name="LW_EMISSION" w:val="4.2.2019"/>
    <w:docVar w:name="LW_EMISSION_ISODATE" w:val="2019-02-04"/>
    <w:docVar w:name="LW_EMISSION_LOCATION" w:val="BRX"/>
    <w:docVar w:name="LW_EMISSION_PREFIX" w:val="Bruksela, dnia "/>
    <w:docVar w:name="LW_EMISSION_SUFFIX" w:val=" r."/>
    <w:docVar w:name="LW_ID_DOCTYPE_NONLW" w:val="CP-02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zmieniaj\u261?cego rozporz\u261?dzenie (UE) 2015/757 w celu w\u322?a\u347?ciwego uwzgl\u281?dnienia globalnego systemu gromadzenia danych na temat zu\u380?ycia paliwa olejowego przez statki"/>
    <w:docVar w:name="LW_PART_NBR" w:val="1"/>
    <w:docVar w:name="LW_PART_NBR_TOTAL" w:val="1"/>
    <w:docVar w:name="LW_REF.INST.NEW" w:val="SWD"/>
    <w:docVar w:name="LW_REF.INST.NEW_ADOPTED" w:val="final"/>
    <w:docVar w:name="LW_REF.INST.NEW_TEXT" w:val="(2019) 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ROBOCZY S\u321?U\u379?B KOMISJI_x000b__x000b_STRESZCZENIE OCENY SKUTKÓW_x000b_"/>
    <w:docVar w:name="LW_TYPEACTEPRINCIPAL.CP" w:val="wniosek w sprawie rozporz\u261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-E Fußnotenzeichen,number,SUPERS,Footnote Reference Superscript,EN Footnote Reference,-E Fuﬂnotenzeichen,-E Fuûnotenzeichen,Footnote number,stylish,Footnote symbol,(Footnote Reference),Footnote reference number,note TESI,BVI fnr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aliases w:val="-E Fußnotentext,Fußnotentext Ursprung,Fußnote,-E Fußnotentext1,-E Fußnotentext2,-E Fußnotentext3,Fußnotentextf,Footnote text,Fußnotentext Char1,Fußnotentext Char Char,Fußnotentext Char1 Char Char,Fußnotentext Cha,Footnote Te,Footnote"/>
    <w:basedOn w:val="Normal"/>
    <w:link w:val="FootnoteTextChar"/>
    <w:uiPriority w:val="99"/>
    <w:unhideWhenUsed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aliases w:val="-E Fußnotentext Char,Fußnotentext Ursprung Char,Fußnote Char,-E Fußnotentext1 Char,-E Fußnotentext2 Char,-E Fußnotentext3 Char,Fußnotentextf Char,Footnote text Char,Fußnotentext Char1 Char,Fußnotentext Char Char Char,Footnote Te Char"/>
    <w:basedOn w:val="DefaultParagraphFont"/>
    <w:link w:val="FootnoteText"/>
    <w:uiPriority w:val="99"/>
    <w:rPr>
      <w:rFonts w:ascii="Times New Roman" w:hAnsi="Times New Roman"/>
      <w:sz w:val="20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Text1">
    <w:name w:val="Text 1"/>
    <w:basedOn w:val="Normal"/>
    <w:link w:val="Text1Char"/>
    <w:pPr>
      <w:spacing w:after="240"/>
      <w:ind w:left="482"/>
      <w:jc w:val="both"/>
    </w:pPr>
    <w:rPr>
      <w:szCs w:val="20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-E Fußnotenzeichen,number,SUPERS,Footnote Reference Superscript,EN Footnote Reference,-E Fuﬂnotenzeichen,-E Fuûnotenzeichen,Footnote number,stylish,Footnote symbol,(Footnote Reference),Footnote reference number,note TESI,BVI fnr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aliases w:val="-E Fußnotentext,Fußnotentext Ursprung,Fußnote,-E Fußnotentext1,-E Fußnotentext2,-E Fußnotentext3,Fußnotentextf,Footnote text,Fußnotentext Char1,Fußnotentext Char Char,Fußnotentext Char1 Char Char,Fußnotentext Cha,Footnote Te,Footnote"/>
    <w:basedOn w:val="Normal"/>
    <w:link w:val="FootnoteTextChar"/>
    <w:uiPriority w:val="99"/>
    <w:unhideWhenUsed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aliases w:val="-E Fußnotentext Char,Fußnotentext Ursprung Char,Fußnote Char,-E Fußnotentext1 Char,-E Fußnotentext2 Char,-E Fußnotentext3 Char,Fußnotentextf Char,Footnote text Char,Fußnotentext Char1 Char,Fußnotentext Char Char Char,Footnote Te Char"/>
    <w:basedOn w:val="DefaultParagraphFont"/>
    <w:link w:val="FootnoteText"/>
    <w:uiPriority w:val="99"/>
    <w:rPr>
      <w:rFonts w:ascii="Times New Roman" w:hAnsi="Times New Roman"/>
      <w:sz w:val="20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Text1">
    <w:name w:val="Text 1"/>
    <w:basedOn w:val="Normal"/>
    <w:link w:val="Text1Char"/>
    <w:pPr>
      <w:spacing w:after="240"/>
      <w:ind w:left="482"/>
      <w:jc w:val="both"/>
    </w:pPr>
    <w:rPr>
      <w:szCs w:val="20"/>
    </w:rPr>
  </w:style>
  <w:style w:type="character" w:customStyle="1" w:styleId="Text1Char">
    <w:name w:val="Text 1 Char"/>
    <w:link w:val="Text1"/>
    <w:locked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4485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2016-12-05T13:32:00Z</cp:lastPrinted>
  <dcterms:created xsi:type="dcterms:W3CDTF">2018-11-28T09:25:00Z</dcterms:created>
  <dcterms:modified xsi:type="dcterms:W3CDTF">2019-01-29T12:39:00Z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0x010100AB6DCF41F10D214DBDDF7E1F5EB8F7C1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  <property fmtid="{D5CDD505-2E9C-101B-9397-08002B2CF9AE}" pid="12" name="Last edited using">
    <vt:lpwstr>LW 6.0.1, Build 20180503</vt:lpwstr>
  </property>
  <property fmtid="{D5CDD505-2E9C-101B-9397-08002B2CF9AE}" pid="13" name="Created using">
    <vt:lpwstr>LW 6.0.1, Build 20180503</vt:lpwstr>
  </property>
</Properties>
</file>