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EF1F1F20-EE39-431A-B34E-6D5632FF713B" style="width:450.8pt;height:408.85pt">
            <v:imagedata r:id="rId11" o:title=""/>
          </v:shape>
        </w:pict>
      </w:r>
    </w:p>
    <w:bookmarkEnd w:id="0"/>
    <w:p>
      <w:pPr>
        <w:rPr>
          <w:noProof/>
        </w:rPr>
        <w:sectPr>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1"/>
          <w:cols w:space="720"/>
          <w:docGrid w:linePitch="360"/>
        </w:sect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bookmarkStart w:id="1" w:name="_GoBack"/>
            <w:bookmarkEnd w:id="1"/>
            <w:r>
              <w:rPr>
                <w:rFonts w:ascii="Tahoma" w:hAnsi="Tahoma"/>
                <w:b/>
                <w:noProof/>
                <w:sz w:val="22"/>
              </w:rPr>
              <w:lastRenderedPageBreak/>
              <w:t>Fișă rezumat</w:t>
            </w:r>
          </w:p>
        </w:tc>
      </w:tr>
      <w:tr>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pPr>
              <w:spacing w:before="120" w:after="120"/>
              <w:jc w:val="both"/>
              <w:rPr>
                <w:rFonts w:ascii="Tahoma" w:hAnsi="Tahoma" w:cs="Tahoma"/>
                <w:noProof/>
                <w:color w:val="FFFFFF" w:themeColor="background1"/>
                <w:sz w:val="20"/>
                <w:szCs w:val="20"/>
              </w:rPr>
            </w:pP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A. Necesitatea de a acționa</w:t>
            </w:r>
          </w:p>
        </w:tc>
      </w:tr>
      <w:tr>
        <w:tc>
          <w:tcPr>
            <w:tcW w:w="10188" w:type="dxa"/>
            <w:tcBorders>
              <w:bottom w:val="single" w:sz="4" w:space="0" w:color="auto"/>
            </w:tcBorders>
            <w:shd w:val="clear" w:color="auto" w:fill="E0E0E0"/>
          </w:tcPr>
          <w:p>
            <w:pPr>
              <w:spacing w:before="60" w:after="60"/>
              <w:jc w:val="both"/>
              <w:rPr>
                <w:rFonts w:ascii="Tahoma" w:hAnsi="Tahoma" w:cs="Tahoma"/>
                <w:noProof/>
                <w:sz w:val="20"/>
                <w:szCs w:val="20"/>
              </w:rPr>
            </w:pPr>
            <w:r>
              <w:rPr>
                <w:rFonts w:ascii="Tahoma" w:hAnsi="Tahoma"/>
                <w:b/>
                <w:noProof/>
                <w:sz w:val="20"/>
              </w:rPr>
              <w:t>De ce? Care este problema abordată?</w:t>
            </w:r>
          </w:p>
        </w:tc>
      </w:tr>
      <w:tr>
        <w:tc>
          <w:tcPr>
            <w:tcW w:w="10188" w:type="dxa"/>
            <w:tcBorders>
              <w:bottom w:val="single" w:sz="4" w:space="0" w:color="auto"/>
            </w:tcBorders>
            <w:shd w:val="clear" w:color="auto" w:fill="auto"/>
          </w:tcPr>
          <w:p>
            <w:pPr>
              <w:pStyle w:val="Text1"/>
              <w:spacing w:before="120" w:after="120"/>
              <w:ind w:left="0"/>
              <w:rPr>
                <w:rFonts w:ascii="Arial" w:eastAsiaTheme="minorHAnsi" w:hAnsi="Arial" w:cs="Arial"/>
                <w:noProof/>
                <w:sz w:val="20"/>
              </w:rPr>
            </w:pPr>
            <w:r>
              <w:rPr>
                <w:rFonts w:ascii="Arial" w:hAnsi="Arial"/>
                <w:noProof/>
                <w:sz w:val="20"/>
              </w:rPr>
              <w:t>În temeiul articolului 22 din Regulamentul (UE) 2015/757 privind monitorizarea, raportarea și verificarea emisiilor de CO</w:t>
            </w:r>
            <w:r>
              <w:rPr>
                <w:rFonts w:ascii="Arial" w:hAnsi="Arial"/>
                <w:noProof/>
                <w:sz w:val="20"/>
                <w:vertAlign w:val="subscript"/>
              </w:rPr>
              <w:t>2</w:t>
            </w:r>
            <w:r>
              <w:rPr>
                <w:rFonts w:ascii="Arial" w:hAnsi="Arial"/>
                <w:noProof/>
                <w:sz w:val="20"/>
              </w:rPr>
              <w:t xml:space="preserve"> generate de transportul maritim („Regulamentul UE privind MRV”), Comisia propune modificarea regulamentului respectiv pentru a se ține seama în mod corespunzător de sistemul global de colectare a datelor privind consumul de păcură al navelor stabilit de OMI.</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Ce se așteaptă de la această inițiativă?</w:t>
            </w:r>
          </w:p>
        </w:tc>
      </w:tr>
      <w:tr>
        <w:tc>
          <w:tcPr>
            <w:tcW w:w="10188" w:type="dxa"/>
            <w:tcBorders>
              <w:bottom w:val="single" w:sz="4" w:space="0" w:color="auto"/>
            </w:tcBorders>
            <w:shd w:val="clear" w:color="auto" w:fill="auto"/>
          </w:tcPr>
          <w:p>
            <w:pPr>
              <w:spacing w:after="120"/>
              <w:jc w:val="both"/>
              <w:rPr>
                <w:rFonts w:ascii="Arial" w:hAnsi="Arial" w:cs="Arial"/>
                <w:noProof/>
                <w:sz w:val="20"/>
                <w:szCs w:val="20"/>
              </w:rPr>
            </w:pPr>
            <w:r>
              <w:rPr>
                <w:rFonts w:ascii="Arial" w:hAnsi="Arial"/>
                <w:noProof/>
                <w:sz w:val="20"/>
              </w:rPr>
              <w:t>Scopul este de a facilita punerea în aplicare armonioasă a celor două sisteme MRV, păstrând în același timp obiectivele Regulamentului UE privind MRV, și anume de a menține colectarea de date solide și verificate privind emisiile de CO</w:t>
            </w:r>
            <w:r>
              <w:rPr>
                <w:rFonts w:ascii="Arial" w:hAnsi="Arial"/>
                <w:noProof/>
                <w:sz w:val="20"/>
                <w:vertAlign w:val="subscript"/>
              </w:rPr>
              <w:t>2</w:t>
            </w:r>
            <w:r>
              <w:rPr>
                <w:rFonts w:ascii="Arial" w:hAnsi="Arial"/>
                <w:noProof/>
                <w:sz w:val="20"/>
              </w:rPr>
              <w:t xml:space="preserve"> la nivelul fiecărei nave, pentru a stimula adoptarea de soluții în materie de eficiență energetică și pentru a contribui la viitoarele decizii privind elaborarea politicilor. </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Care este valoarea adăugată a acțiunii la nivelul UE?</w:t>
            </w:r>
          </w:p>
        </w:tc>
      </w:tr>
      <w:tr>
        <w:tc>
          <w:tcPr>
            <w:tcW w:w="10188" w:type="dxa"/>
            <w:tcBorders>
              <w:bottom w:val="single" w:sz="4" w:space="0" w:color="auto"/>
            </w:tcBorders>
            <w:shd w:val="clear" w:color="auto" w:fill="auto"/>
          </w:tcPr>
          <w:p>
            <w:pPr>
              <w:autoSpaceDE w:val="0"/>
              <w:autoSpaceDN w:val="0"/>
              <w:adjustRightInd w:val="0"/>
              <w:spacing w:after="120"/>
              <w:jc w:val="both"/>
              <w:rPr>
                <w:rFonts w:ascii="Arial" w:eastAsiaTheme="minorHAnsi" w:hAnsi="Arial" w:cs="Arial"/>
                <w:noProof/>
                <w:sz w:val="20"/>
                <w:szCs w:val="20"/>
              </w:rPr>
            </w:pPr>
            <w:r>
              <w:rPr>
                <w:rFonts w:ascii="Arial" w:eastAsiaTheme="minorHAnsi" w:hAnsi="Arial"/>
                <w:noProof/>
                <w:sz w:val="20"/>
              </w:rPr>
              <w:t>Prin menținerea unui set unic de cerințe în materie de MRV la nivelul Uniunii, acțiunea propusă va asigura comparabilitatea și fiabilitatea constante ale datelor privind emisiile de CO</w:t>
            </w:r>
            <w:r>
              <w:rPr>
                <w:rFonts w:ascii="Arial" w:hAnsi="Arial"/>
                <w:noProof/>
                <w:sz w:val="20"/>
                <w:vertAlign w:val="subscript"/>
              </w:rPr>
              <w:t>2</w:t>
            </w:r>
            <w:r>
              <w:rPr>
                <w:rFonts w:ascii="Arial" w:eastAsiaTheme="minorHAnsi" w:hAnsi="Arial"/>
                <w:noProof/>
                <w:sz w:val="20"/>
              </w:rPr>
              <w:t xml:space="preserve"> provenite de la nave.</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B. Soluții</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Ce opțiuni de politică legislative și nelegislative au fost luate în considerare? Există sau nu o opțiune preferată? De ce?</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eastAsiaTheme="minorHAnsi" w:hAnsi="Arial"/>
                <w:noProof/>
                <w:sz w:val="20"/>
              </w:rPr>
              <w:t>Alinierea „guvernanței” și a „raportării privind emisiile de CO</w:t>
            </w:r>
            <w:r>
              <w:rPr>
                <w:rFonts w:ascii="Arial" w:hAnsi="Arial"/>
                <w:noProof/>
                <w:sz w:val="20"/>
                <w:vertAlign w:val="subscript"/>
              </w:rPr>
              <w:t>2</w:t>
            </w:r>
            <w:r>
              <w:rPr>
                <w:rFonts w:ascii="Arial" w:eastAsiaTheme="minorHAnsi" w:hAnsi="Arial"/>
                <w:noProof/>
                <w:sz w:val="20"/>
              </w:rPr>
              <w:t xml:space="preserve">” a fost eliminată de la început în scopul de a menține obiectivele Regulamentului UE privind MRV, însă au fost evaluate 3 opțiuni de politică. Opțiunea 1 a arătat ce s-ar întâmpla în cazul în care nu s-ar lua nicio măsură. Opțiunea 2 a evaluat diferite scenarii de raționalizare menite să reducă sarcina administrativă și să protejeze obiectivele Regulamentului UE privind MRV. Opțiunea 3 s-a referit la armonizarea tehnică integrală a celor două sisteme. </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rPr>
              <w:t>Opțiunea preferată, și anume opțiunea 2, este de a raționaliza cele două sisteme în ceea ce privește definițiile, parametrii de monitorizare, planurile de monitorizare și modelele de reducere a sarcinilor administrative, dar fără a modifica guvernanța, domeniul de aplicare și cerințele privind verificarea, transparența și raportarea emisiilor de CO</w:t>
            </w:r>
            <w:r>
              <w:rPr>
                <w:rFonts w:ascii="Arial" w:hAnsi="Arial"/>
                <w:noProof/>
                <w:sz w:val="20"/>
                <w:vertAlign w:val="subscript"/>
              </w:rPr>
              <w:t>2</w:t>
            </w:r>
            <w:r>
              <w:rPr>
                <w:rFonts w:ascii="Arial" w:hAnsi="Arial"/>
                <w:noProof/>
                <w:sz w:val="20"/>
              </w:rPr>
              <w:t xml:space="preserve">, astfel încât să fie menținute obiectivele Regulamentului UE privind MRV. </w:t>
            </w:r>
          </w:p>
        </w:tc>
      </w:tr>
      <w:tr>
        <w:tc>
          <w:tcPr>
            <w:tcW w:w="10188" w:type="dxa"/>
            <w:shd w:val="clear" w:color="auto" w:fill="CCCCCC"/>
          </w:tcPr>
          <w:p>
            <w:pPr>
              <w:spacing w:before="60"/>
              <w:jc w:val="both"/>
              <w:rPr>
                <w:rFonts w:ascii="Tahoma" w:hAnsi="Tahoma" w:cs="Tahoma"/>
                <w:noProof/>
                <w:sz w:val="20"/>
                <w:szCs w:val="20"/>
              </w:rPr>
            </w:pPr>
            <w:r>
              <w:rPr>
                <w:rFonts w:ascii="Tahoma" w:hAnsi="Tahoma"/>
                <w:b/>
                <w:noProof/>
                <w:sz w:val="20"/>
              </w:rPr>
              <w:t>Care sunt susținătorii fiecărei opțiuni?</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 xml:space="preserve">Opțiunea 2 este în concordanță cu prioritățile exprimate de majoritatea părților interesate care au participat la consultarea publică online și care au subliniat necesitatea de a alinia aspectele tehnice. În același timp, menținerea abordării UE privind verificarea și transparența este conformă poziției societății civile, a mediului academic, a cetățenilor și a statelor membre. </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C. Impactul opțiunii preferate</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Care sunt beneficiile opțiunii preferate (sau ale opțiunilor principale, dacă nu există o opțiune preferată)?</w:t>
            </w:r>
            <w:r>
              <w:rPr>
                <w:rFonts w:ascii="Tahoma" w:hAnsi="Tahoma"/>
                <w:noProof/>
                <w:sz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Opțiunea preferată menține beneficiile Regulamentului UE privind MRV în ceea ce privește impactul de mediu, social și economic și reduce sarcina administrativă pentru societăți.</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Care sunt costurile opțiunii preferate (sau ale opțiunilor principale, dacă nu există o opțiune preferată)?</w:t>
            </w:r>
            <w:r>
              <w:rPr>
                <w:rFonts w:ascii="Tahoma" w:hAnsi="Tahoma"/>
                <w:noProof/>
                <w:sz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 xml:space="preserve">Prin raționalizarea anumitor aspecte ale celor două sisteme MRV, opțiunea preferată reduce sarcina administrativă și costurile aferente pentru navele care trebuie să raporteze în cadrul ambelor sisteme MRV. </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Care va fi impactul asupra societăților, IMM-urilor și microîntreprinderilor?</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Deși întreprinderile care fac obiectul ambelor sisteme MRV vor beneficia de o sarcină administrativă redusă, aproximativ 99 % din IMM-urile din sectorul transportului maritim vor continua să nu fie afectate, deoarece navele cu un tonaj brut mai mic de 5000 nu intră în domeniul de aplicare al Regulamentului UE privind MRV.</w:t>
            </w:r>
          </w:p>
        </w:tc>
      </w:tr>
      <w:tr>
        <w:tc>
          <w:tcPr>
            <w:tcW w:w="10188" w:type="dxa"/>
            <w:tcBorders>
              <w:bottom w:val="single" w:sz="4" w:space="0" w:color="auto"/>
            </w:tcBorders>
            <w:shd w:val="clear" w:color="auto" w:fill="E6E6E6"/>
          </w:tcPr>
          <w:p>
            <w:pPr>
              <w:spacing w:before="60"/>
              <w:jc w:val="both"/>
              <w:rPr>
                <w:rFonts w:ascii="Tahoma" w:hAnsi="Tahoma" w:cs="Tahoma"/>
                <w:b/>
                <w:i/>
                <w:noProof/>
                <w:sz w:val="20"/>
                <w:szCs w:val="20"/>
              </w:rPr>
            </w:pPr>
            <w:r>
              <w:rPr>
                <w:rFonts w:ascii="Tahoma" w:hAnsi="Tahoma"/>
                <w:b/>
                <w:noProof/>
                <w:sz w:val="20"/>
              </w:rPr>
              <w:t>Va exista un impact semnificativ asupra bugetelor și administrațiilor naționale?</w:t>
            </w:r>
          </w:p>
        </w:tc>
      </w:tr>
      <w:tr>
        <w:tc>
          <w:tcPr>
            <w:tcW w:w="10188" w:type="dxa"/>
            <w:shd w:val="clear" w:color="auto" w:fill="auto"/>
          </w:tcPr>
          <w:p>
            <w:pPr>
              <w:jc w:val="both"/>
              <w:rPr>
                <w:rFonts w:ascii="Arial" w:hAnsi="Arial" w:cs="Arial"/>
                <w:noProof/>
                <w:sz w:val="20"/>
                <w:szCs w:val="20"/>
              </w:rPr>
            </w:pPr>
            <w:r>
              <w:rPr>
                <w:rFonts w:ascii="Arial" w:hAnsi="Arial"/>
                <w:noProof/>
                <w:sz w:val="20"/>
              </w:rPr>
              <w:t>Nu va exista niciun impact semnificativ asupra bugetelor și administrației naționale, deoarece Regulamentul UE privind MRV este deja în vigoare. Totuși, acest sistem poate contribui la respectarea obligațiilor de raportare ale statelor de pavilion.</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Vor exista și alte efecte semnificative?</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Nu au fost identificate alte efecte.</w:t>
            </w:r>
          </w:p>
        </w:tc>
      </w:tr>
      <w:tr>
        <w:tc>
          <w:tcPr>
            <w:tcW w:w="10188" w:type="dxa"/>
            <w:tcBorders>
              <w:bottom w:val="single" w:sz="4" w:space="0" w:color="auto"/>
            </w:tcBorders>
            <w:shd w:val="clear" w:color="auto" w:fill="C0C0C0"/>
          </w:tcPr>
          <w:p>
            <w:pPr>
              <w:spacing w:before="60" w:after="60"/>
              <w:jc w:val="center"/>
              <w:rPr>
                <w:rFonts w:ascii="Tahoma" w:hAnsi="Tahoma" w:cs="Tahoma"/>
                <w:b/>
                <w:noProof/>
                <w:sz w:val="22"/>
                <w:szCs w:val="22"/>
              </w:rPr>
            </w:pPr>
            <w:r>
              <w:rPr>
                <w:rFonts w:ascii="Tahoma" w:hAnsi="Tahoma"/>
                <w:b/>
                <w:noProof/>
                <w:sz w:val="22"/>
              </w:rPr>
              <w:t>D. Acțiuni subsecvente</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Când va fi revizuită politica?</w:t>
            </w:r>
          </w:p>
        </w:tc>
      </w:tr>
      <w:tr>
        <w:tc>
          <w:tcPr>
            <w:tcW w:w="10188" w:type="dxa"/>
            <w:tcBorders>
              <w:bottom w:val="single" w:sz="4" w:space="0" w:color="auto"/>
            </w:tcBorders>
            <w:shd w:val="clear" w:color="auto" w:fill="auto"/>
          </w:tcPr>
          <w:p>
            <w:pPr>
              <w:jc w:val="both"/>
              <w:rPr>
                <w:rFonts w:ascii="Tahoma" w:hAnsi="Tahoma" w:cs="Tahoma"/>
                <w:noProof/>
                <w:sz w:val="20"/>
                <w:szCs w:val="20"/>
              </w:rPr>
            </w:pPr>
            <w:r>
              <w:rPr>
                <w:rFonts w:ascii="Tahoma" w:hAnsi="Tahoma"/>
                <w:noProof/>
                <w:sz w:val="20"/>
              </w:rPr>
              <w:t>Se prevede o monitorizare periodică prin intermediul informațiilor cu privire la o serie de indicatori pe care statele membre trebuie să le furnizeze la fiecare doi ani.</w:t>
            </w:r>
          </w:p>
        </w:tc>
      </w:tr>
    </w:tbl>
    <w:p>
      <w:pPr>
        <w:rPr>
          <w:noProof/>
        </w:rPr>
      </w:pPr>
    </w:p>
    <w:sectPr>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77599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E6018"/>
    <w:multiLevelType w:val="multilevel"/>
    <w:tmpl w:val="D124DAB6"/>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504" w:hanging="504"/>
      </w:pPr>
      <w:rPr>
        <w:b/>
      </w:rPr>
    </w:lvl>
    <w:lvl w:ilvl="3">
      <w:start w:val="1"/>
      <w:numFmt w:val="decimal"/>
      <w:lvlText w:val="%1.%2.%3.%4."/>
      <w:lvlJc w:val="left"/>
      <w:pPr>
        <w:ind w:left="648" w:hanging="648"/>
      </w:pPr>
    </w:lvl>
    <w:lvl w:ilvl="4">
      <w:start w:val="1"/>
      <w:numFmt w:val="decimal"/>
      <w:lvlText w:val="%1.%2.%3.%4.%5."/>
      <w:lvlJc w:val="left"/>
      <w:pPr>
        <w:ind w:left="79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revisionView w:markup="0"/>
  <w:defaultTabStop w:val="720"/>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care înso\u355?e\u351?te documentul"/>
    <w:docVar w:name="LW_CORRIGENDUM" w:val="&lt;UNUSED&gt;"/>
    <w:docVar w:name="LW_COVERPAGE_EXISTS" w:val="True"/>
    <w:docVar w:name="LW_COVERPAGE_GUID" w:val="EF1F1F20-EE39-431A-B34E-6D5632FF713B"/>
    <w:docVar w:name="LW_COVERPAGE_TYPE" w:val="1"/>
    <w:docVar w:name="LW_CROSSREFERENCE" w:val="{COM(2019) 38 final} - {SEC(2019) 20 final} - {SWD(2019) 10 final}"/>
    <w:docVar w:name="LW_DocType" w:val="NORMAL"/>
    <w:docVar w:name="LW_EMISSION" w:val="4.2.2019"/>
    <w:docVar w:name="LW_EMISSION_ISODATE" w:val="2019-02-04"/>
    <w:docVar w:name="LW_EMISSION_LOCATION" w:val="BRX"/>
    <w:docVar w:name="LW_EMISSION_PREFIX" w:val="Bruxelles, "/>
    <w:docVar w:name="LW_EMISSION_SUFFIX" w:val=" "/>
    <w:docVar w:name="LW_ID_DOCTYPE_NONLW" w:val="CP-027"/>
    <w:docVar w:name="LW_LANGUE" w:val="RO"/>
    <w:docVar w:name="LW_LEVEL_OF_SENSITIVITY" w:val="Standard treatment"/>
    <w:docVar w:name="LW_NOM.INST" w:val="COMISIA EUROPEAN\u258?"/>
    <w:docVar w:name="LW_NOM.INST_JOINTDOC" w:val="&lt;EMPTY&gt;"/>
    <w:docVar w:name="LW_OBJETACTEPRINCIPAL.CP" w:val="de modificare a Regulamentului (UE) 2015/757 pentru a \u539?ine seama în mod corespunz\u259?tor de sistemul global de colectare a datelor în ceea ce prive\u537?te datele referitoare la consumul de p\u259?cur\u259? al navelor"/>
    <w:docVar w:name="LW_PART_NBR" w:val="1"/>
    <w:docVar w:name="LW_PART_NBR_TOTAL" w:val="1"/>
    <w:docVar w:name="LW_REF.INST.NEW" w:val="SWD"/>
    <w:docVar w:name="LW_REF.INST.NEW_ADOPTED" w:val="final"/>
    <w:docVar w:name="LW_REF.INST.NEW_TEXT" w:val="(2019) 1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DOCUMENT DE LUCRU AL SERVICIILOR COMISIEI_x000b__x000b_REZUMATUL EVALU\u258?RII IMPACTULUI_x000b_"/>
    <w:docVar w:name="LW_TYPEACTEPRINCIPAL.CP" w:val="Propunere de regulament al Parlamentului European \u537?i al Consiliului"/>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ro-RO"/>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ro-RO"/>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ro-RO"/>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character" w:styleId="FootnoteReference">
    <w:name w:val="footnote reference"/>
    <w:aliases w:val="-E Fußnotenzeichen,number,SUPERS,Footnote Reference Superscript,EN Footnote Reference,-E Fuﬂnotenzeichen,-E Fuûnotenzeichen,Footnote number,stylish,Footnote symbol,(Footnote Reference),Footnote reference number,note TESI,BVI fnr"/>
    <w:basedOn w:val="DefaultParagraphFont"/>
    <w:uiPriority w:val="99"/>
    <w:unhideWhenUsed/>
    <w:qFormat/>
    <w:rPr>
      <w:vertAlign w:val="superscript"/>
    </w:rPr>
  </w:style>
  <w:style w:type="character" w:styleId="Hyperlink">
    <w:name w:val="Hyperlink"/>
    <w:basedOn w:val="DefaultParagraphFont"/>
    <w:uiPriority w:val="99"/>
    <w:unhideWhenUsed/>
    <w:rPr>
      <w:color w:val="0000FF" w:themeColor="hyperlink"/>
      <w:u w:val="single"/>
    </w:rPr>
  </w:style>
  <w:style w:type="paragraph" w:styleId="FootnoteText">
    <w:name w:val="footnote text"/>
    <w:aliases w:val="-E Fußnotentext,Fußnotentext Ursprung,Fußnote,-E Fußnotentext1,-E Fußnotentext2,-E Fußnotentext3,Fußnotentextf,Footnote text,Fußnotentext Char1,Fußnotentext Char Char,Fußnotentext Char1 Char Char,Fußnotentext Cha,Footnote Te,Footnote"/>
    <w:basedOn w:val="Normal"/>
    <w:link w:val="FootnoteTextChar"/>
    <w:uiPriority w:val="99"/>
    <w:unhideWhenUsed/>
    <w:rPr>
      <w:rFonts w:eastAsiaTheme="minorHAnsi" w:cstheme="minorBidi"/>
      <w:sz w:val="20"/>
      <w:szCs w:val="20"/>
    </w:rPr>
  </w:style>
  <w:style w:type="character" w:customStyle="1" w:styleId="FootnoteTextChar">
    <w:name w:val="Footnote Text Char"/>
    <w:aliases w:val="-E Fußnotentext Char,Fußnotentext Ursprung Char,Fußnote Char,-E Fußnotentext1 Char,-E Fußnotentext2 Char,-E Fußnotentext3 Char,Fußnotentextf Char,Footnote text Char,Fußnotentext Char1 Char,Fußnotentext Char Char Char,Footnote Te Char"/>
    <w:basedOn w:val="DefaultParagraphFont"/>
    <w:link w:val="FootnoteText"/>
    <w:uiPriority w:val="99"/>
    <w:rPr>
      <w:rFonts w:ascii="Times New Roman" w:hAnsi="Times New Roman"/>
      <w:sz w:val="20"/>
      <w:szCs w:val="20"/>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4"/>
    </w:rPr>
  </w:style>
  <w:style w:type="paragraph" w:customStyle="1" w:styleId="Text1">
    <w:name w:val="Text 1"/>
    <w:basedOn w:val="Normal"/>
    <w:link w:val="Text1Char"/>
    <w:pPr>
      <w:spacing w:after="240"/>
      <w:ind w:left="482"/>
      <w:jc w:val="both"/>
    </w:pPr>
    <w:rPr>
      <w:szCs w:val="20"/>
    </w:rPr>
  </w:style>
  <w:style w:type="character" w:customStyle="1" w:styleId="Text1Char">
    <w:name w:val="Text 1 Char"/>
    <w:link w:val="Text1"/>
    <w:locked/>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ro-RO"/>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ro-RO"/>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ro-RO"/>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character" w:styleId="FootnoteReference">
    <w:name w:val="footnote reference"/>
    <w:aliases w:val="-E Fußnotenzeichen,number,SUPERS,Footnote Reference Superscript,EN Footnote Reference,-E Fuﬂnotenzeichen,-E Fuûnotenzeichen,Footnote number,stylish,Footnote symbol,(Footnote Reference),Footnote reference number,note TESI,BVI fnr"/>
    <w:basedOn w:val="DefaultParagraphFont"/>
    <w:uiPriority w:val="99"/>
    <w:unhideWhenUsed/>
    <w:qFormat/>
    <w:rPr>
      <w:vertAlign w:val="superscript"/>
    </w:rPr>
  </w:style>
  <w:style w:type="character" w:styleId="Hyperlink">
    <w:name w:val="Hyperlink"/>
    <w:basedOn w:val="DefaultParagraphFont"/>
    <w:uiPriority w:val="99"/>
    <w:unhideWhenUsed/>
    <w:rPr>
      <w:color w:val="0000FF" w:themeColor="hyperlink"/>
      <w:u w:val="single"/>
    </w:rPr>
  </w:style>
  <w:style w:type="paragraph" w:styleId="FootnoteText">
    <w:name w:val="footnote text"/>
    <w:aliases w:val="-E Fußnotentext,Fußnotentext Ursprung,Fußnote,-E Fußnotentext1,-E Fußnotentext2,-E Fußnotentext3,Fußnotentextf,Footnote text,Fußnotentext Char1,Fußnotentext Char Char,Fußnotentext Char1 Char Char,Fußnotentext Cha,Footnote Te,Footnote"/>
    <w:basedOn w:val="Normal"/>
    <w:link w:val="FootnoteTextChar"/>
    <w:uiPriority w:val="99"/>
    <w:unhideWhenUsed/>
    <w:rPr>
      <w:rFonts w:eastAsiaTheme="minorHAnsi" w:cstheme="minorBidi"/>
      <w:sz w:val="20"/>
      <w:szCs w:val="20"/>
    </w:rPr>
  </w:style>
  <w:style w:type="character" w:customStyle="1" w:styleId="FootnoteTextChar">
    <w:name w:val="Footnote Text Char"/>
    <w:aliases w:val="-E Fußnotentext Char,Fußnotentext Ursprung Char,Fußnote Char,-E Fußnotentext1 Char,-E Fußnotentext2 Char,-E Fußnotentext3 Char,Fußnotentextf Char,Footnote text Char,Fußnotentext Char1 Char,Fußnotentext Char Char Char,Footnote Te Char"/>
    <w:basedOn w:val="DefaultParagraphFont"/>
    <w:link w:val="FootnoteText"/>
    <w:uiPriority w:val="99"/>
    <w:rPr>
      <w:rFonts w:ascii="Times New Roman" w:hAnsi="Times New Roman"/>
      <w:sz w:val="20"/>
      <w:szCs w:val="20"/>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4"/>
    </w:rPr>
  </w:style>
  <w:style w:type="paragraph" w:customStyle="1" w:styleId="Text1">
    <w:name w:val="Text 1"/>
    <w:basedOn w:val="Normal"/>
    <w:link w:val="Text1Char"/>
    <w:pPr>
      <w:spacing w:after="240"/>
      <w:ind w:left="482"/>
      <w:jc w:val="both"/>
    </w:pPr>
    <w:rPr>
      <w:szCs w:val="20"/>
    </w:rPr>
  </w:style>
  <w:style w:type="character" w:customStyle="1" w:styleId="Text1Char">
    <w:name w:val="Text 1 Char"/>
    <w:link w:val="Text1"/>
    <w:locked/>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6DCF41F10D214DBDDF7E1F5EB8F7C1" ma:contentTypeVersion="1" ma:contentTypeDescription="Create a new document." ma:contentTypeScope="" ma:versionID="4d11a2104eb79e191fab213970d36f05">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CCE80E-734A-4297-8D0E-984F7E32D712}">
  <ds:schemaRefs>
    <ds:schemaRef ds:uri="http://schemas.microsoft.com/sharepoint/v3/contenttype/forms"/>
  </ds:schemaRefs>
</ds:datastoreItem>
</file>

<file path=customXml/itemProps2.xml><?xml version="1.0" encoding="utf-8"?>
<ds:datastoreItem xmlns:ds="http://schemas.openxmlformats.org/officeDocument/2006/customXml" ds:itemID="{E1588CBB-D78F-412D-9B35-4671E1A44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B228E3-FEEC-429F-8C93-CFCC37DE565D}">
  <ds:schemaRefs>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651</Words>
  <Characters>3807</Characters>
  <Application>Microsoft Office Word</Application>
  <DocSecurity>0</DocSecurity>
  <Lines>61</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cp:lastPrinted>2016-12-05T13:32:00Z</cp:lastPrinted>
  <dcterms:created xsi:type="dcterms:W3CDTF">2018-11-28T09:25:00Z</dcterms:created>
  <dcterms:modified xsi:type="dcterms:W3CDTF">2019-01-29T12:39:00Z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Order">
    <vt:r8>400</vt:r8>
  </property>
  <property fmtid="{D5CDD505-2E9C-101B-9397-08002B2CF9AE}" pid="6" name="xd_Signature">
    <vt:bool>false</vt:bool>
  </property>
  <property fmtid="{D5CDD505-2E9C-101B-9397-08002B2CF9AE}" pid="7" name="xd_ProgID">
    <vt:lpwstr/>
  </property>
  <property fmtid="{D5CDD505-2E9C-101B-9397-08002B2CF9AE}" pid="8" name="_NewReviewCycle">
    <vt:lpwstr/>
  </property>
  <property fmtid="{D5CDD505-2E9C-101B-9397-08002B2CF9AE}" pid="9" name="ContentTypeId">
    <vt:lpwstr>0x010100AB6DCF41F10D214DBDDF7E1F5EB8F7C1</vt:lpwstr>
  </property>
  <property fmtid="{D5CDD505-2E9C-101B-9397-08002B2CF9AE}" pid="10" name="TemplateUrl">
    <vt:lpwstr/>
  </property>
  <property fmtid="{D5CDD505-2E9C-101B-9397-08002B2CF9AE}" pid="11" name="Level of sensitivity">
    <vt:lpwstr>Standard treatment</vt:lpwstr>
  </property>
  <property fmtid="{D5CDD505-2E9C-101B-9397-08002B2CF9AE}" pid="12" name="Last edited using">
    <vt:lpwstr>LW 6.0.1, Build 20180503</vt:lpwstr>
  </property>
  <property fmtid="{D5CDD505-2E9C-101B-9397-08002B2CF9AE}" pid="13" name="Created using">
    <vt:lpwstr>LW 6.0.1, Build 20180503</vt:lpwstr>
  </property>
</Properties>
</file>