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8E2E1A9-198B-4BB3-BB36-532ADD0AB0DF"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MOTIVERING</w:t>
      </w:r>
    </w:p>
    <w:p>
      <w:pPr>
        <w:pStyle w:val="ManualHeading1"/>
        <w:spacing w:before="120"/>
        <w:rPr>
          <w:noProof/>
        </w:rPr>
      </w:pPr>
      <w:r>
        <w:rPr>
          <w:noProof/>
        </w:rPr>
        <w:t>1.</w:t>
      </w:r>
      <w:r>
        <w:rPr>
          <w:noProof/>
        </w:rPr>
        <w:tab/>
        <w:t>BAKGRUND TILL FÖRSLAGET</w:t>
      </w:r>
    </w:p>
    <w:p>
      <w:pPr>
        <w:pStyle w:val="ManualHeading2"/>
        <w:rPr>
          <w:rFonts w:eastAsia="Arial Unicode MS"/>
          <w:noProof/>
        </w:rPr>
      </w:pPr>
      <w:r>
        <w:rPr>
          <w:noProof/>
          <w:color w:val="000000"/>
          <w:u w:color="000000"/>
          <w:bdr w:val="nil"/>
        </w:rPr>
        <w:t>•</w:t>
      </w:r>
      <w:r>
        <w:rPr>
          <w:noProof/>
        </w:rPr>
        <w:tab/>
        <w:t>Motiv och syfte med förslaget</w:t>
      </w:r>
    </w:p>
    <w:p>
      <w:pPr>
        <w:rPr>
          <w:noProof/>
        </w:rPr>
      </w:pPr>
      <w:r>
        <w:rPr>
          <w:noProof/>
        </w:rPr>
        <w:t xml:space="preserve">Förenade kungariket Storbritannien och Nordirland (nedan kallat </w:t>
      </w:r>
      <w:r>
        <w:rPr>
          <w:i/>
          <w:noProof/>
        </w:rPr>
        <w:t>Förenade kungariket</w:t>
      </w:r>
      <w:r>
        <w:rPr>
          <w:noProof/>
        </w:rPr>
        <w:t xml:space="preserve">) anmälde den 29 mars 2017 sin avsikt att utträda ur unionen i enlighet med artikel 50 i fördraget om Europeiska unionen. Detta innebär att om avtalet om utträde inte ratificeras kommer unionens primär- och sekundärrätt att upphöra att vara tillämplig på Förenade kungariket med verkan från och med den 30 mars 2019 (nedan kallad </w:t>
      </w:r>
      <w:r>
        <w:rPr>
          <w:i/>
          <w:noProof/>
        </w:rPr>
        <w:t>utträdesdagen</w:t>
      </w:r>
      <w:r>
        <w:rPr>
          <w:noProof/>
        </w:rPr>
        <w:t>). Förenade kungariket blir då ett tredjeland.</w:t>
      </w:r>
    </w:p>
    <w:p>
      <w:pPr>
        <w:rPr>
          <w:noProof/>
        </w:rPr>
      </w:pPr>
      <w:r>
        <w:rPr>
          <w:noProof/>
        </w:rPr>
        <w:t>Europeiska rådet (artikel 50) upprepade den 13 december 2018 att man på alla nivåer måste förbereda sig för följderna av Förenade kungarikets utträde, med beaktande av alla tänkbara utfall. Denna rättsakt ingår i ett paket med åtgärder som kommissionen antar till följd av denna uppmaning.</w:t>
      </w:r>
    </w:p>
    <w:p>
      <w:pPr>
        <w:rPr>
          <w:noProof/>
        </w:rPr>
      </w:pPr>
      <w:r>
        <w:rPr>
          <w:noProof/>
        </w:rPr>
        <w:t>Erasmus+ är ett av EU:s flaggskeppsinitiativ och förmodligen ett av unionens mest framgångsrika program. Sedan starten för mer än 30 år sedan har mer än 9 miljoner unga i EU åkt utomlands för rörlighet i utbildningssyfte. Tack vare Erasmus+ finns det en hel generation som har en stark europeisk identitet. Denna generation av fördomsfria, trygga och handlingskraftiga människor delar de gemensamma värderingarna i EU och bidrar till att öka den europeiska ekonomins och det europeiska samhällets kunskapsbas och motståndskraft.</w:t>
      </w:r>
    </w:p>
    <w:p>
      <w:pPr>
        <w:rPr>
          <w:noProof/>
        </w:rPr>
      </w:pPr>
      <w:r>
        <w:rPr>
          <w:noProof/>
        </w:rPr>
        <w:t>Genom Erasmus+ stöds insatser inom allmän utbildning, yrkesutbildning, ungdomsfrågor och idrott. Programmet hjälper europeiska länder att modernisera och förbättra utbildningssystemen och ungdoms- och idrottspolitiken, så att dessa i högre grad kan fungera som drivkrafter för tillväxt, sysselsättning, konkurrenskraft, innovation och social sammanhållning. Varje år har nästan 800 000 personer möjlighet att studera eller praktisera utomlands i högst tolv månader.</w:t>
      </w:r>
    </w:p>
    <w:p>
      <w:pPr>
        <w:rPr>
          <w:noProof/>
        </w:rPr>
      </w:pPr>
      <w:r>
        <w:rPr>
          <w:noProof/>
        </w:rPr>
        <w:t>Programmet är en viktig del i strävan att senast 2025 skapa ett europeiskt område för utbildning, där unga får bästa möjliga utbildning och där lärande, studier och forskning inte hindras av gränser utan där det är normalt att man tillbringar en tid i ett annat EU-land för att studera, praktisera eller arbeta. I det europeiska området för utbildning har människor en stark europeisk identitet och en känsla för det europeiska kulturarvet och dess mångfald.</w:t>
      </w:r>
    </w:p>
    <w:p>
      <w:pPr>
        <w:rPr>
          <w:noProof/>
        </w:rPr>
      </w:pPr>
      <w:r>
        <w:rPr>
          <w:noProof/>
        </w:rPr>
        <w:t>När Förenade kungariket lämnar Europeiska unionen kommer det att finnas nästan 14 000 Erasmusdeltagare från EU-27 (studerande och praktikanter inom högre utbildning och yrkesutbildning, unga, undervisningspersonal) i Förenade kungariket och cirka 7 000 Erasmusdeltagare från Förenade kungariket i EU-27.</w:t>
      </w:r>
    </w:p>
    <w:p>
      <w:pPr>
        <w:rPr>
          <w:noProof/>
        </w:rPr>
      </w:pPr>
      <w:r>
        <w:rPr>
          <w:noProof/>
        </w:rPr>
        <w:t>Om utträdesavtalet inte ratificeras innebär det att de personer från EU-27 och Förenade kungariket som nu deltar i Erasmus+ måste avbryta sin rörlighetsperiod. Många studerande skulle förlora sina högskolepoäng och kanske bli tvungna att gå om en hel termin eller ett helt studieår. Detta skulle vara ett stort bakslag för de studerande men även för de utsändande och mottagande institutionerna.</w:t>
      </w:r>
    </w:p>
    <w:p>
      <w:pPr>
        <w:rPr>
          <w:noProof/>
        </w:rPr>
      </w:pPr>
      <w:r>
        <w:rPr>
          <w:noProof/>
        </w:rPr>
        <w:t>Syftet med detta förslag är därför att införa beredskapsåtgärder för att undvika störningar när det gäller rörlighet i utbildningssyfte inom Erasmus+ som inbegriper Förenade kungariket vid tidpunkten för utträdet ur Europeiska unionen. Beredskapsåtgärderna kommer att tillämpas på pågående rörlighetsperioder inom Erasmus+ som inleds före det datum då fördragen upphör att vara tillämpliga på och i Förenade kungariket.</w:t>
      </w:r>
    </w:p>
    <w:p>
      <w:pPr>
        <w:pStyle w:val="ManualHeading2"/>
        <w:rPr>
          <w:rFonts w:eastAsia="Arial Unicode MS"/>
          <w:noProof/>
          <w:color w:val="000000"/>
          <w:u w:color="000000"/>
          <w:bdr w:val="nil"/>
        </w:rPr>
      </w:pPr>
      <w:r>
        <w:rPr>
          <w:noProof/>
          <w:color w:val="000000"/>
          <w:u w:color="000000"/>
          <w:bdr w:val="nil"/>
        </w:rPr>
        <w:t>•</w:t>
      </w:r>
      <w:r>
        <w:rPr>
          <w:noProof/>
        </w:rPr>
        <w:tab/>
        <w:t>Förenlighet med befintliga bestämmelser inom området</w:t>
      </w:r>
    </w:p>
    <w:p>
      <w:pPr>
        <w:pBdr>
          <w:top w:val="nil"/>
          <w:left w:val="nil"/>
          <w:bottom w:val="nil"/>
          <w:right w:val="nil"/>
          <w:between w:val="nil"/>
          <w:bar w:val="nil"/>
        </w:pBdr>
        <w:rPr>
          <w:rFonts w:eastAsia="Arial Unicode MS"/>
          <w:noProof/>
        </w:rPr>
      </w:pPr>
      <w:r>
        <w:rPr>
          <w:noProof/>
        </w:rPr>
        <w:t>Detta förslag syftar till att säkerställa en fortsättning för de befintliga programmen.</w:t>
      </w:r>
    </w:p>
    <w:p>
      <w:pPr>
        <w:pStyle w:val="ManualHeading2"/>
        <w:rPr>
          <w:rFonts w:eastAsia="Arial Unicode MS"/>
          <w:noProof/>
        </w:rPr>
      </w:pPr>
      <w:r>
        <w:rPr>
          <w:noProof/>
          <w:color w:val="000000"/>
          <w:u w:color="000000"/>
          <w:bdr w:val="nil"/>
        </w:rPr>
        <w:t>•</w:t>
      </w:r>
      <w:r>
        <w:rPr>
          <w:noProof/>
        </w:rPr>
        <w:tab/>
        <w:t>Förenlighet med unionens politik inom andra områden</w:t>
      </w:r>
    </w:p>
    <w:p>
      <w:pPr>
        <w:pBdr>
          <w:top w:val="nil"/>
          <w:left w:val="nil"/>
          <w:bottom w:val="nil"/>
          <w:right w:val="nil"/>
          <w:between w:val="nil"/>
          <w:bar w:val="nil"/>
        </w:pBdr>
        <w:rPr>
          <w:rFonts w:eastAsia="Arial Unicode MS"/>
          <w:noProof/>
        </w:rPr>
      </w:pPr>
      <w:r>
        <w:rPr>
          <w:noProof/>
        </w:rPr>
        <w:t>Detta förslag är helt förenligt med rådets mandat för förhandlingarna med Förenade kungariket om dess utträde ur unionen.</w:t>
      </w:r>
    </w:p>
    <w:p>
      <w:pPr>
        <w:pStyle w:val="ManualHeading1"/>
        <w:spacing w:before="120"/>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rPr>
          <w:rFonts w:eastAsia="Arial Unicode MS"/>
          <w:noProof/>
        </w:rPr>
      </w:pPr>
      <w:r>
        <w:rPr>
          <w:noProof/>
        </w:rPr>
        <w:t>Artiklarna 165 och 166 i fördraget om Europeiska unionens funktionssätt.</w:t>
      </w:r>
    </w:p>
    <w:p>
      <w:pPr>
        <w:pBdr>
          <w:top w:val="nil"/>
          <w:left w:val="nil"/>
          <w:bottom w:val="nil"/>
          <w:right w:val="nil"/>
          <w:between w:val="nil"/>
          <w:bar w:val="nil"/>
        </w:pBdr>
        <w:rPr>
          <w:rFonts w:eastAsia="Arial Unicode MS"/>
          <w:b/>
          <w:noProof/>
        </w:rPr>
      </w:pPr>
      <w:r>
        <w:rPr>
          <w:b/>
          <w:noProof/>
        </w:rPr>
        <w:t>•</w:t>
      </w:r>
      <w:r>
        <w:rPr>
          <w:noProof/>
        </w:rPr>
        <w:tab/>
      </w:r>
      <w:r>
        <w:rPr>
          <w:b/>
          <w:noProof/>
        </w:rPr>
        <w:t>Subsidiaritetsprincipen (för icke-exklusiv befogenhet)</w:t>
      </w:r>
    </w:p>
    <w:p>
      <w:pPr>
        <w:pBdr>
          <w:top w:val="nil"/>
          <w:left w:val="nil"/>
          <w:bottom w:val="nil"/>
          <w:right w:val="nil"/>
          <w:between w:val="nil"/>
          <w:bar w:val="nil"/>
        </w:pBdr>
        <w:rPr>
          <w:rFonts w:eastAsia="Arial Unicode MS"/>
          <w:noProof/>
        </w:rPr>
      </w:pPr>
      <w:r>
        <w:rPr>
          <w:noProof/>
        </w:rPr>
        <w:t>Syftet med den föreslagna rättsakten är att säkerställa att programmet Erasmus+, som omfattas av förordning (EU) nr 1288/2013 i dess ändrade lydelse enligt förordning (EU) 2018/1475, delvis kan fortsätta. Redan när förordning (EU) 2018/1475 antogs konstaterades det att programmet är förenligt med subsidiaritetsprincipen.</w:t>
      </w:r>
    </w:p>
    <w:p>
      <w:pPr>
        <w:pStyle w:val="ManualHeading2"/>
        <w:rPr>
          <w:rFonts w:eastAsia="Arial Unicode MS"/>
          <w:noProof/>
          <w:u w:color="000000"/>
          <w:bdr w:val="nil"/>
        </w:rPr>
      </w:pPr>
      <w:r>
        <w:rPr>
          <w:noProof/>
        </w:rPr>
        <w:t>Proportionalitetsprincipen</w:t>
      </w:r>
    </w:p>
    <w:p>
      <w:pPr>
        <w:ind w:left="-5" w:right="2"/>
        <w:rPr>
          <w:noProof/>
        </w:rPr>
      </w:pPr>
      <w:r>
        <w:rPr>
          <w:noProof/>
        </w:rPr>
        <w:t>Förslaget anses proportionellt eftersom det innehåller nödvändiga rättsliga ändringar och samtidigt inte går utöver vad som är nödvändigt för att de rörlighetsinsatser som redan har godkänts inom ramen för Erasmus+ ska kunna fortsätta under ordnade former.</w:t>
      </w:r>
    </w:p>
    <w:p>
      <w:pPr>
        <w:pStyle w:val="ManualHeading2"/>
        <w:rPr>
          <w:rFonts w:eastAsia="Arial Unicode MS"/>
          <w:noProof/>
          <w:u w:color="000000"/>
          <w:bdr w:val="nil"/>
        </w:rPr>
      </w:pPr>
      <w:r>
        <w:rPr>
          <w:noProof/>
        </w:rPr>
        <w:t>Val av instrument</w:t>
      </w:r>
    </w:p>
    <w:p>
      <w:pPr>
        <w:pBdr>
          <w:top w:val="nil"/>
          <w:left w:val="nil"/>
          <w:bottom w:val="nil"/>
          <w:right w:val="nil"/>
          <w:between w:val="nil"/>
          <w:bar w:val="nil"/>
        </w:pBdr>
        <w:rPr>
          <w:rFonts w:eastAsia="Arial Unicode MS"/>
          <w:noProof/>
        </w:rPr>
      </w:pPr>
      <w:r>
        <w:rPr>
          <w:noProof/>
        </w:rPr>
        <w:t>Eftersom rättsakten bygger på förordning (EU) nr 1288/2013 är en förordning den enda möjliga formen.</w:t>
      </w:r>
    </w:p>
    <w:p>
      <w:pPr>
        <w:pBdr>
          <w:top w:val="nil"/>
          <w:left w:val="nil"/>
          <w:bottom w:val="nil"/>
          <w:right w:val="nil"/>
          <w:between w:val="nil"/>
          <w:bar w:val="nil"/>
        </w:pBdr>
        <w:rPr>
          <w:rFonts w:eastAsia="Arial Unicode MS"/>
          <w:noProof/>
        </w:rPr>
      </w:pPr>
      <w:r>
        <w:rPr>
          <w:noProof/>
        </w:rPr>
        <w:t xml:space="preserve">Eftersom den här förordningen, som ska träda i kraft dagen efter det att den har offentliggjorts i </w:t>
      </w:r>
      <w:r>
        <w:rPr>
          <w:i/>
          <w:noProof/>
        </w:rPr>
        <w:t>Europeiska unionens officiella tidning</w:t>
      </w:r>
      <w:r>
        <w:rPr>
          <w:noProof/>
        </w:rPr>
        <w:t>, endast kommer att tillämpas om inget utträdesavtal med Förenade kungariket i enlighet med artikel 50.2 i fördraget om Europeiska unionen har trätt i kraft den dag då fördragen upphör att vara tillämpliga på och i Förenade kungariket, är det lämpligare med en rättsakt för ett särskilt ändamål än med en förordning i form av en ändringsakt.</w:t>
      </w:r>
    </w:p>
    <w:p>
      <w:pPr>
        <w:pStyle w:val="ManualHeading1"/>
        <w:spacing w:before="120"/>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rPr>
          <w:rFonts w:eastAsia="Arial Unicode MS"/>
          <w:noProof/>
        </w:rPr>
      </w:pPr>
      <w:r>
        <w:rPr>
          <w:noProof/>
        </w:rPr>
        <w:t>Eftersom förslaget har utarbetats i brådskande ordning så att rättsakten kan antas av medlagstiftarna i tid kunde inget samråd med berörda parter genomföras.</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rPr>
          <w:rFonts w:eastAsia="Arial Unicode MS"/>
          <w:noProof/>
        </w:rPr>
      </w:pPr>
      <w:r>
        <w:rPr>
          <w:noProof/>
        </w:rPr>
        <w:t>På grund av den föreslagna åtgärdens karaktär gjordes ingen konsekvensbedömning, i enlighet med riktlinjerna för bättre lagstiftning. Det finns inga andra och väsentligen annorlunda policyalternativ tillgängliga. Den planerade åtgärden är det enda realistiska policyalternativet för att säkerställa att pågående rörlighetsperioder inom ramen för Erasmus+ som inbegriper Förenade kungariket kan fortsätta under ordnade former efter Förenade kungarikets utträde ur Europeiska unionen.</w:t>
      </w:r>
    </w:p>
    <w:p>
      <w:pPr>
        <w:pStyle w:val="ManualHeading1"/>
        <w:spacing w:before="120"/>
        <w:rPr>
          <w:noProof/>
        </w:rPr>
      </w:pPr>
      <w:r>
        <w:rPr>
          <w:noProof/>
        </w:rPr>
        <w:t>4.</w:t>
      </w:r>
      <w:r>
        <w:rPr>
          <w:noProof/>
        </w:rPr>
        <w:tab/>
        <w:t>BUDGETKONSEKVENSER</w:t>
      </w:r>
    </w:p>
    <w:p>
      <w:pPr>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Detta förslag syftar till att säkerställa att pågående rörlighetsperioder inom ramen för Erasmus+ som inbegriper Förenade kungariket kan fortsätta även om utträdesavtalet inte ratificeras, utan att programmens anslag och finansiering ändras.</w:t>
      </w:r>
    </w:p>
    <w:p>
      <w:pPr>
        <w:pStyle w:val="Rfrenceinterinstitutionnelle"/>
        <w:rPr>
          <w:noProof/>
        </w:rPr>
      </w:pPr>
      <w:r>
        <w:rPr>
          <w:noProof/>
        </w:rPr>
        <w:t>2019/0030 (COD)</w:t>
      </w:r>
    </w:p>
    <w:p>
      <w:pPr>
        <w:pStyle w:val="Statut"/>
        <w:rPr>
          <w:noProof/>
        </w:rPr>
      </w:pPr>
      <w:r>
        <w:rPr>
          <w:noProof/>
        </w:rPr>
        <w:t>Förslag till</w:t>
      </w:r>
    </w:p>
    <w:p>
      <w:pPr>
        <w:pStyle w:val="Typedudocument"/>
        <w:rPr>
          <w:noProof/>
        </w:rPr>
      </w:pPr>
      <w:r>
        <w:rPr>
          <w:noProof/>
        </w:rPr>
        <w:t>EUROPAPARLAMENTETS OCH RÅDETS FÖRORDNING</w:t>
      </w:r>
    </w:p>
    <w:p>
      <w:pPr>
        <w:pStyle w:val="Titreobjet"/>
        <w:rPr>
          <w:noProof/>
        </w:rPr>
      </w:pPr>
      <w:r>
        <w:rPr>
          <w:noProof/>
        </w:rPr>
        <w:t>om bestämmelser för att möjliggöra en fortsättning av pågående rörlighet i utbildningssyfte inom programmet Erasmus+ i samband med Förenade kungariket Storbritannien och Nordirlands utträde ur Europeiska unionen</w:t>
      </w:r>
    </w:p>
    <w:p>
      <w:pPr>
        <w:pStyle w:val="Institutionquiagit"/>
        <w:spacing w:before="120"/>
        <w:rPr>
          <w:noProof/>
        </w:rPr>
      </w:pPr>
      <w:r>
        <w:rPr>
          <w:noProof/>
        </w:rPr>
        <w:t>EUROPAPARLAMENTET OCH EUROPEISKA UNIONENS RÅD HAR ANTAGIT DETTA BESLUT</w:t>
      </w:r>
    </w:p>
    <w:p>
      <w:pPr>
        <w:rPr>
          <w:noProof/>
        </w:rPr>
      </w:pPr>
      <w:r>
        <w:rPr>
          <w:noProof/>
        </w:rPr>
        <w:t>med beaktande av fördraget om Europeiska unionens funktionssätt, särskilt artiklarna 165.4 och 166.4,</w:t>
      </w:r>
    </w:p>
    <w:p>
      <w:pPr>
        <w:rPr>
          <w:noProof/>
        </w:rPr>
      </w:pPr>
      <w:r>
        <w:rPr>
          <w:noProof/>
        </w:rPr>
        <w:t>med beaktande av Europeiska kommissionens förslag,</w:t>
      </w:r>
    </w:p>
    <w:p>
      <w:pPr>
        <w:rPr>
          <w:noProof/>
        </w:rPr>
      </w:pPr>
      <w:r>
        <w:rPr>
          <w:noProof/>
        </w:rPr>
        <w:t>efter översändande av utkastet till lagstiftningsakt till de nationella parlamenten,</w:t>
      </w:r>
    </w:p>
    <w:p>
      <w:pPr>
        <w:rPr>
          <w:noProof/>
        </w:rPr>
      </w:pPr>
      <w:r>
        <w:rPr>
          <w:noProof/>
        </w:rPr>
        <w:t>med beaktande av Europeiska ekonomiska och sociala kommitténs yttrande</w:t>
      </w:r>
      <w:r>
        <w:rPr>
          <w:rStyle w:val="FootnoteReference"/>
          <w:noProof/>
        </w:rPr>
        <w:footnoteReference w:id="1"/>
      </w:r>
      <w:r>
        <w:rPr>
          <w:noProof/>
        </w:rPr>
        <w:t>,</w:t>
      </w:r>
    </w:p>
    <w:p>
      <w:pPr>
        <w:rPr>
          <w:noProof/>
        </w:rPr>
      </w:pPr>
      <w:r>
        <w:rPr>
          <w:noProof/>
        </w:rPr>
        <w:t>med beaktande av Regionkommitténs yttrande</w:t>
      </w:r>
      <w:r>
        <w:rPr>
          <w:rStyle w:val="FootnoteReference"/>
          <w:noProof/>
        </w:rPr>
        <w:footnoteReference w:id="2"/>
      </w:r>
      <w:r>
        <w:rPr>
          <w:noProof/>
        </w:rPr>
        <w:t>,</w:t>
      </w:r>
    </w:p>
    <w:p>
      <w:pPr>
        <w:rPr>
          <w:noProof/>
        </w:rPr>
      </w:pPr>
      <w:r>
        <w:rPr>
          <w:noProof/>
        </w:rPr>
        <w:t>i enlighet med det ordinarie lagstiftningsförfarandet, och</w:t>
      </w:r>
    </w:p>
    <w:p>
      <w:pPr>
        <w:rPr>
          <w:noProof/>
        </w:rPr>
      </w:pPr>
      <w:r>
        <w:rPr>
          <w:noProof/>
        </w:rPr>
        <w:t>av följande skäl:</w:t>
      </w:r>
    </w:p>
    <w:p>
      <w:pPr>
        <w:pStyle w:val="ManualConsidrant"/>
        <w:rPr>
          <w:noProof/>
        </w:rPr>
      </w:pPr>
      <w:r>
        <w:rPr>
          <w:noProof/>
        </w:rPr>
        <w:t>(1)</w:t>
      </w:r>
      <w:r>
        <w:rPr>
          <w:noProof/>
        </w:rPr>
        <w:tab/>
        <w:t xml:space="preserve">Den 29 mars 2017 anmälde Förenade kungariket Storbritannien och Nordirland (nedan kallat </w:t>
      </w:r>
      <w:r>
        <w:rPr>
          <w:i/>
          <w:noProof/>
        </w:rPr>
        <w:t>Förenade kungariket</w:t>
      </w:r>
      <w:r>
        <w:rPr>
          <w:noProof/>
        </w:rPr>
        <w:t>) sin avsikt att utträda ur unionen i enlighet med artikel 50 i fördraget om Europeiska unionen. Fördragen kommer att upphöra att vara tillämpliga på Förenade kungariket den dag då ett avtal om utträde träder i kraft eller, om det inte finns något sådant avtal, två år efter anmälan, dvs. den 30 mars 2019, om inte Europeiska rådet i samförstånd med Förenade kungariket med enhällighet beslutar att förlänga denna tidsfrist.</w:t>
      </w:r>
    </w:p>
    <w:p>
      <w:pPr>
        <w:pStyle w:val="ManualConsidrant"/>
        <w:rPr>
          <w:noProof/>
        </w:rPr>
      </w:pPr>
      <w:r>
        <w:rPr>
          <w:noProof/>
        </w:rPr>
        <w:t>(2)</w:t>
      </w:r>
      <w:r>
        <w:rPr>
          <w:noProof/>
        </w:rPr>
        <w:tab/>
        <w:t>Utträdet inträffar under programperioden 2014–2020 för programmet Erasmus+, i vilket Förenade kungariket deltar.</w:t>
      </w:r>
    </w:p>
    <w:p>
      <w:pPr>
        <w:pStyle w:val="ManualConsidrant"/>
        <w:rPr>
          <w:noProof/>
        </w:rPr>
      </w:pPr>
      <w:r>
        <w:rPr>
          <w:noProof/>
        </w:rPr>
        <w:t>(3)</w:t>
      </w:r>
      <w:r>
        <w:rPr>
          <w:noProof/>
        </w:rPr>
        <w:tab/>
        <w:t>Erasmus+ omfattas av Europaparlamentets och rådets förordning (EU) nr 1288/2013</w:t>
      </w:r>
      <w:r>
        <w:rPr>
          <w:rStyle w:val="FootnoteReference"/>
          <w:noProof/>
        </w:rPr>
        <w:footnoteReference w:id="3"/>
      </w:r>
      <w:r>
        <w:rPr>
          <w:noProof/>
        </w:rPr>
        <w:t>. I den här förordningen bör det fastställas bestämmelser som möjliggör en fortsättning av de rättsliga åtaganden som redan har gjorts avseende pågående rörlighet i utbildningssyfte som inbegriper Förenade kungariket efter landets utträde ur unionen, i enlighet med förordning (EU) nr 1288/2013.</w:t>
      </w:r>
    </w:p>
    <w:p>
      <w:pPr>
        <w:pStyle w:val="ManualConsidrant"/>
        <w:rPr>
          <w:noProof/>
        </w:rPr>
      </w:pPr>
      <w:r>
        <w:rPr>
          <w:noProof/>
        </w:rPr>
        <w:t>(4)</w:t>
      </w:r>
      <w:r>
        <w:rPr>
          <w:noProof/>
        </w:rPr>
        <w:tab/>
        <w:t>Från och med den dag då fördragen upphör att tillämpas kommer Förenade kungariket inte längre att ingå i programländerna i den mening som avses i artikel 24.1 a i förordning (EU) nr 1288/2013. För att undvika att nuvarande deltagare i Erasmus+ måste avbryta pågående rörlighetsperioder bör bestämmelserna om stödberättigande för pågående rörlighet i utbildningssyfte inom programmet Erasmus+ anpassas.</w:t>
      </w:r>
    </w:p>
    <w:p>
      <w:pPr>
        <w:pStyle w:val="ManualConsidrant"/>
        <w:rPr>
          <w:noProof/>
        </w:rPr>
      </w:pPr>
      <w:r>
        <w:rPr>
          <w:noProof/>
        </w:rPr>
        <w:t>(5)</w:t>
      </w:r>
      <w:r>
        <w:rPr>
          <w:noProof/>
        </w:rPr>
        <w:tab/>
        <w:t>För att pågående rörlighet i utbildningssyfte ska kunna fortsätta att finansieras genom unionens budget bör kommissionen och Förenade kungariket ingå en överenskommelse om att tillåta kontroller och revisioner av de olika verksamheterna. Om nödvändiga kontroller och revisioner inte kan genomföras bör detta anses vara en allvarlig brist i förvaltnings- och kontrollsystemen.</w:t>
      </w:r>
    </w:p>
    <w:p>
      <w:pPr>
        <w:pStyle w:val="ManualConsidrant"/>
        <w:rPr>
          <w:noProof/>
        </w:rPr>
      </w:pPr>
      <w:r>
        <w:rPr>
          <w:noProof/>
        </w:rPr>
        <w:t>(6)</w:t>
      </w:r>
      <w:r>
        <w:rPr>
          <w:noProof/>
        </w:rPr>
        <w:tab/>
        <w:t>Denna förordning bör träda i kraft så snart som möjligt och bör tillämpas från och med dagen efter den dag då fördragen upphör att vara tillämpliga på och i Förenade kungariket, såvida inte ett avtal om utträde med Förenade kungariket har trätt i kraft vid den tidpunkten.</w:t>
      </w:r>
    </w:p>
    <w:p>
      <w:pPr>
        <w:pStyle w:val="Formuledadoption"/>
        <w:rPr>
          <w:noProof/>
        </w:rPr>
      </w:pPr>
      <w:r>
        <w:rPr>
          <w:noProof/>
        </w:rPr>
        <w:t>HÄRIGENOM FÖRESKRIVS FÖLJANDE.</w:t>
      </w:r>
    </w:p>
    <w:p>
      <w:pPr>
        <w:pStyle w:val="Titrearticle"/>
        <w:spacing w:before="120"/>
        <w:rPr>
          <w:noProof/>
        </w:rPr>
      </w:pPr>
      <w:r>
        <w:rPr>
          <w:noProof/>
        </w:rPr>
        <w:t>Artikel 1</w:t>
      </w:r>
      <w:r>
        <w:rPr>
          <w:noProof/>
        </w:rPr>
        <w:br/>
      </w:r>
      <w:r>
        <w:rPr>
          <w:b/>
          <w:noProof/>
        </w:rPr>
        <w:t>Syfte och tillämpningsområde</w:t>
      </w:r>
    </w:p>
    <w:p>
      <w:pPr>
        <w:rPr>
          <w:noProof/>
        </w:rPr>
      </w:pPr>
      <w:r>
        <w:rPr>
          <w:noProof/>
        </w:rPr>
        <w:t>Denna förordning innehåller bestämmelser för att möjliggöra en fortsättning av sådan rörlighet i utbildningssyfte som avses i artiklarna 7 och 13 i förordning (EU) nr 1288/2013 och som har inletts senast den dag då fördragen upphör att vara tillämpliga på och i Förenade kungariket.</w:t>
      </w:r>
    </w:p>
    <w:p>
      <w:pPr>
        <w:pStyle w:val="Titrearticle"/>
        <w:spacing w:before="120"/>
        <w:rPr>
          <w:noProof/>
        </w:rPr>
      </w:pPr>
      <w:r>
        <w:rPr>
          <w:noProof/>
        </w:rPr>
        <w:t>Artikel 2</w:t>
      </w:r>
      <w:r>
        <w:rPr>
          <w:noProof/>
        </w:rPr>
        <w:br/>
      </w:r>
      <w:r>
        <w:rPr>
          <w:b/>
          <w:noProof/>
        </w:rPr>
        <w:t>Stödberättigande</w:t>
      </w:r>
    </w:p>
    <w:p>
      <w:pPr>
        <w:pStyle w:val="ManualNumPar1"/>
        <w:rPr>
          <w:noProof/>
        </w:rPr>
      </w:pPr>
      <w:r>
        <w:rPr>
          <w:noProof/>
        </w:rPr>
        <w:t>1.</w:t>
      </w:r>
      <w:r>
        <w:rPr>
          <w:noProof/>
        </w:rPr>
        <w:tab/>
        <w:t>Den verksamhet som avses i artikel 1 och som äger rum i Förenade kungariket eller omfattar enheter eller deltagare från Förenade kungariket ska fortsätta att vara stödberättigande.</w:t>
      </w:r>
    </w:p>
    <w:p>
      <w:pPr>
        <w:pStyle w:val="ManualNumPar1"/>
        <w:rPr>
          <w:noProof/>
        </w:rPr>
      </w:pPr>
      <w:r>
        <w:rPr>
          <w:noProof/>
        </w:rPr>
        <w:t>2.</w:t>
      </w:r>
      <w:r>
        <w:rPr>
          <w:noProof/>
        </w:rPr>
        <w:tab/>
        <w:t>Vid tillämpning av andra bestämmelser i förordning (EU) nr 1288/2013 och i rättsakterna om genomförande av den förordningen som är nödvändiga för att ge verkan åt punkt 1 ska Förenade kungariket behandlas som en medlemsstat, om inte annat följer av bestämmelserna i denna förordning.</w:t>
      </w:r>
    </w:p>
    <w:p>
      <w:pPr>
        <w:ind w:left="840"/>
        <w:rPr>
          <w:noProof/>
        </w:rPr>
      </w:pPr>
      <w:r>
        <w:rPr>
          <w:noProof/>
        </w:rPr>
        <w:t>Företrädare för Förenade kungariket får dock inte delta i den kommitté som avses i artikel 36 i förordning (EU) nr 1288/2013.</w:t>
      </w:r>
    </w:p>
    <w:p>
      <w:pPr>
        <w:pStyle w:val="Titrearticle"/>
        <w:spacing w:before="120"/>
        <w:rPr>
          <w:b/>
          <w:i w:val="0"/>
          <w:noProof/>
        </w:rPr>
      </w:pPr>
      <w:r>
        <w:rPr>
          <w:noProof/>
        </w:rPr>
        <w:t>Artikel 3</w:t>
      </w:r>
      <w:r>
        <w:rPr>
          <w:noProof/>
        </w:rPr>
        <w:br/>
      </w:r>
      <w:r>
        <w:rPr>
          <w:b/>
          <w:noProof/>
        </w:rPr>
        <w:t>Kontroller och revisioner</w:t>
      </w:r>
    </w:p>
    <w:p>
      <w:pPr>
        <w:rPr>
          <w:noProof/>
        </w:rPr>
      </w:pPr>
      <w:r>
        <w:rPr>
          <w:noProof/>
        </w:rPr>
        <w:t>Kommissionen och Förenade kungarikets myndigheter ska komma överens om tillämpningen av bestämmelserna om kontroller och revisioner av sådan rörlighet i utbildningssyfte som avses i artikel 1. Kontrollerna och revisionerna ska omfatta hela rörlighetsperioden och uppföljningen av denna.</w:t>
      </w:r>
    </w:p>
    <w:p>
      <w:pPr>
        <w:rPr>
          <w:noProof/>
        </w:rPr>
      </w:pPr>
      <w:r>
        <w:rPr>
          <w:noProof/>
        </w:rPr>
        <w:t>Om nödvändiga kontroller och revisioner av programmet inte kan genomföras i Förenade kungariket ska detta anses vara en allvarlig brist vad gäller fullgörandet av de viktigaste skyldigheterna vid genomförandet av det rättsliga åtagandet mellan kommissionen och det nationella programkontoret i Förenade kungariket.</w:t>
      </w:r>
    </w:p>
    <w:p>
      <w:pPr>
        <w:pStyle w:val="Titrearticle"/>
        <w:spacing w:before="120"/>
        <w:rPr>
          <w:noProof/>
        </w:rPr>
      </w:pPr>
      <w:r>
        <w:rPr>
          <w:noProof/>
        </w:rPr>
        <w:t>Artikel 4</w:t>
      </w:r>
      <w:r>
        <w:rPr>
          <w:noProof/>
        </w:rPr>
        <w:br/>
      </w:r>
      <w:r>
        <w:rPr>
          <w:b/>
          <w:noProof/>
        </w:rPr>
        <w:t>Ikraftträdande och tillämpning</w:t>
      </w:r>
    </w:p>
    <w:p>
      <w:pPr>
        <w:ind w:left="-5" w:right="2"/>
        <w:rPr>
          <w:noProof/>
        </w:rPr>
      </w:pPr>
      <w:r>
        <w:rPr>
          <w:noProof/>
        </w:rPr>
        <w:t xml:space="preserve">Denna förordning träder i kraft dagen efter det att den har offentliggjorts i </w:t>
      </w:r>
      <w:r>
        <w:rPr>
          <w:i/>
          <w:noProof/>
        </w:rPr>
        <w:t>Europeiska unionens officiella tidning</w:t>
      </w:r>
      <w:r>
        <w:rPr>
          <w:noProof/>
        </w:rPr>
        <w:t>.</w:t>
      </w:r>
    </w:p>
    <w:p>
      <w:pPr>
        <w:ind w:left="-5" w:right="2"/>
        <w:rPr>
          <w:noProof/>
        </w:rPr>
      </w:pPr>
      <w:r>
        <w:rPr>
          <w:noProof/>
        </w:rPr>
        <w:t>Den ska tillämpas från och med dagen efter den dag då fördragen upphör att vara tillämpliga på och i Förenade kungariket i enlighet med artikel 50.3 i fördraget om Europeiska unionen.</w:t>
      </w:r>
    </w:p>
    <w:p>
      <w:pPr>
        <w:pStyle w:val="Applicationdirecte"/>
        <w:keepNext/>
        <w:keepLines/>
        <w:spacing w:before="120"/>
        <w:rPr>
          <w:noProof/>
        </w:rPr>
      </w:pPr>
      <w:r>
        <w:rPr>
          <w:noProof/>
        </w:rPr>
        <w:t>Denna förordning är till alla delar bindande och direkt tillämplig i alla medlemsstater.</w:t>
      </w:r>
    </w:p>
    <w:p>
      <w:pPr>
        <w:pStyle w:val="Fait"/>
        <w:rPr>
          <w:noProof/>
        </w:rPr>
      </w:pPr>
      <w:r>
        <w:t>Utfärdad i Bryssel den</w:t>
      </w:r>
    </w:p>
    <w:p>
      <w:pPr>
        <w:pStyle w:val="Institutionquisigne"/>
        <w:spacing w:before="120" w:after="120"/>
        <w:rPr>
          <w:noProof/>
        </w:rPr>
      </w:pPr>
      <w:r>
        <w:rPr>
          <w:noProof/>
        </w:rPr>
        <w:t>På Europaparlamentets vägnar</w:t>
      </w:r>
      <w:r>
        <w:rPr>
          <w:noProof/>
        </w:rPr>
        <w:tab/>
        <w:t>På rådets vägnar</w:t>
      </w:r>
    </w:p>
    <w:p>
      <w:pPr>
        <w:pStyle w:val="Personnequisigne"/>
        <w:spacing w:before="120" w:after="120"/>
        <w:rPr>
          <w:noProof/>
        </w:rPr>
      </w:pPr>
      <w:r>
        <w:rPr>
          <w:noProof/>
        </w:rPr>
        <w:t>Ordförande</w:t>
      </w:r>
      <w:r>
        <w:rPr>
          <w:noProof/>
        </w:rPr>
        <w:tab/>
        <w:t>Ordförande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FINANSIERINGSÖVERSIKT FÖR RÄTTSAKT</w:t>
      </w:r>
    </w:p>
    <w:p>
      <w:pPr>
        <w:pStyle w:val="ManualHeading1"/>
        <w:spacing w:before="120"/>
        <w:rPr>
          <w:noProof/>
        </w:rPr>
      </w:pPr>
      <w:r>
        <w:rPr>
          <w:noProof/>
        </w:rPr>
        <w:t>1.</w:t>
      </w:r>
      <w:r>
        <w:rPr>
          <w:noProof/>
        </w:rPr>
        <w:tab/>
        <w:t>GRUNDLÄGGANDE UPPGIFTER OM FÖRSLAGET ELLER INITIATIVET</w:t>
      </w:r>
    </w:p>
    <w:p>
      <w:pPr>
        <w:pStyle w:val="ManualHeading2"/>
        <w:rPr>
          <w:noProof/>
        </w:rPr>
      </w:pPr>
      <w:r>
        <w:rPr>
          <w:noProof/>
        </w:rPr>
        <w:tab/>
        <w:t>1.1</w:t>
      </w:r>
      <w:r>
        <w:rPr>
          <w:noProof/>
        </w:rPr>
        <w:tab/>
        <w:t>Förslagets eller initiativets titel</w:t>
      </w:r>
    </w:p>
    <w:p>
      <w:pPr>
        <w:pStyle w:val="ManualHeading2"/>
        <w:rPr>
          <w:noProof/>
        </w:rPr>
      </w:pPr>
      <w:r>
        <w:rPr>
          <w:noProof/>
        </w:rPr>
        <w:tab/>
        <w:t>1.2</w:t>
      </w:r>
      <w:r>
        <w:rPr>
          <w:noProof/>
        </w:rPr>
        <w:tab/>
        <w:t>Berörda politikområden</w:t>
      </w:r>
    </w:p>
    <w:p>
      <w:pPr>
        <w:pBdr>
          <w:top w:val="single" w:sz="4" w:space="0" w:color="000000"/>
          <w:left w:val="single" w:sz="4" w:space="0" w:color="000000"/>
          <w:bottom w:val="single" w:sz="4" w:space="0" w:color="000000"/>
          <w:right w:val="single" w:sz="4" w:space="0" w:color="000000"/>
        </w:pBdr>
        <w:ind w:left="845"/>
        <w:rPr>
          <w:noProof/>
        </w:rPr>
      </w:pPr>
      <w:r>
        <w:rPr>
          <w:noProof/>
        </w:rPr>
        <w:t>Förslag till Europaparlamentets och rådets förordning om bestämmelser för att möjliggöra en fortsättning av pågående rörlighet i utbildningssyfte inom programmet Erasmus+ i samband med Förenade kungariket Storbritannien och Nordirlands utträde ur Europeiska unionen</w:t>
      </w:r>
    </w:p>
    <w:p>
      <w:pPr>
        <w:pStyle w:val="ManualHeading2"/>
        <w:rPr>
          <w:noProof/>
        </w:rPr>
      </w:pPr>
      <w:r>
        <w:rPr>
          <w:noProof/>
        </w:rPr>
        <w:tab/>
        <w:t>1.3</w:t>
      </w:r>
      <w:r>
        <w:rPr>
          <w:noProof/>
        </w:rPr>
        <w:tab/>
        <w:t>Grunder för förslaget eller initiativet</w:t>
      </w:r>
    </w:p>
    <w:p>
      <w:pPr>
        <w:pStyle w:val="ManualHeading3"/>
        <w:ind w:left="1440"/>
        <w:rPr>
          <w:noProof/>
        </w:rPr>
      </w:pPr>
      <w:r>
        <w:rPr>
          <w:noProof/>
        </w:rPr>
        <w:t>1.3.1</w:t>
      </w:r>
      <w:r>
        <w:rPr>
          <w:noProof/>
        </w:rPr>
        <w:tab/>
        <w:t>Krav som ska uppfyllas på kort eller lång sikt, inbegripet en detaljerad tidsplan för genomförandet av initiativet</w:t>
      </w:r>
    </w:p>
    <w:p>
      <w:pPr>
        <w:pBdr>
          <w:top w:val="single" w:sz="4" w:space="0" w:color="000000"/>
          <w:left w:val="single" w:sz="4" w:space="0" w:color="000000"/>
          <w:bottom w:val="single" w:sz="4" w:space="0" w:color="000000"/>
          <w:right w:val="single" w:sz="4" w:space="0" w:color="000000"/>
        </w:pBdr>
        <w:ind w:left="845"/>
        <w:rPr>
          <w:noProof/>
        </w:rPr>
      </w:pPr>
      <w:r>
        <w:rPr>
          <w:noProof/>
        </w:rPr>
        <w:t xml:space="preserve">Denna förordning träder i kraft dagen efter det att den har offentliggjorts i </w:t>
      </w:r>
      <w:r>
        <w:rPr>
          <w:i/>
          <w:noProof/>
        </w:rPr>
        <w:t>Europeiska unionens officiella tidning</w:t>
      </w:r>
      <w:r>
        <w:rPr>
          <w:noProof/>
        </w:rPr>
        <w:t>.</w:t>
      </w:r>
    </w:p>
    <w:p>
      <w:pPr>
        <w:pBdr>
          <w:top w:val="single" w:sz="4" w:space="0" w:color="000000"/>
          <w:left w:val="single" w:sz="4" w:space="0" w:color="000000"/>
          <w:bottom w:val="single" w:sz="4" w:space="0" w:color="000000"/>
          <w:right w:val="single" w:sz="4" w:space="0" w:color="000000"/>
        </w:pBdr>
        <w:ind w:left="845"/>
        <w:rPr>
          <w:noProof/>
        </w:rPr>
      </w:pPr>
      <w:r>
        <w:rPr>
          <w:noProof/>
        </w:rPr>
        <w:t>Den ska tillämpas från och med dagen efter den dag då fördragen upphör att vara tillämpliga på och i Förenade kungariket i enlighet med artikel 50.3 i fördraget om Europeiska unionen.</w:t>
      </w:r>
    </w:p>
    <w:p>
      <w:pPr>
        <w:pBdr>
          <w:top w:val="single" w:sz="4" w:space="0" w:color="000000"/>
          <w:left w:val="single" w:sz="4" w:space="0" w:color="000000"/>
          <w:bottom w:val="single" w:sz="4" w:space="0" w:color="000000"/>
          <w:right w:val="single" w:sz="4" w:space="0" w:color="000000"/>
        </w:pBdr>
        <w:ind w:left="845"/>
        <w:rPr>
          <w:noProof/>
        </w:rPr>
      </w:pPr>
      <w:r>
        <w:rPr>
          <w:noProof/>
        </w:rPr>
        <w:t>Förordningen ska inte tillämpas om ett utträdesavtal som ingåtts med Förenade kungariket i enlighet med artikel 50.2 i fördraget om Europeiska unionen har trätt i kraft den dagen.</w:t>
      </w:r>
    </w:p>
    <w:p>
      <w:pPr>
        <w:pStyle w:val="ManualHeading3"/>
        <w:ind w:left="1440"/>
        <w:rPr>
          <w:noProof/>
        </w:rPr>
      </w:pPr>
      <w:r>
        <w:rPr>
          <w:noProof/>
        </w:rPr>
        <w:t>1.3.2</w:t>
      </w:r>
      <w:r>
        <w:rPr>
          <w:noProof/>
        </w:rPr>
        <w:tab/>
        <w:t>Mervärdet i unionens intervention (som kan följa av flera faktorer, t.ex. samordningsfördelar, rättssäkerhet, ökad effektivitet eller komplementaritet). Med ”mervärdet i unionens intervention” i denna punkt avses det värde en åtgärd från unionens sida tillför utöver det värde som annars skulle ha skapats av enbart medlemsstaterna.</w:t>
      </w:r>
    </w:p>
    <w:p>
      <w:pPr>
        <w:pBdr>
          <w:top w:val="single" w:sz="4" w:space="0" w:color="000000"/>
          <w:left w:val="single" w:sz="4" w:space="0" w:color="000000"/>
          <w:bottom w:val="single" w:sz="4" w:space="0" w:color="000000"/>
          <w:right w:val="single" w:sz="4" w:space="0" w:color="000000"/>
        </w:pBdr>
        <w:ind w:left="845"/>
        <w:rPr>
          <w:noProof/>
        </w:rPr>
      </w:pPr>
      <w:r>
        <w:rPr>
          <w:noProof/>
        </w:rPr>
        <w:t>Inte tillämpligt.</w:t>
      </w:r>
    </w:p>
    <w:p>
      <w:pPr>
        <w:pStyle w:val="ManualHeading3"/>
        <w:ind w:left="1440"/>
        <w:rPr>
          <w:noProof/>
        </w:rPr>
      </w:pPr>
      <w:r>
        <w:rPr>
          <w:noProof/>
        </w:rPr>
        <w:t>1.3.3</w:t>
      </w:r>
      <w:r>
        <w:rPr>
          <w:noProof/>
        </w:rPr>
        <w:tab/>
        <w:t>Erfarenheter från tidigare liknande åtgärder</w:t>
      </w:r>
    </w:p>
    <w:p>
      <w:pPr>
        <w:pBdr>
          <w:top w:val="single" w:sz="4" w:space="0" w:color="000000"/>
          <w:left w:val="single" w:sz="4" w:space="0" w:color="000000"/>
          <w:bottom w:val="single" w:sz="4" w:space="0" w:color="000000"/>
          <w:right w:val="single" w:sz="4" w:space="0" w:color="000000"/>
        </w:pBdr>
        <w:ind w:left="845"/>
        <w:rPr>
          <w:noProof/>
        </w:rPr>
      </w:pPr>
      <w:r>
        <w:rPr>
          <w:noProof/>
        </w:rPr>
        <w:t xml:space="preserve">Inte tillämpligt. </w:t>
      </w:r>
    </w:p>
    <w:p>
      <w:pPr>
        <w:pStyle w:val="ManualHeading3"/>
        <w:ind w:left="1440"/>
        <w:rPr>
          <w:noProof/>
        </w:rPr>
      </w:pPr>
      <w:r>
        <w:rPr>
          <w:noProof/>
        </w:rPr>
        <w:t>1.3.4</w:t>
      </w:r>
      <w:r>
        <w:rPr>
          <w:noProof/>
        </w:rPr>
        <w:tab/>
        <w:t>Förenlighet med den fleråriga budgetramen och eventuella synergieffekter med andra relevanta instrument</w:t>
      </w:r>
    </w:p>
    <w:p>
      <w:pPr>
        <w:pBdr>
          <w:top w:val="single" w:sz="4" w:space="0" w:color="000000"/>
          <w:left w:val="single" w:sz="4" w:space="0" w:color="000000"/>
          <w:bottom w:val="single" w:sz="4" w:space="0" w:color="000000"/>
          <w:right w:val="single" w:sz="4" w:space="0" w:color="000000"/>
        </w:pBdr>
        <w:ind w:left="845"/>
        <w:rPr>
          <w:noProof/>
        </w:rPr>
      </w:pPr>
      <w:r>
        <w:rPr>
          <w:noProof/>
        </w:rPr>
        <w:t>Denna förordning är förenlig med den fleråriga budgetramen. Den har inga budgetkonsekvenser.</w:t>
      </w:r>
    </w:p>
    <w:p>
      <w:pPr>
        <w:pStyle w:val="ManualHeading3"/>
        <w:ind w:left="1440"/>
        <w:rPr>
          <w:noProof/>
        </w:rPr>
      </w:pPr>
      <w:r>
        <w:rPr>
          <w:noProof/>
        </w:rPr>
        <w:t>1.3.5</w:t>
      </w:r>
      <w:r>
        <w:rPr>
          <w:noProof/>
        </w:rPr>
        <w:tab/>
        <w:t>En bedömning av de olika finansieringsalternativ som finns att tillgå, inbegripet möjligheter till omfördelning</w:t>
      </w:r>
    </w:p>
    <w:p>
      <w:pPr>
        <w:pBdr>
          <w:top w:val="single" w:sz="4" w:space="0" w:color="000000"/>
          <w:left w:val="single" w:sz="4" w:space="0" w:color="000000"/>
          <w:bottom w:val="single" w:sz="4" w:space="0" w:color="000000"/>
          <w:right w:val="single" w:sz="4" w:space="0" w:color="000000"/>
        </w:pBdr>
        <w:ind w:left="845"/>
        <w:rPr>
          <w:noProof/>
        </w:rPr>
      </w:pPr>
      <w:r>
        <w:rPr>
          <w:noProof/>
        </w:rPr>
        <w:t xml:space="preserve">Denna förordning har inga budgetkonsekvenser. Unionsbidraget till programmen kommer att finansieras via unionens allmänna budget. </w:t>
      </w:r>
    </w:p>
    <w:p>
      <w:pPr>
        <w:pStyle w:val="ManualHeading2"/>
        <w:rPr>
          <w:noProof/>
        </w:rPr>
      </w:pPr>
      <w:r>
        <w:rPr>
          <w:noProof/>
        </w:rPr>
        <w:tab/>
      </w:r>
      <w:r>
        <w:rPr>
          <w:b w:val="0"/>
          <w:noProof/>
        </w:rPr>
        <w:t>1.4</w:t>
      </w:r>
      <w:r>
        <w:rPr>
          <w:noProof/>
        </w:rPr>
        <w:tab/>
        <w:t>BERÄKNADE BUDGETKONSEKVENSER AV FÖRSLAGET ELLER INITIATIVET</w:t>
      </w:r>
    </w:p>
    <w:p>
      <w:pPr>
        <w:pStyle w:val="Tiret1"/>
        <w:numPr>
          <w:ilvl w:val="0"/>
          <w:numId w:val="16"/>
        </w:numPr>
        <w:rPr>
          <w:noProof/>
        </w:rPr>
      </w:pPr>
      <w:r>
        <w:rPr>
          <w:noProof/>
        </w:rPr>
        <w:t>X Inga budgetkonsekvenser</w:t>
      </w:r>
    </w:p>
    <w:p>
      <w:pPr>
        <w:pStyle w:val="ManualHeading2"/>
        <w:rPr>
          <w:noProof/>
        </w:rPr>
      </w:pPr>
      <w:r>
        <w:rPr>
          <w:noProof/>
        </w:rPr>
        <w:tab/>
        <w:t>1.5</w:t>
      </w:r>
      <w:r>
        <w:rPr>
          <w:noProof/>
        </w:rPr>
        <w:tab/>
        <w:t>Planerad metod för genomförandet</w:t>
      </w:r>
      <w:r>
        <w:rPr>
          <w:rStyle w:val="FootnoteReference"/>
          <w:noProof/>
        </w:rPr>
        <w:footnoteReference w:id="4"/>
      </w:r>
    </w:p>
    <w:p>
      <w:pPr>
        <w:pStyle w:val="Text1"/>
        <w:rPr>
          <w:noProof/>
        </w:rPr>
      </w:pPr>
      <w:r>
        <w:rPr>
          <w:rFonts w:ascii="Wingdings" w:eastAsia="Wingdings" w:hAnsi="Wingdings" w:cs="Wingdings"/>
          <w:noProof/>
        </w:rPr>
        <w:t></w:t>
      </w:r>
      <w:r>
        <w:rPr>
          <w:i/>
          <w:noProof/>
        </w:rPr>
        <w:t xml:space="preserve"> </w:t>
      </w:r>
      <w:r>
        <w:rPr>
          <w:b/>
          <w:noProof/>
        </w:rPr>
        <w:t>Direkt förvaltning</w:t>
      </w:r>
      <w:r>
        <w:rPr>
          <w:noProof/>
        </w:rPr>
        <w:t xml:space="preserve"> som sköts av kommissionen</w:t>
      </w:r>
    </w:p>
    <w:p>
      <w:pPr>
        <w:pStyle w:val="ListDash2"/>
        <w:rPr>
          <w:noProof/>
        </w:rPr>
      </w:pPr>
      <w:r>
        <w:rPr>
          <w:noProof/>
        </w:rPr>
        <w:t xml:space="preserve">– </w:t>
      </w:r>
      <w:r>
        <w:rPr>
          <w:rFonts w:ascii="Wingdings" w:eastAsia="Wingdings" w:hAnsi="Wingdings" w:cs="Wingdings"/>
          <w:noProof/>
        </w:rPr>
        <w:t></w:t>
      </w:r>
      <w:r>
        <w:rPr>
          <w:noProof/>
        </w:rPr>
        <w:t>av dess avdelningar, vilket också inbegriper personalen vid unionens delegationer,</w:t>
      </w:r>
    </w:p>
    <w:p>
      <w:pPr>
        <w:pStyle w:val="ListDash2"/>
        <w:rPr>
          <w:noProof/>
        </w:rPr>
      </w:pPr>
      <w:r>
        <w:rPr>
          <w:noProof/>
        </w:rPr>
        <w:t xml:space="preserve">– </w:t>
      </w:r>
      <w:r>
        <w:rPr>
          <w:rFonts w:ascii="Wingdings" w:eastAsia="Wingdings" w:hAnsi="Wingdings" w:cs="Wingdings"/>
          <w:noProof/>
        </w:rPr>
        <w:t></w:t>
      </w:r>
      <w:r>
        <w:rPr>
          <w:noProof/>
        </w:rPr>
        <w:t>av genomförandeorgan.</w:t>
      </w:r>
    </w:p>
    <w:p>
      <w:pPr>
        <w:pStyle w:val="Text1"/>
        <w:rPr>
          <w:noProof/>
        </w:rPr>
      </w:pPr>
      <w:r>
        <w:rPr>
          <w:rFonts w:ascii="Wingdings" w:eastAsia="Wingdings" w:hAnsi="Wingdings" w:cs="Wingdings"/>
          <w:noProof/>
        </w:rPr>
        <w:t></w:t>
      </w:r>
      <w:r>
        <w:rPr>
          <w:b/>
          <w:i/>
          <w:noProof/>
        </w:rPr>
        <w:t xml:space="preserve"> </w:t>
      </w:r>
      <w:r>
        <w:rPr>
          <w:b/>
          <w:noProof/>
        </w:rPr>
        <w:t>Delad förvaltning</w:t>
      </w:r>
      <w:r>
        <w:rPr>
          <w:noProof/>
        </w:rPr>
        <w:t xml:space="preserve"> med medlemsstaterna</w:t>
      </w:r>
    </w:p>
    <w:p>
      <w:pPr>
        <w:pStyle w:val="Text1"/>
        <w:rPr>
          <w:noProof/>
        </w:rPr>
      </w:pPr>
      <w:r>
        <w:rPr>
          <w:rFonts w:ascii="Wingdings" w:eastAsia="Wingdings" w:hAnsi="Wingdings" w:cs="Wingdings"/>
          <w:noProof/>
        </w:rPr>
        <w:t></w:t>
      </w:r>
      <w:r>
        <w:rPr>
          <w:i/>
          <w:noProof/>
        </w:rPr>
        <w:t xml:space="preserve"> </w:t>
      </w:r>
      <w:r>
        <w:rPr>
          <w:b/>
          <w:noProof/>
        </w:rPr>
        <w:t>Indirekt förvaltning</w:t>
      </w:r>
      <w:r>
        <w:rPr>
          <w:noProof/>
        </w:rPr>
        <w:t xml:space="preserve"> genom att uppgifter som ingår i budgetgenomförandet anförtros</w:t>
      </w:r>
    </w:p>
    <w:p>
      <w:pPr>
        <w:pStyle w:val="ListDash2"/>
        <w:rPr>
          <w:noProof/>
        </w:rPr>
      </w:pPr>
      <w:r>
        <w:rPr>
          <w:rFonts w:ascii="Wingdings" w:eastAsia="Wingdings" w:hAnsi="Wingdings" w:cs="Wingdings"/>
          <w:noProof/>
        </w:rPr>
        <w:t></w:t>
      </w:r>
      <w:r>
        <w:rPr>
          <w:noProof/>
        </w:rPr>
        <w:t xml:space="preserve"> tredjeländer eller organ som de har utsett</w:t>
      </w:r>
    </w:p>
    <w:p>
      <w:pPr>
        <w:pStyle w:val="ListDash2"/>
        <w:rPr>
          <w:noProof/>
        </w:rPr>
      </w:pPr>
      <w:r>
        <w:rPr>
          <w:rFonts w:ascii="Wingdings" w:eastAsia="Wingdings" w:hAnsi="Wingdings" w:cs="Wingdings"/>
          <w:noProof/>
        </w:rPr>
        <w:t></w:t>
      </w:r>
      <w:r>
        <w:rPr>
          <w:noProof/>
        </w:rPr>
        <w:t xml:space="preserve"> internationella organisationer och organ kopplade till dem (ange vilka)</w:t>
      </w:r>
    </w:p>
    <w:p>
      <w:pPr>
        <w:pStyle w:val="ListDash2"/>
        <w:rPr>
          <w:noProof/>
        </w:rPr>
      </w:pPr>
      <w:r>
        <w:rPr>
          <w:rFonts w:ascii="Wingdings" w:eastAsia="Wingdings" w:hAnsi="Wingdings" w:cs="Wingdings"/>
          <w:noProof/>
        </w:rPr>
        <w:t></w:t>
      </w:r>
      <w:r>
        <w:rPr>
          <w:noProof/>
        </w:rPr>
        <w:t xml:space="preserve"> EIB och Europeiska investeringsfonden</w:t>
      </w:r>
    </w:p>
    <w:p>
      <w:pPr>
        <w:pStyle w:val="ListDash2"/>
        <w:rPr>
          <w:noProof/>
        </w:rPr>
      </w:pPr>
      <w:r>
        <w:rPr>
          <w:rFonts w:ascii="Wingdings" w:eastAsia="Wingdings" w:hAnsi="Wingdings" w:cs="Wingdings"/>
          <w:noProof/>
        </w:rPr>
        <w:t></w:t>
      </w:r>
      <w:r>
        <w:rPr>
          <w:noProof/>
        </w:rPr>
        <w:t xml:space="preserve"> organ som avses i artiklarna 70 och 71 i budgetförordningen</w:t>
      </w:r>
    </w:p>
    <w:p>
      <w:pPr>
        <w:pStyle w:val="ListDash2"/>
        <w:rPr>
          <w:noProof/>
        </w:rPr>
      </w:pPr>
      <w:r>
        <w:rPr>
          <w:rFonts w:ascii="Wingdings" w:eastAsia="Wingdings" w:hAnsi="Wingdings" w:cs="Wingdings"/>
          <w:noProof/>
        </w:rPr>
        <w:t></w:t>
      </w:r>
      <w:r>
        <w:rPr>
          <w:noProof/>
        </w:rPr>
        <w:t xml:space="preserve"> offentligrättsliga organ</w:t>
      </w:r>
    </w:p>
    <w:p>
      <w:pPr>
        <w:pStyle w:val="ListDash2"/>
        <w:rPr>
          <w:noProof/>
        </w:rPr>
      </w:pPr>
      <w:r>
        <w:rPr>
          <w:rFonts w:ascii="Wingdings" w:eastAsia="Wingdings" w:hAnsi="Wingdings" w:cs="Wingdings"/>
          <w:noProof/>
        </w:rPr>
        <w:t></w:t>
      </w:r>
      <w:r>
        <w:rPr>
          <w:noProof/>
        </w:rPr>
        <w:t xml:space="preserve"> privaträttsliga organ som anförtrotts offentliga förvaltningsuppgifter i den utsträckning som de lämnar tillräckliga ekonomiska garantier</w:t>
      </w:r>
    </w:p>
    <w:p>
      <w:pPr>
        <w:pStyle w:val="ListDash2"/>
        <w:rPr>
          <w:noProof/>
        </w:rPr>
      </w:pPr>
      <w:r>
        <w:rPr>
          <w:rFonts w:ascii="Wingdings" w:eastAsia="Wingdings" w:hAnsi="Wingdings" w:cs="Wingdings"/>
          <w:noProof/>
        </w:rPr>
        <w:t></w:t>
      </w:r>
      <w:r>
        <w:rPr>
          <w:noProof/>
        </w:rPr>
        <w:t xml:space="preserve"> organ som omfattas av privaträtten i en medlemsstat, som anförtrotts genomförandeuppgifter inom ramen för ett offentlig-privat partnerskap och som lämnar tillräckliga ekonomiska garantier</w:t>
      </w:r>
    </w:p>
    <w:p>
      <w:pPr>
        <w:pStyle w:val="ListDash2"/>
        <w:rPr>
          <w:noProof/>
        </w:rPr>
      </w:pPr>
      <w:r>
        <w:rPr>
          <w:rFonts w:ascii="Wingdings" w:eastAsia="Wingdings" w:hAnsi="Wingdings" w:cs="Wingdings"/>
          <w:noProof/>
        </w:rPr>
        <w:t></w:t>
      </w:r>
      <w:r>
        <w:rPr>
          <w:noProof/>
        </w:rPr>
        <w:t xml:space="preserve"> personer som anförtrotts genomförandet av särskilda åtgärder inom Gusp enligt avdelning V i fördraget om Europeiska unionen och som fastställs i den relevanta grundläggande rättsakten.</w:t>
      </w:r>
    </w:p>
    <w:p>
      <w:pPr>
        <w:pStyle w:val="ListDash2"/>
        <w:rPr>
          <w:i/>
          <w:noProof/>
          <w:sz w:val="18"/>
          <w:szCs w:val="18"/>
        </w:rPr>
      </w:pPr>
      <w:r>
        <w:rPr>
          <w:i/>
          <w:noProof/>
          <w:sz w:val="18"/>
        </w:rPr>
        <w:t>Vid fler än en metod, ange kompletterande uppgifter under ”Anmärkningar”.</w:t>
      </w:r>
    </w:p>
    <w:p>
      <w:pPr>
        <w:ind w:left="-5" w:right="2"/>
        <w:rPr>
          <w:noProof/>
        </w:rPr>
      </w:pPr>
      <w:r>
        <w:rPr>
          <w:noProof/>
        </w:rPr>
        <w:t>Anmärkningar</w:t>
      </w:r>
    </w:p>
    <w:p>
      <w:pPr>
        <w:pBdr>
          <w:top w:val="single" w:sz="4" w:space="0" w:color="000000"/>
          <w:left w:val="single" w:sz="4" w:space="0" w:color="000000"/>
          <w:bottom w:val="single" w:sz="4" w:space="0" w:color="000000"/>
          <w:right w:val="single" w:sz="4" w:space="0" w:color="000000"/>
        </w:pBdr>
        <w:ind w:left="10"/>
        <w:rPr>
          <w:noProof/>
        </w:rPr>
      </w:pPr>
      <w:r>
        <w:rPr>
          <w:noProof/>
        </w:rPr>
        <w:t>Inte tillämpligt.</w:t>
      </w:r>
    </w:p>
    <w:p>
      <w:pPr>
        <w:rPr>
          <w:noProof/>
        </w:rPr>
        <w:sectPr>
          <w:pgSz w:w="11907" w:h="16840" w:code="9"/>
          <w:pgMar w:top="1134" w:right="1418" w:bottom="1134" w:left="1418" w:header="709" w:footer="709" w:gutter="0"/>
          <w:cols w:space="708"/>
          <w:docGrid w:linePitch="360"/>
        </w:sectPr>
      </w:pPr>
    </w:p>
    <w:p>
      <w:pPr>
        <w:pStyle w:val="ManualHeading1"/>
        <w:spacing w:before="120"/>
        <w:rPr>
          <w:noProof/>
        </w:rPr>
      </w:pPr>
      <w:r>
        <w:rPr>
          <w:noProof/>
        </w:rPr>
        <w:t>2.</w:t>
      </w:r>
      <w:r>
        <w:rPr>
          <w:noProof/>
        </w:rPr>
        <w:tab/>
        <w:t>FÖRVALTNING</w:t>
      </w:r>
    </w:p>
    <w:p>
      <w:pPr>
        <w:pStyle w:val="ManualHeading2"/>
        <w:rPr>
          <w:noProof/>
        </w:rPr>
      </w:pPr>
      <w:r>
        <w:rPr>
          <w:noProof/>
        </w:rPr>
        <w:tab/>
        <w:t>2.1</w:t>
      </w:r>
      <w:r>
        <w:rPr>
          <w:noProof/>
        </w:rPr>
        <w:tab/>
        <w:t xml:space="preserve">Regler om uppföljning och rapportering </w:t>
      </w:r>
    </w:p>
    <w:p>
      <w:pPr>
        <w:ind w:left="845"/>
        <w:jc w:val="left"/>
        <w:rPr>
          <w:noProof/>
        </w:rPr>
      </w:pPr>
      <w:r>
        <w:rPr>
          <w:i/>
          <w:noProof/>
          <w:sz w:val="20"/>
        </w:rPr>
        <w:t>Ange intervall och andra villkor för sådana åtgärder:</w:t>
      </w:r>
    </w:p>
    <w:p>
      <w:pPr>
        <w:pBdr>
          <w:top w:val="single" w:sz="4" w:space="0" w:color="000000"/>
          <w:left w:val="single" w:sz="4" w:space="0" w:color="000000"/>
          <w:bottom w:val="single" w:sz="4" w:space="0" w:color="000000"/>
          <w:right w:val="single" w:sz="4" w:space="0" w:color="000000"/>
        </w:pBdr>
        <w:ind w:left="845"/>
        <w:rPr>
          <w:noProof/>
        </w:rPr>
      </w:pPr>
      <w:r>
        <w:rPr>
          <w:noProof/>
        </w:rPr>
        <w:t>Inte tillämpligt.</w:t>
      </w:r>
    </w:p>
    <w:p>
      <w:pPr>
        <w:pStyle w:val="ManualHeading2"/>
        <w:rPr>
          <w:noProof/>
        </w:rPr>
      </w:pPr>
      <w:r>
        <w:rPr>
          <w:noProof/>
        </w:rPr>
        <w:tab/>
        <w:t>2.2</w:t>
      </w:r>
      <w:r>
        <w:rPr>
          <w:noProof/>
        </w:rPr>
        <w:tab/>
        <w:t>Förvaltnings- och kontrollsystem</w:t>
      </w:r>
    </w:p>
    <w:p>
      <w:pPr>
        <w:pStyle w:val="ManualHeading3"/>
        <w:rPr>
          <w:noProof/>
        </w:rPr>
      </w:pPr>
      <w:r>
        <w:rPr>
          <w:noProof/>
        </w:rPr>
        <w:tab/>
        <w:t>2.2.1</w:t>
      </w:r>
      <w:r>
        <w:rPr>
          <w:noProof/>
        </w:rPr>
        <w:tab/>
        <w:t>Motivering av den genomförandemetod, de finansieringsmekanismer, de betalningsvillkor och den kontrollstrategi som föreslås</w:t>
      </w:r>
    </w:p>
    <w:p>
      <w:pPr>
        <w:pBdr>
          <w:top w:val="single" w:sz="4" w:space="0" w:color="000000"/>
          <w:left w:val="single" w:sz="4" w:space="0" w:color="000000"/>
          <w:bottom w:val="single" w:sz="4" w:space="0" w:color="000000"/>
          <w:right w:val="single" w:sz="4" w:space="0" w:color="000000"/>
        </w:pBdr>
        <w:ind w:left="845"/>
        <w:rPr>
          <w:noProof/>
        </w:rPr>
      </w:pPr>
      <w:r>
        <w:rPr>
          <w:noProof/>
        </w:rPr>
        <w:t>Inte tillämpligt.</w:t>
      </w:r>
    </w:p>
    <w:p>
      <w:pPr>
        <w:pStyle w:val="ManualHeading3"/>
        <w:rPr>
          <w:noProof/>
        </w:rPr>
      </w:pPr>
      <w:r>
        <w:rPr>
          <w:noProof/>
        </w:rPr>
        <w:tab/>
        <w:t>2.2.2</w:t>
      </w:r>
      <w:r>
        <w:rPr>
          <w:noProof/>
        </w:rPr>
        <w:tab/>
        <w:t>Uppgifter om identifierade risker och om det eller de interna kontrollsystem som inrättats för att begränsa riskerna</w:t>
      </w:r>
    </w:p>
    <w:p>
      <w:pPr>
        <w:pBdr>
          <w:top w:val="single" w:sz="4" w:space="0" w:color="000000"/>
          <w:left w:val="single" w:sz="4" w:space="0" w:color="000000"/>
          <w:bottom w:val="single" w:sz="4" w:space="0" w:color="000000"/>
          <w:right w:val="single" w:sz="4" w:space="0" w:color="000000"/>
        </w:pBdr>
        <w:ind w:left="845"/>
        <w:rPr>
          <w:noProof/>
        </w:rPr>
      </w:pPr>
      <w:r>
        <w:rPr>
          <w:noProof/>
        </w:rPr>
        <w:t>Inte tillämpligt.</w:t>
      </w:r>
    </w:p>
    <w:p>
      <w:pPr>
        <w:pStyle w:val="ManualHeading3"/>
        <w:rPr>
          <w:noProof/>
        </w:rPr>
      </w:pPr>
      <w:r>
        <w:rPr>
          <w:noProof/>
        </w:rPr>
        <w:tab/>
        <w:t>2.2.3</w:t>
      </w:r>
      <w:r>
        <w:rPr>
          <w:noProof/>
        </w:rPr>
        <w:tab/>
        <w:t>Beräkning och motivering av kontrollernas kostnadseffektivitet (dvs. förhållandet mellan kostnaden för kontrollerna och värdet av de medel som förvaltas) och en bedömning av den förväntade risken för fel (vid betalning och vid avslutande)</w:t>
      </w:r>
    </w:p>
    <w:p>
      <w:pPr>
        <w:pBdr>
          <w:top w:val="single" w:sz="4" w:space="0" w:color="000000"/>
          <w:left w:val="single" w:sz="4" w:space="0" w:color="000000"/>
          <w:bottom w:val="single" w:sz="4" w:space="0" w:color="000000"/>
          <w:right w:val="single" w:sz="4" w:space="0" w:color="000000"/>
        </w:pBdr>
        <w:ind w:left="845"/>
        <w:rPr>
          <w:noProof/>
        </w:rPr>
      </w:pPr>
      <w:r>
        <w:rPr>
          <w:noProof/>
        </w:rPr>
        <w:t>Inte tillämpligt.</w:t>
      </w:r>
    </w:p>
    <w:p>
      <w:pPr>
        <w:pStyle w:val="ManualHeading2"/>
        <w:rPr>
          <w:noProof/>
        </w:rPr>
      </w:pPr>
      <w:r>
        <w:rPr>
          <w:noProof/>
        </w:rPr>
        <w:tab/>
        <w:t>2.3</w:t>
      </w:r>
      <w:r>
        <w:rPr>
          <w:noProof/>
        </w:rPr>
        <w:tab/>
        <w:t>Åtgärder för att förebygga bedrägeri och oriktigheter</w:t>
      </w:r>
    </w:p>
    <w:p>
      <w:pPr>
        <w:pBdr>
          <w:top w:val="single" w:sz="4" w:space="0" w:color="000000"/>
          <w:left w:val="single" w:sz="4" w:space="0" w:color="000000"/>
          <w:bottom w:val="single" w:sz="4" w:space="0" w:color="000000"/>
          <w:right w:val="single" w:sz="4" w:space="0" w:color="000000"/>
        </w:pBdr>
        <w:ind w:left="845"/>
        <w:rPr>
          <w:noProof/>
        </w:rPr>
      </w:pPr>
      <w:r>
        <w:rPr>
          <w:noProof/>
        </w:rPr>
        <w:t>Inte tillämpligt.</w:t>
      </w:r>
    </w:p>
    <w:p>
      <w:pPr>
        <w:rPr>
          <w:noProof/>
        </w:rPr>
        <w:sectPr>
          <w:pgSz w:w="11907" w:h="16840" w:code="9"/>
          <w:pgMar w:top="1134" w:right="1418" w:bottom="1134" w:left="1418" w:header="709" w:footer="709" w:gutter="0"/>
          <w:cols w:space="708"/>
          <w:docGrid w:linePitch="360"/>
        </w:sectPr>
      </w:pPr>
    </w:p>
    <w:p>
      <w:pPr>
        <w:pStyle w:val="ManualNumPar1"/>
        <w:rPr>
          <w:noProof/>
        </w:rPr>
      </w:pPr>
      <w:bookmarkStart w:id="1" w:name="_Toc514938050"/>
      <w:bookmarkStart w:id="2" w:name="_Toc520485049"/>
      <w:r>
        <w:rPr>
          <w:noProof/>
        </w:rPr>
        <w:t>3.</w:t>
      </w:r>
      <w:r>
        <w:rPr>
          <w:noProof/>
        </w:rPr>
        <w:tab/>
        <w:t>BERÄKNADE BUDGETKONSEKVENSER AV FÖRSLAGET ELLER INITIATIVET</w:t>
      </w:r>
      <w:bookmarkStart w:id="3" w:name="_Toc514938051"/>
      <w:bookmarkStart w:id="4" w:name="_Toc520485050"/>
      <w:bookmarkEnd w:id="1"/>
      <w:bookmarkEnd w:id="2"/>
    </w:p>
    <w:p>
      <w:pPr>
        <w:pStyle w:val="ManualHeading2"/>
        <w:rPr>
          <w:noProof/>
        </w:rPr>
      </w:pPr>
      <w:r>
        <w:rPr>
          <w:noProof/>
        </w:rPr>
        <w:tab/>
        <w:t>3.1</w:t>
      </w:r>
      <w:r>
        <w:rPr>
          <w:noProof/>
        </w:rPr>
        <w:tab/>
        <w:t>Berörda rubriker i den fleråriga budgetramen och budgetrubriker i den årliga budgetens utgiftsdel</w:t>
      </w:r>
      <w:bookmarkEnd w:id="3"/>
      <w:bookmarkEnd w:id="4"/>
    </w:p>
    <w:p>
      <w:pPr>
        <w:pStyle w:val="ListBullet1"/>
        <w:rPr>
          <w:noProof/>
        </w:rPr>
      </w:pPr>
      <w:r>
        <w:rPr>
          <w:noProof/>
        </w:rPr>
        <w:t>Befintliga budgetrubriker (även kallade ”budgetposter”)</w:t>
      </w:r>
    </w:p>
    <w:p>
      <w:pPr>
        <w:pStyle w:val="Text1"/>
        <w:rPr>
          <w:i/>
          <w:noProof/>
        </w:rPr>
      </w:pPr>
      <w:r>
        <w:rPr>
          <w:i/>
          <w:noProof/>
        </w:rPr>
        <w:t>Redovisa enligt de berörda rubrikerna i den fleråriga budgetramen</w:t>
      </w:r>
      <w:r>
        <w:rPr>
          <w:noProof/>
        </w:rPr>
        <w:t xml:space="preserve"> </w:t>
      </w:r>
      <w:r>
        <w:rPr>
          <w:i/>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jc w:val="center"/>
              <w:rPr>
                <w:noProof/>
              </w:rPr>
            </w:pPr>
            <w:r>
              <w:rPr>
                <w:noProof/>
                <w:sz w:val="18"/>
              </w:rPr>
              <w:t>Rubrik i den fleråriga budgetramen</w:t>
            </w:r>
          </w:p>
        </w:tc>
        <w:tc>
          <w:tcPr>
            <w:tcW w:w="3960" w:type="dxa"/>
            <w:vAlign w:val="center"/>
          </w:tcPr>
          <w:p>
            <w:pPr>
              <w:jc w:val="center"/>
              <w:rPr>
                <w:noProof/>
              </w:rPr>
            </w:pPr>
            <w:r>
              <w:rPr>
                <w:noProof/>
                <w:sz w:val="20"/>
              </w:rPr>
              <w:t>Budgetrubrik</w:t>
            </w:r>
          </w:p>
        </w:tc>
        <w:tc>
          <w:tcPr>
            <w:tcW w:w="1080" w:type="dxa"/>
            <w:vAlign w:val="center"/>
          </w:tcPr>
          <w:p>
            <w:pPr>
              <w:jc w:val="center"/>
              <w:rPr>
                <w:noProof/>
              </w:rPr>
            </w:pPr>
            <w:r>
              <w:rPr>
                <w:noProof/>
                <w:sz w:val="18"/>
              </w:rPr>
              <w:t xml:space="preserve">Typ av </w:t>
            </w:r>
            <w:r>
              <w:rPr>
                <w:noProof/>
                <w:sz w:val="22"/>
              </w:rPr>
              <w:br/>
            </w:r>
            <w:r>
              <w:rPr>
                <w:noProof/>
                <w:sz w:val="18"/>
              </w:rPr>
              <w:t>anslag</w:t>
            </w:r>
          </w:p>
        </w:tc>
        <w:tc>
          <w:tcPr>
            <w:tcW w:w="4440" w:type="dxa"/>
            <w:gridSpan w:val="4"/>
            <w:vAlign w:val="center"/>
          </w:tcPr>
          <w:p>
            <w:pPr>
              <w:jc w:val="center"/>
              <w:rPr>
                <w:noProof/>
              </w:rPr>
            </w:pPr>
            <w:r>
              <w:rPr>
                <w:noProof/>
                <w:sz w:val="20"/>
              </w:rPr>
              <w:t xml:space="preserve">Bidrag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18"/>
              </w:rPr>
              <w:t>Diff./Icke-diff.</w:t>
            </w:r>
            <w:r>
              <w:rPr>
                <w:rStyle w:val="FootnoteReference"/>
                <w:noProof/>
                <w:sz w:val="18"/>
              </w:rPr>
              <w:footnoteReference w:id="5"/>
            </w:r>
          </w:p>
        </w:tc>
        <w:tc>
          <w:tcPr>
            <w:tcW w:w="956" w:type="dxa"/>
            <w:vAlign w:val="center"/>
          </w:tcPr>
          <w:p>
            <w:pPr>
              <w:jc w:val="center"/>
              <w:rPr>
                <w:noProof/>
              </w:rPr>
            </w:pPr>
            <w:r>
              <w:rPr>
                <w:noProof/>
                <w:sz w:val="18"/>
              </w:rPr>
              <w:t>från Eftaländer</w:t>
            </w:r>
            <w:r>
              <w:rPr>
                <w:rStyle w:val="FootnoteReference"/>
                <w:noProof/>
                <w:sz w:val="18"/>
              </w:rPr>
              <w:footnoteReference w:id="6"/>
            </w:r>
          </w:p>
          <w:p>
            <w:pPr>
              <w:jc w:val="center"/>
              <w:rPr>
                <w:b/>
                <w:noProof/>
                <w:sz w:val="18"/>
              </w:rPr>
            </w:pPr>
          </w:p>
        </w:tc>
        <w:tc>
          <w:tcPr>
            <w:tcW w:w="1080" w:type="dxa"/>
            <w:vAlign w:val="center"/>
          </w:tcPr>
          <w:p>
            <w:pPr>
              <w:jc w:val="center"/>
              <w:rPr>
                <w:noProof/>
              </w:rPr>
            </w:pPr>
            <w:r>
              <w:rPr>
                <w:noProof/>
                <w:sz w:val="18"/>
              </w:rPr>
              <w:t>från kandidatländer</w:t>
            </w:r>
            <w:r>
              <w:rPr>
                <w:rStyle w:val="FootnoteReference"/>
                <w:noProof/>
                <w:sz w:val="18"/>
              </w:rPr>
              <w:footnoteReference w:id="7"/>
            </w:r>
          </w:p>
          <w:p>
            <w:pPr>
              <w:jc w:val="center"/>
              <w:rPr>
                <w:noProof/>
                <w:sz w:val="18"/>
              </w:rPr>
            </w:pPr>
          </w:p>
        </w:tc>
        <w:tc>
          <w:tcPr>
            <w:tcW w:w="956" w:type="dxa"/>
            <w:vAlign w:val="center"/>
          </w:tcPr>
          <w:p>
            <w:pPr>
              <w:jc w:val="center"/>
              <w:rPr>
                <w:noProof/>
                <w:sz w:val="18"/>
              </w:rPr>
            </w:pPr>
            <w:r>
              <w:rPr>
                <w:noProof/>
                <w:sz w:val="18"/>
              </w:rPr>
              <w:t>från tredjeländer</w:t>
            </w:r>
          </w:p>
        </w:tc>
        <w:tc>
          <w:tcPr>
            <w:tcW w:w="1448" w:type="dxa"/>
            <w:vAlign w:val="center"/>
          </w:tcPr>
          <w:p>
            <w:pPr>
              <w:jc w:val="center"/>
              <w:rPr>
                <w:noProof/>
              </w:rPr>
            </w:pPr>
            <w:r>
              <w:rPr>
                <w:noProof/>
                <w:sz w:val="16"/>
              </w:rPr>
              <w:t xml:space="preserve">enligt artikel 21.2 b i budgetförordningen </w:t>
            </w:r>
          </w:p>
        </w:tc>
      </w:tr>
      <w:tr>
        <w:tc>
          <w:tcPr>
            <w:tcW w:w="1080" w:type="dxa"/>
            <w:vAlign w:val="center"/>
          </w:tcPr>
          <w:p>
            <w:pPr>
              <w:jc w:val="center"/>
              <w:rPr>
                <w:noProof/>
                <w:color w:val="0000FF"/>
              </w:rPr>
            </w:pPr>
          </w:p>
        </w:tc>
        <w:tc>
          <w:tcPr>
            <w:tcW w:w="3960" w:type="dxa"/>
            <w:vAlign w:val="center"/>
          </w:tcPr>
          <w:p>
            <w:pPr>
              <w:rPr>
                <w:noProof/>
              </w:rPr>
            </w:pPr>
          </w:p>
        </w:tc>
        <w:tc>
          <w:tcPr>
            <w:tcW w:w="1080" w:type="dxa"/>
            <w:vAlign w:val="center"/>
          </w:tcPr>
          <w:p>
            <w:pPr>
              <w:jc w:val="center"/>
              <w:rPr>
                <w:noProof/>
                <w:color w:val="0000FF"/>
              </w:rPr>
            </w:pPr>
            <w:r>
              <w:rPr>
                <w:noProof/>
                <w:sz w:val="22"/>
              </w:rPr>
              <w:t>Diff.</w:t>
            </w:r>
          </w:p>
        </w:tc>
        <w:tc>
          <w:tcPr>
            <w:tcW w:w="956" w:type="dxa"/>
            <w:vAlign w:val="center"/>
          </w:tcPr>
          <w:p>
            <w:pPr>
              <w:jc w:val="center"/>
              <w:rPr>
                <w:noProof/>
                <w:sz w:val="20"/>
                <w:szCs w:val="20"/>
              </w:rPr>
            </w:pPr>
            <w:r>
              <w:rPr>
                <w:noProof/>
                <w:sz w:val="20"/>
              </w:rPr>
              <w:t>NEJ</w:t>
            </w:r>
          </w:p>
        </w:tc>
        <w:tc>
          <w:tcPr>
            <w:tcW w:w="1080" w:type="dxa"/>
            <w:vAlign w:val="center"/>
          </w:tcPr>
          <w:p>
            <w:pPr>
              <w:jc w:val="center"/>
              <w:rPr>
                <w:noProof/>
                <w:sz w:val="20"/>
                <w:szCs w:val="20"/>
              </w:rPr>
            </w:pPr>
            <w:r>
              <w:rPr>
                <w:noProof/>
                <w:sz w:val="20"/>
              </w:rPr>
              <w:t>NEJ</w:t>
            </w:r>
          </w:p>
        </w:tc>
        <w:tc>
          <w:tcPr>
            <w:tcW w:w="956" w:type="dxa"/>
            <w:vAlign w:val="center"/>
          </w:tcPr>
          <w:p>
            <w:pPr>
              <w:jc w:val="center"/>
              <w:rPr>
                <w:noProof/>
                <w:sz w:val="20"/>
                <w:szCs w:val="20"/>
              </w:rPr>
            </w:pPr>
            <w:r>
              <w:rPr>
                <w:noProof/>
                <w:sz w:val="20"/>
              </w:rPr>
              <w:t>NEJ</w:t>
            </w:r>
          </w:p>
        </w:tc>
        <w:tc>
          <w:tcPr>
            <w:tcW w:w="1448" w:type="dxa"/>
            <w:vAlign w:val="center"/>
          </w:tcPr>
          <w:p>
            <w:pPr>
              <w:jc w:val="center"/>
              <w:rPr>
                <w:noProof/>
                <w:sz w:val="20"/>
                <w:szCs w:val="20"/>
              </w:rPr>
            </w:pPr>
            <w:r>
              <w:rPr>
                <w:noProof/>
                <w:sz w:val="20"/>
              </w:rPr>
              <w:t>NEJ</w:t>
            </w:r>
          </w:p>
        </w:tc>
      </w:tr>
    </w:tbl>
    <w:p>
      <w:pPr>
        <w:rPr>
          <w:noProof/>
        </w:rPr>
        <w:sectPr>
          <w:pgSz w:w="11907" w:h="16840" w:code="1"/>
          <w:pgMar w:top="1134" w:right="1418" w:bottom="1134" w:left="1418" w:header="709" w:footer="709" w:gutter="0"/>
          <w:cols w:space="708"/>
          <w:docGrid w:linePitch="360"/>
        </w:sectPr>
      </w:pPr>
    </w:p>
    <w:p>
      <w:pPr>
        <w:pStyle w:val="ManualHeading2"/>
        <w:rPr>
          <w:noProof/>
        </w:rPr>
      </w:pPr>
      <w:bookmarkStart w:id="5" w:name="_Toc514938052"/>
      <w:bookmarkStart w:id="6" w:name="_Toc520485051"/>
      <w:r>
        <w:rPr>
          <w:noProof/>
        </w:rPr>
        <w:tab/>
        <w:t>3.2</w:t>
      </w:r>
      <w:r>
        <w:rPr>
          <w:noProof/>
        </w:rPr>
        <w:tab/>
        <w:t>Förslagets beräknade budgetkonsekvenser på anslagen</w:t>
      </w:r>
      <w:bookmarkEnd w:id="5"/>
      <w:bookmarkEnd w:id="6"/>
    </w:p>
    <w:p>
      <w:pPr>
        <w:pStyle w:val="ManualHeading3"/>
        <w:rPr>
          <w:noProof/>
        </w:rPr>
      </w:pPr>
      <w:bookmarkStart w:id="7" w:name="_Toc514938053"/>
      <w:bookmarkStart w:id="8" w:name="_Toc520485052"/>
      <w:r>
        <w:rPr>
          <w:noProof/>
        </w:rPr>
        <w:t>3.2.1</w:t>
      </w:r>
      <w:r>
        <w:rPr>
          <w:noProof/>
        </w:rPr>
        <w:tab/>
        <w:t>Sammanfattning av beräknad inverkan på driftsanslagen</w:t>
      </w:r>
      <w:bookmarkEnd w:id="7"/>
      <w:bookmarkEnd w:id="8"/>
      <w:r>
        <w:rPr>
          <w:noProof/>
        </w:rPr>
        <w:t xml:space="preserve"> </w:t>
      </w:r>
    </w:p>
    <w:p>
      <w:pPr>
        <w:pStyle w:val="ListDash1"/>
        <w:rPr>
          <w:noProof/>
        </w:rPr>
      </w:pPr>
      <w:r>
        <w:rPr>
          <w:noProof/>
        </w:rPr>
        <w:sym w:font="Wingdings" w:char="F0A8"/>
      </w:r>
      <w:r>
        <w:rPr>
          <w:noProof/>
        </w:rPr>
        <w:tab/>
        <w:t>Denna förordning har inga budgetkonsekvenser.</w:t>
      </w:r>
    </w:p>
    <w:p>
      <w:pPr>
        <w:pStyle w:val="ListDash1"/>
        <w:rPr>
          <w:noProof/>
        </w:rPr>
      </w:pPr>
      <w:r>
        <w:rPr>
          <w:noProof/>
        </w:rPr>
        <w:sym w:font="Wingdings" w:char="F0A8"/>
      </w:r>
      <w:r>
        <w:rPr>
          <w:noProof/>
        </w:rPr>
        <w:tab/>
        <w:t>Förslaget/initiativet kräver att driftsanslag tas i anspråk enligt följande:</w:t>
      </w:r>
    </w:p>
    <w:p>
      <w:pPr>
        <w:jc w:val="left"/>
        <w:rPr>
          <w:noProof/>
          <w:highlight w:val="yellow"/>
        </w:rPr>
      </w:pPr>
    </w:p>
    <w:tbl>
      <w:tblPr>
        <w:tblStyle w:val="TableGrid0"/>
        <w:tblW w:w="15955" w:type="dxa"/>
        <w:tblInd w:w="-1068" w:type="dxa"/>
        <w:tblCellMar>
          <w:top w:w="29" w:type="dxa"/>
          <w:left w:w="106" w:type="dxa"/>
          <w:right w:w="58" w:type="dxa"/>
        </w:tblCellMar>
        <w:tblLook w:val="04A0" w:firstRow="1" w:lastRow="0" w:firstColumn="1" w:lastColumn="0" w:noHBand="0" w:noVBand="1"/>
      </w:tblPr>
      <w:tblGrid>
        <w:gridCol w:w="3941"/>
        <w:gridCol w:w="20"/>
        <w:gridCol w:w="1415"/>
        <w:gridCol w:w="26"/>
        <w:gridCol w:w="144"/>
        <w:gridCol w:w="511"/>
        <w:gridCol w:w="22"/>
        <w:gridCol w:w="1228"/>
        <w:gridCol w:w="19"/>
        <w:gridCol w:w="1097"/>
        <w:gridCol w:w="17"/>
        <w:gridCol w:w="993"/>
        <w:gridCol w:w="15"/>
        <w:gridCol w:w="1120"/>
        <w:gridCol w:w="13"/>
        <w:gridCol w:w="1404"/>
        <w:gridCol w:w="9"/>
        <w:gridCol w:w="1551"/>
        <w:gridCol w:w="7"/>
        <w:gridCol w:w="2403"/>
      </w:tblGrid>
      <w:tr>
        <w:trPr>
          <w:trHeight w:val="1078"/>
        </w:trPr>
        <w:tc>
          <w:tcPr>
            <w:tcW w:w="3941" w:type="dxa"/>
            <w:tcBorders>
              <w:top w:val="single" w:sz="4" w:space="0" w:color="000000"/>
              <w:left w:val="single" w:sz="4" w:space="0" w:color="000000"/>
              <w:bottom w:val="single" w:sz="4" w:space="0" w:color="000000"/>
              <w:right w:val="single" w:sz="4" w:space="0" w:color="000000"/>
            </w:tcBorders>
            <w:vAlign w:val="center"/>
          </w:tcPr>
          <w:p>
            <w:pPr>
              <w:ind w:left="2"/>
              <w:jc w:val="left"/>
              <w:rPr>
                <w:noProof/>
                <w:highlight w:val="yellow"/>
              </w:rPr>
            </w:pPr>
            <w:r>
              <w:rPr>
                <w:noProof/>
                <w:highlight w:val="yellow"/>
              </w:rPr>
              <w:t xml:space="preserve"> </w:t>
            </w:r>
          </w:p>
        </w:tc>
        <w:tc>
          <w:tcPr>
            <w:tcW w:w="1435" w:type="dxa"/>
            <w:gridSpan w:val="2"/>
            <w:tcBorders>
              <w:top w:val="single" w:sz="4" w:space="0" w:color="000000"/>
              <w:left w:val="single" w:sz="4" w:space="0" w:color="000000"/>
              <w:bottom w:val="single" w:sz="4" w:space="0" w:color="000000"/>
              <w:right w:val="nil"/>
            </w:tcBorders>
          </w:tcPr>
          <w:p>
            <w:pPr>
              <w:ind w:left="2"/>
              <w:jc w:val="left"/>
              <w:rPr>
                <w:noProof/>
                <w:highlight w:val="yellow"/>
              </w:rPr>
            </w:pPr>
            <w:r>
              <w:rPr>
                <w:noProof/>
                <w:sz w:val="20"/>
                <w:highlight w:val="yellow"/>
              </w:rPr>
              <w:t xml:space="preserve"> </w:t>
            </w:r>
          </w:p>
        </w:tc>
        <w:tc>
          <w:tcPr>
            <w:tcW w:w="170" w:type="dxa"/>
            <w:gridSpan w:val="2"/>
            <w:tcBorders>
              <w:top w:val="single" w:sz="4" w:space="0" w:color="000000"/>
              <w:left w:val="nil"/>
              <w:bottom w:val="single" w:sz="4" w:space="0" w:color="000000"/>
              <w:right w:val="single" w:sz="4" w:space="0" w:color="000000"/>
            </w:tcBorders>
          </w:tcPr>
          <w:p>
            <w:pPr>
              <w:jc w:val="left"/>
              <w:rPr>
                <w:noProof/>
                <w:highlight w:val="yellow"/>
              </w:rPr>
            </w:pPr>
          </w:p>
        </w:tc>
        <w:tc>
          <w:tcPr>
            <w:tcW w:w="533" w:type="dxa"/>
            <w:gridSpan w:val="2"/>
            <w:tcBorders>
              <w:top w:val="single" w:sz="4" w:space="0" w:color="000000"/>
              <w:left w:val="single" w:sz="4" w:space="0" w:color="000000"/>
              <w:bottom w:val="single" w:sz="4" w:space="0" w:color="000000"/>
              <w:right w:val="single" w:sz="4" w:space="0" w:color="000000"/>
            </w:tcBorders>
          </w:tcPr>
          <w:p>
            <w:pPr>
              <w:jc w:val="center"/>
              <w:rPr>
                <w:noProof/>
                <w:highlight w:val="yellow"/>
              </w:rPr>
            </w:pPr>
            <w:r>
              <w:rPr>
                <w:noProof/>
                <w:sz w:val="20"/>
                <w:highlight w:val="yellow"/>
              </w:rPr>
              <w:t xml:space="preserve"> </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 xml:space="preserve">2019 </w:t>
            </w: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pPr>
              <w:ind w:right="47"/>
              <w:jc w:val="center"/>
              <w:rPr>
                <w:noProof/>
              </w:rPr>
            </w:pPr>
            <w:r>
              <w:rPr>
                <w:noProof/>
                <w:sz w:val="20"/>
              </w:rPr>
              <w:t xml:space="preserve">2020 </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pPr>
              <w:ind w:right="46"/>
              <w:jc w:val="center"/>
              <w:rPr>
                <w:noProof/>
              </w:rPr>
            </w:pPr>
            <w:r>
              <w:rPr>
                <w:noProof/>
                <w:sz w:val="20"/>
              </w:rPr>
              <w:t xml:space="preserve">2021 </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 xml:space="preserve">2022 </w:t>
            </w:r>
          </w:p>
        </w:tc>
        <w:tc>
          <w:tcPr>
            <w:tcW w:w="1413" w:type="dxa"/>
            <w:gridSpan w:val="2"/>
            <w:tcBorders>
              <w:top w:val="single" w:sz="4" w:space="0" w:color="000000"/>
              <w:left w:val="single" w:sz="4" w:space="0" w:color="000000"/>
              <w:bottom w:val="single" w:sz="4" w:space="0" w:color="000000"/>
              <w:right w:val="single" w:sz="4" w:space="0" w:color="000000"/>
            </w:tcBorders>
            <w:vAlign w:val="center"/>
          </w:tcPr>
          <w:p>
            <w:pPr>
              <w:ind w:right="51"/>
              <w:jc w:val="center"/>
              <w:rPr>
                <w:noProof/>
              </w:rPr>
            </w:pPr>
            <w:r>
              <w:rPr>
                <w:noProof/>
                <w:sz w:val="20"/>
              </w:rPr>
              <w:t>2023</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ind w:left="3" w:right="4"/>
              <w:jc w:val="center"/>
              <w:rPr>
                <w:noProof/>
              </w:rPr>
            </w:pPr>
            <w:r>
              <w:rPr>
                <w:noProof/>
                <w:sz w:val="20"/>
              </w:rPr>
              <w:t xml:space="preserve">Efterföljande år </w:t>
            </w:r>
          </w:p>
        </w:tc>
        <w:tc>
          <w:tcPr>
            <w:tcW w:w="2403" w:type="dxa"/>
            <w:tcBorders>
              <w:top w:val="single" w:sz="4" w:space="0" w:color="000000"/>
              <w:left w:val="single" w:sz="4" w:space="0" w:color="000000"/>
              <w:bottom w:val="single" w:sz="4" w:space="0" w:color="000000"/>
              <w:right w:val="single" w:sz="4" w:space="0" w:color="000000"/>
            </w:tcBorders>
            <w:vAlign w:val="center"/>
          </w:tcPr>
          <w:p>
            <w:pPr>
              <w:ind w:right="50"/>
              <w:jc w:val="center"/>
              <w:rPr>
                <w:noProof/>
              </w:rPr>
            </w:pPr>
            <w:r>
              <w:rPr>
                <w:b/>
                <w:noProof/>
                <w:sz w:val="20"/>
              </w:rPr>
              <w:t xml:space="preserve">TOTALT </w:t>
            </w:r>
          </w:p>
        </w:tc>
      </w:tr>
      <w:tr>
        <w:trPr>
          <w:trHeight w:val="481"/>
        </w:trPr>
        <w:tc>
          <w:tcPr>
            <w:tcW w:w="5402" w:type="dxa"/>
            <w:gridSpan w:val="4"/>
            <w:tcBorders>
              <w:top w:val="single" w:sz="4" w:space="0" w:color="000000"/>
              <w:left w:val="single" w:sz="4" w:space="0" w:color="000000"/>
              <w:bottom w:val="single" w:sz="4" w:space="0" w:color="000000"/>
              <w:right w:val="nil"/>
            </w:tcBorders>
          </w:tcPr>
          <w:p>
            <w:pPr>
              <w:ind w:left="2"/>
              <w:jc w:val="left"/>
              <w:rPr>
                <w:noProof/>
              </w:rPr>
            </w:pPr>
            <w:r>
              <w:rPr>
                <w:rFonts w:ascii="Wingdings" w:eastAsia="Wingdings" w:hAnsi="Wingdings" w:cs="Wingdings"/>
                <w:noProof/>
              </w:rPr>
              <w:t></w:t>
            </w:r>
            <w:r>
              <w:rPr>
                <w:noProof/>
                <w:sz w:val="21"/>
              </w:rPr>
              <w:t xml:space="preserve"> </w:t>
            </w:r>
            <w:r>
              <w:rPr>
                <w:b/>
                <w:noProof/>
              </w:rPr>
              <w:t>Annullering av driftsanslag</w:t>
            </w:r>
          </w:p>
        </w:tc>
        <w:tc>
          <w:tcPr>
            <w:tcW w:w="655" w:type="dxa"/>
            <w:gridSpan w:val="2"/>
            <w:tcBorders>
              <w:top w:val="single" w:sz="4" w:space="0" w:color="000000"/>
              <w:left w:val="nil"/>
              <w:bottom w:val="single" w:sz="4" w:space="0" w:color="000000"/>
              <w:right w:val="single" w:sz="4" w:space="0" w:color="000000"/>
            </w:tcBorders>
          </w:tcPr>
          <w:p>
            <w:pPr>
              <w:jc w:val="left"/>
              <w:rPr>
                <w:noProof/>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noProof/>
                <w:sz w:val="20"/>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b/>
                <w:noProof/>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b/>
                <w:noProof/>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b/>
                <w:noProof/>
                <w:sz w:val="20"/>
              </w:rPr>
              <w:t xml:space="preserve"> </w:t>
            </w:r>
          </w:p>
        </w:tc>
      </w:tr>
      <w:tr>
        <w:trPr>
          <w:trHeight w:val="521"/>
        </w:trPr>
        <w:tc>
          <w:tcPr>
            <w:tcW w:w="3961" w:type="dxa"/>
            <w:gridSpan w:val="2"/>
            <w:vMerge w:val="restart"/>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20"/>
              </w:rPr>
              <w:t xml:space="preserve"> </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Åtaganden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right="52"/>
              <w:jc w:val="center"/>
              <w:rPr>
                <w:noProof/>
              </w:rPr>
            </w:pPr>
            <w:r>
              <w:rPr>
                <w:noProof/>
                <w:sz w:val="14"/>
              </w:rPr>
              <w:t xml:space="preserve">(1a)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jc w:val="lef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jc w:val="right"/>
              <w:rPr>
                <w:noProof/>
              </w:rPr>
            </w:pPr>
            <w:r>
              <w:rPr>
                <w:noProof/>
                <w:sz w:val="20"/>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2"/>
              <w:jc w:val="right"/>
              <w:rPr>
                <w:noProof/>
              </w:rPr>
            </w:pPr>
            <w:r>
              <w:rPr>
                <w:noProof/>
                <w:sz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1"/>
              <w:jc w:val="right"/>
              <w:rPr>
                <w:noProof/>
              </w:rPr>
            </w:pPr>
            <w:r>
              <w:rPr>
                <w:b/>
                <w:noProof/>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jc w:val="right"/>
              <w:rPr>
                <w:noProof/>
              </w:rPr>
            </w:pPr>
            <w:r>
              <w:rPr>
                <w:b/>
                <w:noProof/>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r>
      <w:tr>
        <w:trPr>
          <w:trHeight w:val="420"/>
        </w:trPr>
        <w:tc>
          <w:tcPr>
            <w:tcW w:w="0" w:type="auto"/>
            <w:gridSpan w:val="2"/>
            <w:vMerge/>
            <w:tcBorders>
              <w:top w:val="nil"/>
              <w:left w:val="single" w:sz="4" w:space="0" w:color="000000"/>
              <w:bottom w:val="single" w:sz="4" w:space="0" w:color="000000"/>
              <w:right w:val="single" w:sz="4" w:space="0" w:color="000000"/>
            </w:tcBorders>
          </w:tcPr>
          <w:p>
            <w:pPr>
              <w:jc w:val="left"/>
              <w:rPr>
                <w:noProof/>
              </w:rPr>
            </w:pP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Betalningar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right="52"/>
              <w:jc w:val="center"/>
              <w:rPr>
                <w:noProof/>
              </w:rPr>
            </w:pPr>
            <w:r>
              <w:rPr>
                <w:noProof/>
                <w:sz w:val="14"/>
              </w:rPr>
              <w:t xml:space="preserve">(2a)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r>
      <w:tr>
        <w:trPr>
          <w:trHeight w:val="571"/>
        </w:trPr>
        <w:tc>
          <w:tcPr>
            <w:tcW w:w="3961" w:type="dxa"/>
            <w:gridSpan w:val="2"/>
            <w:vMerge w:val="restart"/>
            <w:tcBorders>
              <w:top w:val="single" w:sz="4" w:space="0" w:color="000000"/>
              <w:left w:val="single" w:sz="4" w:space="0" w:color="000000"/>
              <w:bottom w:val="single" w:sz="4" w:space="0" w:color="000000"/>
              <w:right w:val="single" w:sz="4" w:space="0" w:color="000000"/>
            </w:tcBorders>
            <w:vAlign w:val="center"/>
          </w:tcPr>
          <w:p>
            <w:pPr>
              <w:ind w:right="46"/>
              <w:jc w:val="center"/>
              <w:rPr>
                <w:noProof/>
              </w:rPr>
            </w:pPr>
            <w:r>
              <w:rPr>
                <w:b/>
                <w:noProof/>
                <w:sz w:val="22"/>
              </w:rPr>
              <w:t>TOTALA anslag</w:t>
            </w:r>
          </w:p>
          <w:p>
            <w:pPr>
              <w:ind w:left="13"/>
              <w:jc w:val="center"/>
              <w:rPr>
                <w:noProof/>
              </w:rPr>
            </w:pPr>
            <w:r>
              <w:rPr>
                <w:b/>
                <w:noProof/>
              </w:rPr>
              <w:t xml:space="preserve"> </w:t>
            </w: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Åtaganden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jc w:val="center"/>
              <w:rPr>
                <w:noProof/>
              </w:rPr>
            </w:pPr>
            <w:r>
              <w:rPr>
                <w:noProof/>
                <w:sz w:val="14"/>
              </w:rPr>
              <w:t xml:space="preserve">=1a+1b +3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b/>
                <w:noProof/>
                <w:sz w:val="18"/>
              </w:rPr>
              <w:t xml:space="preserve"> </w:t>
            </w:r>
          </w:p>
        </w:tc>
      </w:tr>
      <w:tr>
        <w:trPr>
          <w:trHeight w:val="694"/>
        </w:trPr>
        <w:tc>
          <w:tcPr>
            <w:tcW w:w="0" w:type="auto"/>
            <w:gridSpan w:val="2"/>
            <w:vMerge/>
            <w:tcBorders>
              <w:top w:val="nil"/>
              <w:left w:val="single" w:sz="4" w:space="0" w:color="000000"/>
              <w:bottom w:val="single" w:sz="4" w:space="0" w:color="000000"/>
              <w:right w:val="single" w:sz="4" w:space="0" w:color="000000"/>
            </w:tcBorders>
          </w:tcPr>
          <w:p>
            <w:pPr>
              <w:jc w:val="left"/>
              <w:rPr>
                <w:noProof/>
              </w:rPr>
            </w:pPr>
          </w:p>
        </w:tc>
        <w:tc>
          <w:tcPr>
            <w:tcW w:w="1441" w:type="dxa"/>
            <w:gridSpan w:val="2"/>
            <w:tcBorders>
              <w:top w:val="single" w:sz="4" w:space="0" w:color="000000"/>
              <w:left w:val="single" w:sz="4" w:space="0" w:color="000000"/>
              <w:bottom w:val="single" w:sz="4" w:space="0" w:color="000000"/>
              <w:right w:val="single" w:sz="4" w:space="0" w:color="000000"/>
            </w:tcBorders>
            <w:vAlign w:val="center"/>
          </w:tcPr>
          <w:p>
            <w:pPr>
              <w:ind w:left="2"/>
              <w:jc w:val="left"/>
              <w:rPr>
                <w:noProof/>
              </w:rPr>
            </w:pPr>
            <w:r>
              <w:rPr>
                <w:noProof/>
                <w:sz w:val="18"/>
              </w:rPr>
              <w:t xml:space="preserve">Betalningar </w:t>
            </w:r>
          </w:p>
        </w:tc>
        <w:tc>
          <w:tcPr>
            <w:tcW w:w="655" w:type="dxa"/>
            <w:gridSpan w:val="2"/>
            <w:tcBorders>
              <w:top w:val="single" w:sz="4" w:space="0" w:color="000000"/>
              <w:left w:val="single" w:sz="4" w:space="0" w:color="000000"/>
              <w:bottom w:val="single" w:sz="4" w:space="0" w:color="000000"/>
              <w:right w:val="single" w:sz="4" w:space="0" w:color="000000"/>
            </w:tcBorders>
            <w:vAlign w:val="center"/>
          </w:tcPr>
          <w:p>
            <w:pPr>
              <w:ind w:left="5"/>
              <w:jc w:val="left"/>
              <w:rPr>
                <w:noProof/>
              </w:rPr>
            </w:pPr>
            <w:r>
              <w:rPr>
                <w:noProof/>
                <w:sz w:val="14"/>
              </w:rPr>
              <w:t xml:space="preserve">=2a+2b </w:t>
            </w:r>
          </w:p>
          <w:p>
            <w:pPr>
              <w:ind w:right="50"/>
              <w:jc w:val="center"/>
              <w:rPr>
                <w:noProof/>
              </w:rPr>
            </w:pPr>
            <w:r>
              <w:rPr>
                <w:noProof/>
                <w:sz w:val="14"/>
              </w:rPr>
              <w:t xml:space="preserve">+3.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noProof/>
                <w:sz w:val="18"/>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ind w:right="7"/>
              <w:jc w:val="right"/>
              <w:rPr>
                <w:noProof/>
              </w:rPr>
            </w:pPr>
            <w:r>
              <w:rPr>
                <w:noProof/>
                <w:sz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pPr>
              <w:ind w:right="5"/>
              <w:jc w:val="right"/>
              <w:rPr>
                <w:noProof/>
              </w:rPr>
            </w:pPr>
            <w:r>
              <w:rPr>
                <w:b/>
                <w:noProof/>
                <w:sz w:val="18"/>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ind w:right="5"/>
              <w:jc w:val="right"/>
              <w:rPr>
                <w:noProof/>
              </w:rPr>
            </w:pPr>
            <w:r>
              <w:rPr>
                <w:b/>
                <w:noProof/>
                <w:sz w:val="18"/>
              </w:rPr>
              <w:t xml:space="preserve"> </w:t>
            </w:r>
          </w:p>
        </w:tc>
      </w:tr>
    </w:tbl>
    <w:p>
      <w:pPr>
        <w:jc w:val="left"/>
        <w:rPr>
          <w:noProof/>
        </w:rPr>
      </w:pPr>
    </w:p>
    <w:tbl>
      <w:tblPr>
        <w:tblStyle w:val="TableGrid0"/>
        <w:tblW w:w="14397" w:type="dxa"/>
        <w:tblInd w:w="-360" w:type="dxa"/>
        <w:tblCellMar>
          <w:top w:w="5" w:type="dxa"/>
          <w:left w:w="5" w:type="dxa"/>
          <w:right w:w="5" w:type="dxa"/>
        </w:tblCellMar>
        <w:tblLook w:val="04A0" w:firstRow="1" w:lastRow="0" w:firstColumn="1" w:lastColumn="0" w:noHBand="0" w:noVBand="1"/>
      </w:tblPr>
      <w:tblGrid>
        <w:gridCol w:w="3962"/>
        <w:gridCol w:w="1441"/>
        <w:gridCol w:w="655"/>
        <w:gridCol w:w="1250"/>
        <w:gridCol w:w="1116"/>
        <w:gridCol w:w="1152"/>
        <w:gridCol w:w="1135"/>
        <w:gridCol w:w="1133"/>
        <w:gridCol w:w="1135"/>
        <w:gridCol w:w="1418"/>
      </w:tblGrid>
      <w:tr>
        <w:trPr>
          <w:trHeight w:val="312"/>
        </w:trPr>
        <w:tc>
          <w:tcPr>
            <w:tcW w:w="3960" w:type="dxa"/>
            <w:vMerge w:val="restart"/>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rFonts w:ascii="Wingdings" w:eastAsia="Wingdings" w:hAnsi="Wingdings" w:cs="Wingdings"/>
                <w:noProof/>
              </w:rPr>
              <w:t></w:t>
            </w:r>
            <w:r>
              <w:rPr>
                <w:noProof/>
                <w:sz w:val="21"/>
              </w:rPr>
              <w:t>TOTALA driftsanslag</w:t>
            </w:r>
            <w:r>
              <w:rPr>
                <w:noProof/>
              </w:rPr>
              <w:t xml:space="preserve"> </w:t>
            </w:r>
          </w:p>
        </w:tc>
        <w:tc>
          <w:tcPr>
            <w:tcW w:w="1441" w:type="dxa"/>
            <w:tcBorders>
              <w:top w:val="single" w:sz="4" w:space="0" w:color="000000"/>
              <w:left w:val="single" w:sz="4" w:space="0" w:color="000000"/>
              <w:bottom w:val="single" w:sz="4" w:space="0" w:color="000000"/>
              <w:right w:val="single" w:sz="4" w:space="0" w:color="000000"/>
            </w:tcBorders>
          </w:tcPr>
          <w:p>
            <w:pPr>
              <w:ind w:left="103"/>
              <w:jc w:val="left"/>
              <w:rPr>
                <w:noProof/>
              </w:rPr>
            </w:pPr>
            <w:r>
              <w:rPr>
                <w:noProof/>
                <w:sz w:val="18"/>
              </w:rPr>
              <w:t xml:space="preserve">Åtaganden </w:t>
            </w:r>
          </w:p>
        </w:tc>
        <w:tc>
          <w:tcPr>
            <w:tcW w:w="655" w:type="dxa"/>
            <w:tcBorders>
              <w:top w:val="single" w:sz="4" w:space="0" w:color="000000"/>
              <w:left w:val="single" w:sz="4" w:space="0" w:color="000000"/>
              <w:bottom w:val="single" w:sz="4" w:space="0" w:color="000000"/>
              <w:right w:val="single" w:sz="4" w:space="0" w:color="000000"/>
            </w:tcBorders>
          </w:tcPr>
          <w:p>
            <w:pPr>
              <w:ind w:right="4"/>
              <w:jc w:val="center"/>
              <w:rPr>
                <w:noProof/>
              </w:rPr>
            </w:pPr>
            <w:r>
              <w:rPr>
                <w:noProof/>
                <w:sz w:val="14"/>
              </w:rPr>
              <w:t xml:space="preserve">(4) </w:t>
            </w:r>
          </w:p>
        </w:tc>
        <w:tc>
          <w:tcPr>
            <w:tcW w:w="1250"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314"/>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tcPr>
          <w:p>
            <w:pPr>
              <w:ind w:left="103"/>
              <w:jc w:val="left"/>
              <w:rPr>
                <w:noProof/>
              </w:rPr>
            </w:pPr>
            <w:r>
              <w:rPr>
                <w:noProof/>
                <w:sz w:val="18"/>
              </w:rPr>
              <w:t xml:space="preserve">Betalningar </w:t>
            </w:r>
          </w:p>
        </w:tc>
        <w:tc>
          <w:tcPr>
            <w:tcW w:w="655" w:type="dxa"/>
            <w:tcBorders>
              <w:top w:val="single" w:sz="4" w:space="0" w:color="000000"/>
              <w:left w:val="single" w:sz="4" w:space="0" w:color="000000"/>
              <w:bottom w:val="single" w:sz="4" w:space="0" w:color="000000"/>
              <w:right w:val="single" w:sz="4" w:space="0" w:color="000000"/>
            </w:tcBorders>
          </w:tcPr>
          <w:p>
            <w:pPr>
              <w:ind w:right="4"/>
              <w:jc w:val="center"/>
              <w:rPr>
                <w:noProof/>
              </w:rPr>
            </w:pPr>
            <w:r>
              <w:rPr>
                <w:noProof/>
                <w:sz w:val="14"/>
              </w:rPr>
              <w:t xml:space="preserve">(5) </w:t>
            </w:r>
          </w:p>
        </w:tc>
        <w:tc>
          <w:tcPr>
            <w:tcW w:w="1250"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588"/>
        </w:trPr>
        <w:tc>
          <w:tcPr>
            <w:tcW w:w="5401" w:type="dxa"/>
            <w:gridSpan w:val="2"/>
            <w:tcBorders>
              <w:top w:val="single" w:sz="4" w:space="0" w:color="000000"/>
              <w:left w:val="single" w:sz="4" w:space="0" w:color="000000"/>
              <w:bottom w:val="single" w:sz="4" w:space="0" w:color="000000"/>
              <w:right w:val="single" w:sz="4" w:space="0" w:color="000000"/>
            </w:tcBorders>
          </w:tcPr>
          <w:p>
            <w:pPr>
              <w:ind w:left="103"/>
              <w:rPr>
                <w:noProof/>
              </w:rPr>
            </w:pPr>
            <w:r>
              <w:rPr>
                <w:rFonts w:ascii="Wingdings" w:eastAsia="Wingdings" w:hAnsi="Wingdings" w:cs="Wingdings"/>
                <w:noProof/>
              </w:rPr>
              <w:t></w:t>
            </w:r>
            <w:r>
              <w:rPr>
                <w:noProof/>
                <w:sz w:val="21"/>
              </w:rPr>
              <w:t>TOTALA anslag av administrativ natur som finansieras genom ramanslagen för särskilda program</w:t>
            </w:r>
            <w:r>
              <w:rPr>
                <w:noProof/>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4"/>
              <w:jc w:val="center"/>
              <w:rPr>
                <w:noProof/>
              </w:rPr>
            </w:pPr>
            <w:r>
              <w:rPr>
                <w:noProof/>
                <w:sz w:val="14"/>
              </w:rPr>
              <w:t xml:space="preserve">(6)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459"/>
        </w:trPr>
        <w:tc>
          <w:tcPr>
            <w:tcW w:w="3960" w:type="dxa"/>
            <w:vMerge w:val="restart"/>
            <w:tcBorders>
              <w:top w:val="single" w:sz="4" w:space="0" w:color="000000"/>
              <w:left w:val="single" w:sz="4" w:space="0" w:color="000000"/>
              <w:bottom w:val="single" w:sz="4" w:space="0" w:color="000000"/>
              <w:right w:val="single" w:sz="4" w:space="0" w:color="000000"/>
            </w:tcBorders>
            <w:vAlign w:val="center"/>
          </w:tcPr>
          <w:p>
            <w:pPr>
              <w:ind w:left="575" w:right="469"/>
              <w:jc w:val="center"/>
              <w:rPr>
                <w:noProof/>
              </w:rPr>
            </w:pPr>
            <w:r>
              <w:rPr>
                <w:b/>
                <w:noProof/>
                <w:sz w:val="22"/>
              </w:rPr>
              <w:t>TOTALA anslag</w:t>
            </w:r>
            <w:r>
              <w:rPr>
                <w:noProof/>
                <w:sz w:val="22"/>
              </w:rPr>
              <w:t xml:space="preserve"> </w:t>
            </w:r>
            <w:r>
              <w:rPr>
                <w:b/>
                <w:noProof/>
                <w:sz w:val="22"/>
              </w:rPr>
              <w:t>för RUBRIK 13</w:t>
            </w:r>
          </w:p>
          <w:p>
            <w:pPr>
              <w:ind w:right="2"/>
              <w:jc w:val="center"/>
              <w:rPr>
                <w:noProof/>
              </w:rPr>
            </w:pPr>
            <w:r>
              <w:rPr>
                <w:noProof/>
                <w:sz w:val="22"/>
              </w:rPr>
              <w:t>i den fleråriga budgetramen</w:t>
            </w:r>
            <w:r>
              <w:rPr>
                <w:b/>
                <w:noProof/>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Åtaganden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=4+ 6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noProof/>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b/>
                <w:noProof/>
                <w:sz w:val="18"/>
              </w:rPr>
              <w:t xml:space="preserve"> </w:t>
            </w:r>
          </w:p>
        </w:tc>
      </w:tr>
      <w:tr>
        <w:trPr>
          <w:trHeight w:val="552"/>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Betalningar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=5+ 6 </w:t>
            </w:r>
          </w:p>
        </w:tc>
        <w:tc>
          <w:tcPr>
            <w:tcW w:w="1250"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pPr>
              <w:ind w:right="58"/>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noProof/>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pPr>
              <w:ind w:right="61"/>
              <w:jc w:val="right"/>
              <w:rPr>
                <w:noProof/>
              </w:rPr>
            </w:pPr>
            <w:r>
              <w:rPr>
                <w:noProof/>
                <w:sz w:val="18"/>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pPr>
              <w:ind w:right="61"/>
              <w:jc w:val="right"/>
              <w:rPr>
                <w:noProof/>
              </w:rPr>
            </w:pPr>
            <w:r>
              <w:rPr>
                <w:b/>
                <w:noProof/>
                <w:sz w:val="18"/>
              </w:rPr>
              <w:t xml:space="preserve"> </w:t>
            </w:r>
          </w:p>
        </w:tc>
      </w:tr>
    </w:tbl>
    <w:p>
      <w:pPr>
        <w:jc w:val="left"/>
        <w:rPr>
          <w:noProof/>
        </w:rPr>
      </w:pPr>
      <w:r>
        <w:rPr>
          <w:b/>
          <w:noProof/>
          <w:sz w:val="22"/>
        </w:rPr>
        <w:t xml:space="preserve"> </w:t>
      </w:r>
      <w:r>
        <w:rPr>
          <w:b/>
          <w:noProof/>
          <w:sz w:val="22"/>
          <w:u w:val="single" w:color="000000"/>
        </w:rPr>
        <w:t>Upprepa avsnittet ovan om flera rubriker avseende driftsanslag i budgetramen påverkas av förslaget eller initiativet:</w:t>
      </w:r>
      <w:r>
        <w:rPr>
          <w:b/>
          <w:noProof/>
          <w:sz w:val="22"/>
        </w:rPr>
        <w:t xml:space="preserve"> </w:t>
      </w:r>
    </w:p>
    <w:tbl>
      <w:tblPr>
        <w:tblStyle w:val="TableGrid0"/>
        <w:tblW w:w="13910" w:type="dxa"/>
        <w:tblInd w:w="-360" w:type="dxa"/>
        <w:tblCellMar>
          <w:top w:w="5" w:type="dxa"/>
          <w:left w:w="5" w:type="dxa"/>
          <w:right w:w="5" w:type="dxa"/>
        </w:tblCellMar>
        <w:tblLook w:val="04A0" w:firstRow="1" w:lastRow="0" w:firstColumn="1" w:lastColumn="0" w:noHBand="0" w:noVBand="1"/>
      </w:tblPr>
      <w:tblGrid>
        <w:gridCol w:w="3962"/>
        <w:gridCol w:w="1441"/>
        <w:gridCol w:w="655"/>
        <w:gridCol w:w="866"/>
        <w:gridCol w:w="869"/>
        <w:gridCol w:w="869"/>
        <w:gridCol w:w="866"/>
        <w:gridCol w:w="869"/>
        <w:gridCol w:w="869"/>
        <w:gridCol w:w="866"/>
        <w:gridCol w:w="1778"/>
      </w:tblGrid>
      <w:tr>
        <w:trPr>
          <w:trHeight w:val="314"/>
        </w:trPr>
        <w:tc>
          <w:tcPr>
            <w:tcW w:w="3962" w:type="dxa"/>
            <w:tcBorders>
              <w:top w:val="single" w:sz="4" w:space="0" w:color="000000"/>
              <w:left w:val="single" w:sz="4" w:space="0" w:color="000000"/>
              <w:bottom w:val="single" w:sz="4" w:space="0" w:color="FF0000"/>
              <w:right w:val="single" w:sz="4" w:space="0" w:color="000000"/>
            </w:tcBorders>
          </w:tcPr>
          <w:p>
            <w:pPr>
              <w:jc w:val="left"/>
              <w:rPr>
                <w:noProof/>
              </w:rPr>
            </w:pPr>
            <w:r>
              <w:rPr>
                <w:rFonts w:ascii="Wingdings" w:eastAsia="Wingdings" w:hAnsi="Wingdings" w:cs="Wingdings"/>
                <w:noProof/>
                <w:sz w:val="18"/>
                <w:szCs w:val="18"/>
              </w:rPr>
              <w:t></w:t>
            </w:r>
            <w:r>
              <w:rPr>
                <w:noProof/>
                <w:sz w:val="21"/>
              </w:rPr>
              <w:t xml:space="preserve"> TOTALA driftsanslag (alla </w:t>
            </w:r>
          </w:p>
        </w:tc>
        <w:tc>
          <w:tcPr>
            <w:tcW w:w="1441" w:type="dxa"/>
            <w:tcBorders>
              <w:top w:val="single" w:sz="4" w:space="0" w:color="000000"/>
              <w:left w:val="single" w:sz="4" w:space="0" w:color="000000"/>
              <w:bottom w:val="single" w:sz="4" w:space="0" w:color="FF0000"/>
              <w:right w:val="single" w:sz="4" w:space="0" w:color="000000"/>
            </w:tcBorders>
          </w:tcPr>
          <w:p>
            <w:pPr>
              <w:jc w:val="left"/>
              <w:rPr>
                <w:noProof/>
              </w:rPr>
            </w:pPr>
            <w:r>
              <w:rPr>
                <w:noProof/>
                <w:sz w:val="18"/>
              </w:rPr>
              <w:t xml:space="preserve">Åtaganden </w:t>
            </w:r>
          </w:p>
        </w:tc>
        <w:tc>
          <w:tcPr>
            <w:tcW w:w="655" w:type="dxa"/>
            <w:tcBorders>
              <w:top w:val="single" w:sz="4" w:space="0" w:color="000000"/>
              <w:left w:val="single" w:sz="4" w:space="0" w:color="000000"/>
              <w:bottom w:val="single" w:sz="4" w:space="0" w:color="FF0000"/>
              <w:right w:val="single" w:sz="4" w:space="0" w:color="000000"/>
            </w:tcBorders>
          </w:tcPr>
          <w:p>
            <w:pPr>
              <w:ind w:right="56"/>
              <w:jc w:val="center"/>
              <w:rPr>
                <w:noProof/>
              </w:rPr>
            </w:pPr>
            <w:r>
              <w:rPr>
                <w:noProof/>
                <w:sz w:val="14"/>
              </w:rPr>
              <w:t xml:space="preserve">(4)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noProof/>
                <w:sz w:val="20"/>
              </w:rPr>
              <w:t xml:space="preserve"> </w:t>
            </w:r>
          </w:p>
        </w:tc>
        <w:tc>
          <w:tcPr>
            <w:tcW w:w="869" w:type="dxa"/>
            <w:tcBorders>
              <w:top w:val="single" w:sz="4" w:space="0" w:color="000000"/>
              <w:left w:val="single" w:sz="4" w:space="0" w:color="000000"/>
              <w:bottom w:val="single" w:sz="4" w:space="0" w:color="FF0000"/>
              <w:right w:val="single" w:sz="4" w:space="0" w:color="000000"/>
            </w:tcBorders>
          </w:tcPr>
          <w:p>
            <w:pPr>
              <w:ind w:right="3"/>
              <w:jc w:val="right"/>
              <w:rPr>
                <w:noProof/>
              </w:rPr>
            </w:pPr>
            <w:r>
              <w:rPr>
                <w:noProof/>
                <w:sz w:val="20"/>
              </w:rPr>
              <w:t xml:space="preserve"> </w:t>
            </w:r>
          </w:p>
        </w:tc>
        <w:tc>
          <w:tcPr>
            <w:tcW w:w="866" w:type="dxa"/>
            <w:tcBorders>
              <w:top w:val="single" w:sz="4" w:space="0" w:color="000000"/>
              <w:left w:val="single" w:sz="4" w:space="0" w:color="000000"/>
              <w:bottom w:val="single" w:sz="4" w:space="0" w:color="FF0000"/>
              <w:right w:val="single" w:sz="4" w:space="0" w:color="000000"/>
            </w:tcBorders>
          </w:tcPr>
          <w:p>
            <w:pPr>
              <w:ind w:right="2"/>
              <w:jc w:val="right"/>
              <w:rPr>
                <w:noProof/>
              </w:rPr>
            </w:pPr>
            <w:r>
              <w:rPr>
                <w:b/>
                <w:noProof/>
                <w:sz w:val="20"/>
              </w:rPr>
              <w:t xml:space="preserve"> </w:t>
            </w:r>
          </w:p>
        </w:tc>
        <w:tc>
          <w:tcPr>
            <w:tcW w:w="1778" w:type="dxa"/>
            <w:tcBorders>
              <w:top w:val="single" w:sz="4" w:space="0" w:color="000000"/>
              <w:left w:val="single" w:sz="4" w:space="0" w:color="000000"/>
              <w:bottom w:val="single" w:sz="4" w:space="0" w:color="FF0000"/>
              <w:right w:val="single" w:sz="4" w:space="0" w:color="000000"/>
            </w:tcBorders>
          </w:tcPr>
          <w:p>
            <w:pPr>
              <w:ind w:right="4"/>
              <w:jc w:val="right"/>
              <w:rPr>
                <w:noProof/>
              </w:rPr>
            </w:pPr>
            <w:r>
              <w:rPr>
                <w:b/>
                <w:noProof/>
                <w:sz w:val="20"/>
              </w:rPr>
              <w:t xml:space="preserve"> </w:t>
            </w:r>
          </w:p>
        </w:tc>
      </w:tr>
      <w:tr>
        <w:trPr>
          <w:trHeight w:val="315"/>
        </w:trPr>
        <w:tc>
          <w:tcPr>
            <w:tcW w:w="3962" w:type="dxa"/>
            <w:tcBorders>
              <w:top w:val="single" w:sz="4" w:space="0" w:color="FF0000"/>
              <w:left w:val="single" w:sz="4" w:space="0" w:color="000000"/>
              <w:bottom w:val="single" w:sz="4" w:space="0" w:color="000000"/>
              <w:right w:val="single" w:sz="4" w:space="0" w:color="000000"/>
            </w:tcBorders>
          </w:tcPr>
          <w:p>
            <w:pPr>
              <w:ind w:left="103"/>
              <w:jc w:val="left"/>
              <w:rPr>
                <w:noProof/>
              </w:rPr>
            </w:pPr>
            <w:r>
              <w:rPr>
                <w:noProof/>
                <w:sz w:val="21"/>
              </w:rPr>
              <w:t>rubriker avseende driftsanslag)</w:t>
            </w:r>
            <w:r>
              <w:rPr>
                <w:noProof/>
              </w:rPr>
              <w:t xml:space="preserve"> </w:t>
            </w:r>
          </w:p>
        </w:tc>
        <w:tc>
          <w:tcPr>
            <w:tcW w:w="1441" w:type="dxa"/>
            <w:tcBorders>
              <w:top w:val="single" w:sz="4" w:space="0" w:color="FF0000"/>
              <w:left w:val="single" w:sz="4" w:space="0" w:color="000000"/>
              <w:bottom w:val="single" w:sz="4" w:space="0" w:color="000000"/>
              <w:right w:val="single" w:sz="4" w:space="0" w:color="000000"/>
            </w:tcBorders>
          </w:tcPr>
          <w:p>
            <w:pPr>
              <w:ind w:left="103"/>
              <w:jc w:val="left"/>
              <w:rPr>
                <w:noProof/>
              </w:rPr>
            </w:pPr>
            <w:r>
              <w:rPr>
                <w:noProof/>
                <w:sz w:val="18"/>
              </w:rPr>
              <w:t xml:space="preserve">Betalningar </w:t>
            </w:r>
          </w:p>
        </w:tc>
        <w:tc>
          <w:tcPr>
            <w:tcW w:w="655" w:type="dxa"/>
            <w:tcBorders>
              <w:top w:val="single" w:sz="4" w:space="0" w:color="FF0000"/>
              <w:left w:val="single" w:sz="4" w:space="0" w:color="000000"/>
              <w:bottom w:val="single" w:sz="4" w:space="0" w:color="000000"/>
              <w:right w:val="single" w:sz="4" w:space="0" w:color="000000"/>
            </w:tcBorders>
          </w:tcPr>
          <w:p>
            <w:pPr>
              <w:ind w:right="4"/>
              <w:jc w:val="center"/>
              <w:rPr>
                <w:noProof/>
              </w:rPr>
            </w:pPr>
            <w:r>
              <w:rPr>
                <w:noProof/>
                <w:sz w:val="14"/>
              </w:rPr>
              <w:t xml:space="preserve">(5)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4"/>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noProof/>
                <w:sz w:val="20"/>
              </w:rPr>
              <w:t xml:space="preserve"> </w:t>
            </w:r>
          </w:p>
        </w:tc>
        <w:tc>
          <w:tcPr>
            <w:tcW w:w="869" w:type="dxa"/>
            <w:tcBorders>
              <w:top w:val="single" w:sz="4" w:space="0" w:color="FF0000"/>
              <w:left w:val="single" w:sz="4" w:space="0" w:color="000000"/>
              <w:bottom w:val="single" w:sz="4" w:space="0" w:color="000000"/>
              <w:right w:val="single" w:sz="4" w:space="0" w:color="000000"/>
            </w:tcBorders>
          </w:tcPr>
          <w:p>
            <w:pPr>
              <w:ind w:right="54"/>
              <w:jc w:val="right"/>
              <w:rPr>
                <w:noProof/>
              </w:rPr>
            </w:pPr>
            <w:r>
              <w:rPr>
                <w:noProof/>
                <w:sz w:val="20"/>
              </w:rPr>
              <w:t xml:space="preserve"> </w:t>
            </w:r>
          </w:p>
        </w:tc>
        <w:tc>
          <w:tcPr>
            <w:tcW w:w="866" w:type="dxa"/>
            <w:tcBorders>
              <w:top w:val="single" w:sz="4" w:space="0" w:color="FF0000"/>
              <w:left w:val="single" w:sz="4" w:space="0" w:color="000000"/>
              <w:bottom w:val="single" w:sz="4" w:space="0" w:color="000000"/>
              <w:right w:val="single" w:sz="4" w:space="0" w:color="000000"/>
            </w:tcBorders>
          </w:tcPr>
          <w:p>
            <w:pPr>
              <w:ind w:right="53"/>
              <w:jc w:val="right"/>
              <w:rPr>
                <w:noProof/>
              </w:rPr>
            </w:pPr>
            <w:r>
              <w:rPr>
                <w:b/>
                <w:noProof/>
                <w:sz w:val="20"/>
              </w:rPr>
              <w:t xml:space="preserve"> </w:t>
            </w:r>
          </w:p>
        </w:tc>
        <w:tc>
          <w:tcPr>
            <w:tcW w:w="1778" w:type="dxa"/>
            <w:tcBorders>
              <w:top w:val="single" w:sz="4" w:space="0" w:color="FF0000"/>
              <w:left w:val="single" w:sz="4" w:space="0" w:color="000000"/>
              <w:bottom w:val="single" w:sz="4" w:space="0" w:color="000000"/>
              <w:right w:val="single" w:sz="4" w:space="0" w:color="000000"/>
            </w:tcBorders>
          </w:tcPr>
          <w:p>
            <w:pPr>
              <w:ind w:right="56"/>
              <w:jc w:val="right"/>
              <w:rPr>
                <w:noProof/>
              </w:rPr>
            </w:pPr>
            <w:r>
              <w:rPr>
                <w:b/>
                <w:noProof/>
                <w:sz w:val="20"/>
              </w:rPr>
              <w:t xml:space="preserve"> </w:t>
            </w:r>
          </w:p>
        </w:tc>
      </w:tr>
      <w:tr>
        <w:trPr>
          <w:trHeight w:val="830"/>
        </w:trPr>
        <w:tc>
          <w:tcPr>
            <w:tcW w:w="5403" w:type="dxa"/>
            <w:gridSpan w:val="2"/>
            <w:tcBorders>
              <w:top w:val="single" w:sz="4" w:space="0" w:color="000000"/>
              <w:left w:val="single" w:sz="4" w:space="0" w:color="000000"/>
              <w:bottom w:val="single" w:sz="4" w:space="0" w:color="000000"/>
              <w:right w:val="single" w:sz="4" w:space="0" w:color="000000"/>
            </w:tcBorders>
          </w:tcPr>
          <w:p>
            <w:pPr>
              <w:ind w:left="103" w:right="103"/>
              <w:rPr>
                <w:noProof/>
              </w:rPr>
            </w:pPr>
            <w:r>
              <w:rPr>
                <w:noProof/>
                <w:sz w:val="21"/>
              </w:rPr>
              <w:t xml:space="preserve"> TOTALA anslag av administrativ natur som finansieras genom ramanslagen för särskilda program (alla driftsrelaterade rubriker)</w:t>
            </w:r>
            <w:r>
              <w:rPr>
                <w:noProof/>
              </w:rPr>
              <w:t xml:space="preserve"> </w:t>
            </w:r>
          </w:p>
        </w:tc>
        <w:tc>
          <w:tcPr>
            <w:tcW w:w="655" w:type="dxa"/>
            <w:tcBorders>
              <w:top w:val="single" w:sz="4" w:space="0" w:color="000000"/>
              <w:left w:val="single" w:sz="4" w:space="0" w:color="000000"/>
              <w:bottom w:val="single" w:sz="4" w:space="0" w:color="000000"/>
              <w:right w:val="single" w:sz="4" w:space="0" w:color="000000"/>
            </w:tcBorders>
            <w:vAlign w:val="center"/>
          </w:tcPr>
          <w:p>
            <w:pPr>
              <w:ind w:left="240" w:right="244" w:hanging="137"/>
              <w:jc w:val="left"/>
              <w:rPr>
                <w:noProof/>
              </w:rPr>
            </w:pPr>
            <w:r>
              <w:rPr>
                <w:noProof/>
              </w:rPr>
              <w:t xml:space="preserve"> </w:t>
            </w:r>
            <w:r>
              <w:rPr>
                <w:noProof/>
                <w:sz w:val="14"/>
              </w:rPr>
              <w:t xml:space="preserve">(6)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456"/>
        </w:trPr>
        <w:tc>
          <w:tcPr>
            <w:tcW w:w="3962" w:type="dxa"/>
            <w:vMerge w:val="restart"/>
            <w:tcBorders>
              <w:top w:val="single" w:sz="4" w:space="0" w:color="000000"/>
              <w:left w:val="single" w:sz="4" w:space="0" w:color="000000"/>
              <w:bottom w:val="single" w:sz="4" w:space="0" w:color="000000"/>
              <w:right w:val="single" w:sz="4" w:space="0" w:color="000000"/>
            </w:tcBorders>
            <w:vAlign w:val="center"/>
          </w:tcPr>
          <w:p>
            <w:pPr>
              <w:ind w:left="575" w:right="469"/>
              <w:jc w:val="center"/>
              <w:rPr>
                <w:noProof/>
              </w:rPr>
            </w:pPr>
            <w:r>
              <w:rPr>
                <w:b/>
                <w:noProof/>
                <w:sz w:val="22"/>
              </w:rPr>
              <w:t>TOTALA anslag</w:t>
            </w:r>
            <w:r>
              <w:rPr>
                <w:noProof/>
                <w:sz w:val="22"/>
              </w:rPr>
              <w:t xml:space="preserve"> </w:t>
            </w:r>
            <w:r>
              <w:rPr>
                <w:b/>
                <w:noProof/>
                <w:sz w:val="22"/>
              </w:rPr>
              <w:t>för RUBRIKERNA 1–4</w:t>
            </w:r>
          </w:p>
          <w:p>
            <w:pPr>
              <w:ind w:right="2"/>
              <w:jc w:val="center"/>
              <w:rPr>
                <w:noProof/>
              </w:rPr>
            </w:pPr>
            <w:r>
              <w:rPr>
                <w:noProof/>
                <w:sz w:val="22"/>
              </w:rPr>
              <w:t>i den fleråriga budgetramen</w:t>
            </w:r>
          </w:p>
          <w:p>
            <w:pPr>
              <w:ind w:right="4"/>
              <w:jc w:val="center"/>
              <w:rPr>
                <w:noProof/>
              </w:rPr>
            </w:pPr>
            <w:r>
              <w:rPr>
                <w:noProof/>
                <w:sz w:val="20"/>
              </w:rPr>
              <w:t>(referensbelopp)</w:t>
            </w:r>
            <w:r>
              <w:rPr>
                <w:b/>
                <w:noProof/>
              </w:rP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Åtaganden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=4+ 6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r>
        <w:trPr>
          <w:trHeight w:val="782"/>
        </w:trPr>
        <w:tc>
          <w:tcPr>
            <w:tcW w:w="3962" w:type="dxa"/>
            <w:vMerge/>
            <w:tcBorders>
              <w:top w:val="nil"/>
              <w:left w:val="single" w:sz="4" w:space="0" w:color="000000"/>
              <w:bottom w:val="single" w:sz="4" w:space="0" w:color="000000"/>
              <w:right w:val="single" w:sz="4" w:space="0" w:color="000000"/>
            </w:tcBorders>
          </w:tcPr>
          <w:p>
            <w:pPr>
              <w:jc w:val="left"/>
              <w:rPr>
                <w:noProof/>
              </w:rPr>
            </w:pPr>
          </w:p>
        </w:tc>
        <w:tc>
          <w:tcPr>
            <w:tcW w:w="1441"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Betalningar </w:t>
            </w:r>
          </w:p>
        </w:tc>
        <w:tc>
          <w:tcPr>
            <w:tcW w:w="655" w:type="dxa"/>
            <w:tcBorders>
              <w:top w:val="single" w:sz="4" w:space="0" w:color="000000"/>
              <w:left w:val="single" w:sz="4" w:space="0" w:color="000000"/>
              <w:bottom w:val="single" w:sz="4" w:space="0" w:color="000000"/>
              <w:right w:val="single" w:sz="4" w:space="0" w:color="000000"/>
            </w:tcBorders>
            <w:vAlign w:val="center"/>
          </w:tcPr>
          <w:p>
            <w:pPr>
              <w:ind w:right="5"/>
              <w:jc w:val="center"/>
              <w:rPr>
                <w:noProof/>
              </w:rPr>
            </w:pPr>
            <w:r>
              <w:rPr>
                <w:noProof/>
                <w:sz w:val="14"/>
              </w:rPr>
              <w:t xml:space="preserve">=5+ 6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bl>
    <w:p>
      <w:pPr>
        <w:rPr>
          <w:noProof/>
        </w:rPr>
      </w:pPr>
      <w:r>
        <w:rPr>
          <w:noProof/>
        </w:rPr>
        <w:t xml:space="preserve"> </w:t>
      </w:r>
      <w:r>
        <w:rPr>
          <w:noProof/>
        </w:rPr>
        <w:tab/>
        <w:t xml:space="preserve"> </w:t>
      </w:r>
      <w:r>
        <w:rPr>
          <w:noProof/>
        </w:rPr>
        <w:br w:type="page"/>
      </w:r>
    </w:p>
    <w:tbl>
      <w:tblPr>
        <w:tblStyle w:val="TableGrid0"/>
        <w:tblW w:w="13644" w:type="dxa"/>
        <w:tblInd w:w="180" w:type="dxa"/>
        <w:tblCellMar>
          <w:top w:w="7" w:type="dxa"/>
          <w:left w:w="5" w:type="dxa"/>
          <w:right w:w="5" w:type="dxa"/>
        </w:tblCellMar>
        <w:tblLook w:val="04A0" w:firstRow="1" w:lastRow="0" w:firstColumn="1" w:lastColumn="0" w:noHBand="0" w:noVBand="1"/>
      </w:tblPr>
      <w:tblGrid>
        <w:gridCol w:w="4746"/>
        <w:gridCol w:w="1080"/>
        <w:gridCol w:w="7818"/>
      </w:tblGrid>
      <w:tr>
        <w:trPr>
          <w:trHeight w:val="639"/>
        </w:trPr>
        <w:tc>
          <w:tcPr>
            <w:tcW w:w="4746" w:type="dxa"/>
            <w:tcBorders>
              <w:top w:val="single" w:sz="4" w:space="0" w:color="000000"/>
              <w:left w:val="single" w:sz="4" w:space="0" w:color="000000"/>
              <w:bottom w:val="single" w:sz="4" w:space="0" w:color="000000"/>
              <w:right w:val="single" w:sz="4" w:space="0" w:color="000000"/>
            </w:tcBorders>
          </w:tcPr>
          <w:p>
            <w:pPr>
              <w:ind w:left="285" w:right="177"/>
              <w:jc w:val="center"/>
              <w:rPr>
                <w:noProof/>
              </w:rPr>
            </w:pPr>
            <w:r>
              <w:rPr>
                <w:b/>
                <w:noProof/>
                <w:sz w:val="22"/>
              </w:rPr>
              <w:t>Rubrik i den fleråriga</w:t>
            </w:r>
            <w:r>
              <w:rPr>
                <w:noProof/>
                <w:sz w:val="22"/>
              </w:rPr>
              <w:t xml:space="preserve"> </w:t>
            </w:r>
            <w:r>
              <w:rPr>
                <w:b/>
                <w:noProof/>
                <w:sz w:val="22"/>
              </w:rPr>
              <w:t>budgetramen</w:t>
            </w:r>
          </w:p>
        </w:tc>
        <w:tc>
          <w:tcPr>
            <w:tcW w:w="1080" w:type="dxa"/>
            <w:tcBorders>
              <w:top w:val="single" w:sz="4" w:space="0" w:color="000000"/>
              <w:left w:val="single" w:sz="4" w:space="0" w:color="000000"/>
              <w:bottom w:val="single" w:sz="4" w:space="0" w:color="000000"/>
              <w:right w:val="single" w:sz="4" w:space="0" w:color="000000"/>
            </w:tcBorders>
          </w:tcPr>
          <w:p>
            <w:pPr>
              <w:jc w:val="left"/>
              <w:rPr>
                <w:noProof/>
              </w:rPr>
            </w:pPr>
            <w:r>
              <w:rPr>
                <w:noProof/>
              </w:rPr>
              <w:t>5.</w:t>
            </w:r>
          </w:p>
        </w:tc>
        <w:tc>
          <w:tcPr>
            <w:tcW w:w="7818"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22"/>
              </w:rPr>
              <w:t>”Administrativa utgifter”</w:t>
            </w:r>
            <w:r>
              <w:rPr>
                <w:noProof/>
              </w:rPr>
              <w:t xml:space="preserve"> </w:t>
            </w:r>
          </w:p>
        </w:tc>
      </w:tr>
    </w:tbl>
    <w:p>
      <w:pPr>
        <w:ind w:left="-5" w:right="2"/>
        <w:rPr>
          <w:noProof/>
        </w:rPr>
      </w:pPr>
      <w:r>
        <w:rPr>
          <w:noProof/>
        </w:rPr>
        <w:t xml:space="preserve">Detta avsnitt ska fyllas i med hjälp av det datablad för budgetuppgifter av administrativ natur som först ska föras in i </w:t>
      </w:r>
      <w:hyperlink r:id="rId18">
        <w:r>
          <w:rPr>
            <w:noProof/>
            <w:color w:val="0000FF"/>
            <w:u w:val="single" w:color="0000FF"/>
          </w:rPr>
          <w:t>bilagan till</w:t>
        </w:r>
      </w:hyperlink>
      <w:hyperlink r:id="rId19"/>
      <w:hyperlink r:id="rId20">
        <w:r>
          <w:rPr>
            <w:noProof/>
            <w:color w:val="0000FF"/>
            <w:u w:val="single" w:color="0000FF"/>
          </w:rPr>
          <w:t xml:space="preserve"> finansieringsöversikt för rättsakt</w:t>
        </w:r>
      </w:hyperlink>
      <w:hyperlink r:id="rId21">
        <w:r>
          <w:rPr>
            <w:noProof/>
          </w:rPr>
          <w:t xml:space="preserve"> </w:t>
        </w:r>
      </w:hyperlink>
      <w:r>
        <w:rPr>
          <w:noProof/>
        </w:rPr>
        <w:t>(bilaga V till de interna bestämmelserna), vilken ska laddas upp i DECIDE som underlag för samråden mellan kommissionens avdelningar.</w:t>
      </w:r>
    </w:p>
    <w:p>
      <w:pPr>
        <w:ind w:left="10" w:right="-7"/>
        <w:jc w:val="right"/>
        <w:rPr>
          <w:noProof/>
        </w:rPr>
      </w:pPr>
      <w:r>
        <w:rPr>
          <w:noProof/>
          <w:sz w:val="20"/>
        </w:rPr>
        <w:t>Miljoner euro (avrundat till tre decimaler)</w:t>
      </w:r>
    </w:p>
    <w:tbl>
      <w:tblPr>
        <w:tblStyle w:val="TableGrid0"/>
        <w:tblW w:w="14443" w:type="dxa"/>
        <w:tblInd w:w="-360" w:type="dxa"/>
        <w:tblCellMar>
          <w:top w:w="39" w:type="dxa"/>
          <w:right w:w="18" w:type="dxa"/>
        </w:tblCellMar>
        <w:tblLook w:val="04A0" w:firstRow="1" w:lastRow="0" w:firstColumn="1" w:lastColumn="0" w:noHBand="0" w:noVBand="1"/>
      </w:tblPr>
      <w:tblGrid>
        <w:gridCol w:w="3961"/>
        <w:gridCol w:w="2096"/>
        <w:gridCol w:w="866"/>
        <w:gridCol w:w="869"/>
        <w:gridCol w:w="869"/>
        <w:gridCol w:w="866"/>
        <w:gridCol w:w="869"/>
        <w:gridCol w:w="1364"/>
        <w:gridCol w:w="904"/>
        <w:gridCol w:w="1779"/>
      </w:tblGrid>
      <w:tr>
        <w:trPr>
          <w:trHeight w:val="872"/>
        </w:trPr>
        <w:tc>
          <w:tcPr>
            <w:tcW w:w="3961" w:type="dxa"/>
            <w:tcBorders>
              <w:top w:val="nil"/>
              <w:left w:val="nil"/>
              <w:bottom w:val="single" w:sz="4" w:space="0" w:color="000000"/>
              <w:right w:val="nil"/>
            </w:tcBorders>
            <w:vAlign w:val="center"/>
          </w:tcPr>
          <w:p>
            <w:pPr>
              <w:ind w:left="78"/>
              <w:jc w:val="center"/>
              <w:rPr>
                <w:noProof/>
              </w:rPr>
            </w:pPr>
            <w:r>
              <w:rPr>
                <w:noProof/>
              </w:rPr>
              <w:t xml:space="preserve"> </w:t>
            </w:r>
          </w:p>
        </w:tc>
        <w:tc>
          <w:tcPr>
            <w:tcW w:w="2096" w:type="dxa"/>
            <w:tcBorders>
              <w:top w:val="nil"/>
              <w:left w:val="nil"/>
              <w:bottom w:val="single" w:sz="4" w:space="0" w:color="000000"/>
              <w:right w:val="single" w:sz="4" w:space="0" w:color="000000"/>
            </w:tcBorders>
          </w:tcPr>
          <w:p>
            <w:pPr>
              <w:ind w:left="108"/>
              <w:jc w:val="left"/>
              <w:rPr>
                <w:noProof/>
              </w:rPr>
            </w:pPr>
            <w:r>
              <w:rPr>
                <w:noProof/>
                <w:sz w:val="20"/>
              </w:rPr>
              <w:t xml:space="preserve"> </w:t>
            </w:r>
            <w:r>
              <w:rPr>
                <w:noProof/>
              </w:rPr>
              <w:tab/>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166" w:right="95"/>
              <w:jc w:val="center"/>
              <w:rPr>
                <w:noProof/>
              </w:rPr>
            </w:pPr>
            <w:r>
              <w:rPr>
                <w:noProof/>
                <w:sz w:val="20"/>
              </w:rPr>
              <w:t>År</w:t>
            </w:r>
            <w:r>
              <w:rPr>
                <w:noProof/>
                <w:sz w:val="22"/>
              </w:rPr>
              <w:t xml:space="preserve"> </w:t>
            </w:r>
            <w:r>
              <w:rPr>
                <w:b/>
                <w:noProof/>
                <w:sz w:val="20"/>
              </w:rPr>
              <w:t>n</w:t>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År</w:t>
            </w:r>
            <w:r>
              <w:rPr>
                <w:noProof/>
                <w:sz w:val="22"/>
              </w:rPr>
              <w:t xml:space="preserve"> </w:t>
            </w:r>
            <w:r>
              <w:rPr>
                <w:b/>
                <w:noProof/>
                <w:sz w:val="20"/>
              </w:rPr>
              <w:t>n+1</w:t>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År</w:t>
            </w:r>
            <w:r>
              <w:rPr>
                <w:noProof/>
                <w:sz w:val="22"/>
              </w:rPr>
              <w:t xml:space="preserve"> </w:t>
            </w:r>
            <w:r>
              <w:rPr>
                <w:b/>
                <w:noProof/>
                <w:sz w:val="20"/>
              </w:rPr>
              <w:t>n+2</w:t>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59"/>
              <w:jc w:val="center"/>
              <w:rPr>
                <w:noProof/>
              </w:rPr>
            </w:pPr>
            <w:r>
              <w:rPr>
                <w:noProof/>
                <w:sz w:val="20"/>
              </w:rPr>
              <w:t>År</w:t>
            </w:r>
            <w:r>
              <w:rPr>
                <w:noProof/>
                <w:sz w:val="22"/>
              </w:rPr>
              <w:t xml:space="preserve"> </w:t>
            </w:r>
            <w:r>
              <w:rPr>
                <w:b/>
                <w:noProof/>
                <w:sz w:val="20"/>
              </w:rPr>
              <w:t>n+3</w:t>
            </w:r>
            <w:r>
              <w:rPr>
                <w:noProof/>
                <w:sz w:val="20"/>
              </w:rPr>
              <w:t xml:space="preserve"> </w:t>
            </w:r>
          </w:p>
        </w:tc>
        <w:tc>
          <w:tcPr>
            <w:tcW w:w="3137" w:type="dxa"/>
            <w:gridSpan w:val="3"/>
            <w:tcBorders>
              <w:top w:val="single" w:sz="4" w:space="0" w:color="000000"/>
              <w:left w:val="single" w:sz="4" w:space="0" w:color="000000"/>
              <w:bottom w:val="single" w:sz="4" w:space="0" w:color="000000"/>
              <w:right w:val="single" w:sz="4" w:space="0" w:color="000000"/>
            </w:tcBorders>
            <w:vAlign w:val="center"/>
          </w:tcPr>
          <w:p>
            <w:pPr>
              <w:ind w:left="190"/>
              <w:jc w:val="left"/>
              <w:rPr>
                <w:noProof/>
                <w:sz w:val="18"/>
                <w:szCs w:val="18"/>
              </w:rPr>
            </w:pPr>
            <w:r>
              <w:rPr>
                <w:noProof/>
                <w:sz w:val="18"/>
              </w:rPr>
              <w:t>För in så många år som behövs för att redovisa varaktigheten för inverkan på resursanvändningen (jfr punkt 1.6)</w:t>
            </w:r>
          </w:p>
        </w:tc>
        <w:tc>
          <w:tcPr>
            <w:tcW w:w="1779" w:type="dxa"/>
            <w:tcBorders>
              <w:top w:val="single" w:sz="4" w:space="0" w:color="000000"/>
              <w:left w:val="single" w:sz="4" w:space="0" w:color="000000"/>
              <w:bottom w:val="single" w:sz="4" w:space="0" w:color="000000"/>
              <w:right w:val="single" w:sz="4" w:space="0" w:color="000000"/>
            </w:tcBorders>
            <w:vAlign w:val="center"/>
          </w:tcPr>
          <w:p>
            <w:pPr>
              <w:ind w:left="13"/>
              <w:jc w:val="center"/>
              <w:rPr>
                <w:noProof/>
              </w:rPr>
            </w:pPr>
            <w:r>
              <w:rPr>
                <w:b/>
                <w:noProof/>
                <w:sz w:val="20"/>
              </w:rPr>
              <w:t xml:space="preserve">TOTALT </w:t>
            </w:r>
          </w:p>
        </w:tc>
      </w:tr>
      <w:tr>
        <w:trPr>
          <w:trHeight w:val="384"/>
        </w:trPr>
        <w:tc>
          <w:tcPr>
            <w:tcW w:w="3961"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22"/>
              </w:rPr>
              <w:t>GD: &lt;…….&gt;</w:t>
            </w:r>
            <w:r>
              <w:rPr>
                <w:noProof/>
              </w:rPr>
              <w:t xml:space="preserve"> </w:t>
            </w:r>
          </w:p>
        </w:tc>
        <w:tc>
          <w:tcPr>
            <w:tcW w:w="2096" w:type="dxa"/>
            <w:tcBorders>
              <w:top w:val="single" w:sz="4" w:space="0" w:color="000000"/>
              <w:left w:val="single" w:sz="4" w:space="0" w:color="000000"/>
              <w:bottom w:val="single" w:sz="4" w:space="0" w:color="000000"/>
              <w:right w:val="nil"/>
            </w:tcBorders>
          </w:tcPr>
          <w:p>
            <w:pPr>
              <w:jc w:val="left"/>
              <w:rPr>
                <w:noProof/>
              </w:rPr>
            </w:pPr>
          </w:p>
        </w:tc>
        <w:tc>
          <w:tcPr>
            <w:tcW w:w="866" w:type="dxa"/>
            <w:tcBorders>
              <w:top w:val="single" w:sz="4" w:space="0" w:color="000000"/>
              <w:left w:val="nil"/>
              <w:bottom w:val="single" w:sz="4" w:space="0" w:color="000000"/>
              <w:right w:val="nil"/>
            </w:tcBorders>
          </w:tcPr>
          <w:p>
            <w:pPr>
              <w:jc w:val="left"/>
              <w:rPr>
                <w:noProof/>
              </w:rPr>
            </w:pPr>
          </w:p>
        </w:tc>
        <w:tc>
          <w:tcPr>
            <w:tcW w:w="869" w:type="dxa"/>
            <w:tcBorders>
              <w:top w:val="single" w:sz="4" w:space="0" w:color="000000"/>
              <w:left w:val="nil"/>
              <w:bottom w:val="single" w:sz="4" w:space="0" w:color="000000"/>
              <w:right w:val="nil"/>
            </w:tcBorders>
          </w:tcPr>
          <w:p>
            <w:pPr>
              <w:jc w:val="left"/>
              <w:rPr>
                <w:noProof/>
              </w:rPr>
            </w:pPr>
          </w:p>
        </w:tc>
        <w:tc>
          <w:tcPr>
            <w:tcW w:w="869" w:type="dxa"/>
            <w:tcBorders>
              <w:top w:val="single" w:sz="4" w:space="0" w:color="000000"/>
              <w:left w:val="nil"/>
              <w:bottom w:val="single" w:sz="4" w:space="0" w:color="000000"/>
              <w:right w:val="nil"/>
            </w:tcBorders>
          </w:tcPr>
          <w:p>
            <w:pPr>
              <w:jc w:val="left"/>
              <w:rPr>
                <w:noProof/>
              </w:rPr>
            </w:pPr>
          </w:p>
        </w:tc>
        <w:tc>
          <w:tcPr>
            <w:tcW w:w="866" w:type="dxa"/>
            <w:tcBorders>
              <w:top w:val="single" w:sz="4" w:space="0" w:color="000000"/>
              <w:left w:val="nil"/>
              <w:bottom w:val="single" w:sz="4" w:space="0" w:color="000000"/>
              <w:right w:val="nil"/>
            </w:tcBorders>
          </w:tcPr>
          <w:p>
            <w:pPr>
              <w:jc w:val="left"/>
              <w:rPr>
                <w:noProof/>
              </w:rPr>
            </w:pPr>
          </w:p>
        </w:tc>
        <w:tc>
          <w:tcPr>
            <w:tcW w:w="2233" w:type="dxa"/>
            <w:gridSpan w:val="2"/>
            <w:tcBorders>
              <w:top w:val="single" w:sz="4" w:space="0" w:color="000000"/>
              <w:left w:val="nil"/>
              <w:bottom w:val="single" w:sz="4" w:space="0" w:color="000000"/>
              <w:right w:val="nil"/>
            </w:tcBorders>
          </w:tcPr>
          <w:p>
            <w:pPr>
              <w:jc w:val="left"/>
              <w:rPr>
                <w:noProof/>
              </w:rPr>
            </w:pPr>
          </w:p>
        </w:tc>
        <w:tc>
          <w:tcPr>
            <w:tcW w:w="2683" w:type="dxa"/>
            <w:gridSpan w:val="2"/>
            <w:tcBorders>
              <w:top w:val="single" w:sz="4" w:space="0" w:color="000000"/>
              <w:left w:val="nil"/>
              <w:bottom w:val="single" w:sz="4" w:space="0" w:color="000000"/>
              <w:right w:val="nil"/>
            </w:tcBorders>
          </w:tcPr>
          <w:p>
            <w:pPr>
              <w:jc w:val="left"/>
              <w:rPr>
                <w:noProof/>
              </w:rPr>
            </w:pPr>
          </w:p>
        </w:tc>
      </w:tr>
      <w:tr>
        <w:trPr>
          <w:trHeight w:val="324"/>
        </w:trPr>
        <w:tc>
          <w:tcPr>
            <w:tcW w:w="3961" w:type="dxa"/>
            <w:tcBorders>
              <w:top w:val="single" w:sz="4" w:space="0" w:color="000000"/>
              <w:left w:val="single" w:sz="4" w:space="0" w:color="000000"/>
              <w:bottom w:val="single" w:sz="4" w:space="0" w:color="000000"/>
              <w:right w:val="nil"/>
            </w:tcBorders>
          </w:tcPr>
          <w:p>
            <w:pPr>
              <w:ind w:left="108"/>
              <w:jc w:val="left"/>
              <w:rPr>
                <w:noProof/>
              </w:rPr>
            </w:pPr>
            <w:r>
              <w:rPr>
                <w:rFonts w:ascii="Wingdings" w:eastAsia="Wingdings" w:hAnsi="Wingdings" w:cs="Wingdings"/>
                <w:noProof/>
              </w:rPr>
              <w:t></w:t>
            </w:r>
            <w:r>
              <w:rPr>
                <w:noProof/>
                <w:sz w:val="22"/>
              </w:rPr>
              <w:t xml:space="preserve"> Personalresurse</w:t>
            </w:r>
            <w:r>
              <w:rPr>
                <w:noProof/>
              </w:rPr>
              <w:t xml:space="preserve"> </w:t>
            </w:r>
          </w:p>
        </w:tc>
        <w:tc>
          <w:tcPr>
            <w:tcW w:w="2096" w:type="dxa"/>
            <w:tcBorders>
              <w:top w:val="single" w:sz="4" w:space="0" w:color="000000"/>
              <w:left w:val="nil"/>
              <w:bottom w:val="single" w:sz="4" w:space="0" w:color="000000"/>
              <w:right w:val="single" w:sz="4" w:space="0" w:color="000000"/>
            </w:tcBorders>
          </w:tcPr>
          <w:p>
            <w:pPr>
              <w:jc w:val="left"/>
              <w:rPr>
                <w:noProof/>
              </w:rPr>
            </w:pP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tcPr>
          <w:p>
            <w:pPr>
              <w:ind w:right="43"/>
              <w:jc w:val="right"/>
              <w:rPr>
                <w:noProof/>
              </w:rPr>
            </w:pPr>
            <w:r>
              <w:rPr>
                <w:b/>
                <w:noProof/>
                <w:sz w:val="20"/>
              </w:rPr>
              <w:t xml:space="preserve"> </w:t>
            </w:r>
          </w:p>
        </w:tc>
      </w:tr>
      <w:tr>
        <w:trPr>
          <w:trHeight w:val="360"/>
        </w:trPr>
        <w:tc>
          <w:tcPr>
            <w:tcW w:w="3961" w:type="dxa"/>
            <w:tcBorders>
              <w:top w:val="single" w:sz="4" w:space="0" w:color="000000"/>
              <w:left w:val="single" w:sz="4" w:space="0" w:color="000000"/>
              <w:bottom w:val="single" w:sz="4" w:space="0" w:color="000000"/>
              <w:right w:val="nil"/>
            </w:tcBorders>
          </w:tcPr>
          <w:p>
            <w:pPr>
              <w:ind w:left="108"/>
              <w:jc w:val="left"/>
              <w:rPr>
                <w:noProof/>
              </w:rPr>
            </w:pPr>
            <w:r>
              <w:rPr>
                <w:rFonts w:ascii="Wingdings" w:eastAsia="Wingdings" w:hAnsi="Wingdings" w:cs="Wingdings"/>
                <w:noProof/>
              </w:rPr>
              <w:t></w:t>
            </w:r>
            <w:r>
              <w:rPr>
                <w:noProof/>
                <w:sz w:val="22"/>
              </w:rPr>
              <w:t xml:space="preserve"> Övriga administrativa utgifter</w:t>
            </w:r>
            <w:r>
              <w:rPr>
                <w:noProof/>
              </w:rPr>
              <w:t xml:space="preserve"> </w:t>
            </w:r>
          </w:p>
        </w:tc>
        <w:tc>
          <w:tcPr>
            <w:tcW w:w="2096" w:type="dxa"/>
            <w:tcBorders>
              <w:top w:val="single" w:sz="4" w:space="0" w:color="000000"/>
              <w:left w:val="nil"/>
              <w:bottom w:val="single" w:sz="4" w:space="0" w:color="000000"/>
              <w:right w:val="single" w:sz="4" w:space="0" w:color="000000"/>
            </w:tcBorders>
          </w:tcPr>
          <w:p>
            <w:pPr>
              <w:jc w:val="left"/>
              <w:rPr>
                <w:noProof/>
              </w:rPr>
            </w:pP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tcPr>
          <w:p>
            <w:pPr>
              <w:ind w:right="43"/>
              <w:jc w:val="right"/>
              <w:rPr>
                <w:noProof/>
              </w:rPr>
            </w:pPr>
            <w:r>
              <w:rPr>
                <w:b/>
                <w:noProof/>
                <w:sz w:val="20"/>
              </w:rPr>
              <w:t xml:space="preserve"> </w:t>
            </w:r>
          </w:p>
        </w:tc>
      </w:tr>
      <w:tr>
        <w:trPr>
          <w:trHeight w:val="504"/>
        </w:trPr>
        <w:tc>
          <w:tcPr>
            <w:tcW w:w="3961" w:type="dxa"/>
            <w:tcBorders>
              <w:top w:val="single" w:sz="4" w:space="0" w:color="000000"/>
              <w:left w:val="single" w:sz="4" w:space="0" w:color="000000"/>
              <w:bottom w:val="single" w:sz="4" w:space="0" w:color="000000"/>
              <w:right w:val="single" w:sz="4" w:space="0" w:color="000000"/>
            </w:tcBorders>
            <w:vAlign w:val="center"/>
          </w:tcPr>
          <w:p>
            <w:pPr>
              <w:ind w:left="20"/>
              <w:jc w:val="center"/>
              <w:rPr>
                <w:noProof/>
              </w:rPr>
            </w:pPr>
            <w:r>
              <w:rPr>
                <w:b/>
                <w:noProof/>
                <w:sz w:val="22"/>
              </w:rPr>
              <w:t xml:space="preserve">TOTALT GD </w:t>
            </w:r>
            <w:r>
              <w:rPr>
                <w:noProof/>
                <w:sz w:val="22"/>
              </w:rPr>
              <w:t>&lt;…….&gt;</w:t>
            </w:r>
            <w:r>
              <w:rPr>
                <w:b/>
                <w:noProof/>
              </w:rPr>
              <w:t xml:space="preserve"> </w:t>
            </w:r>
          </w:p>
        </w:tc>
        <w:tc>
          <w:tcPr>
            <w:tcW w:w="2096" w:type="dxa"/>
            <w:tcBorders>
              <w:top w:val="single" w:sz="4" w:space="0" w:color="000000"/>
              <w:left w:val="single" w:sz="4" w:space="0" w:color="000000"/>
              <w:bottom w:val="single" w:sz="4" w:space="0" w:color="000000"/>
              <w:right w:val="single" w:sz="4" w:space="0" w:color="000000"/>
            </w:tcBorders>
            <w:vAlign w:val="center"/>
          </w:tcPr>
          <w:p>
            <w:pPr>
              <w:ind w:left="108"/>
              <w:jc w:val="left"/>
              <w:rPr>
                <w:noProof/>
              </w:rPr>
            </w:pPr>
            <w:r>
              <w:rPr>
                <w:noProof/>
                <w:sz w:val="18"/>
              </w:rPr>
              <w:t>Anslag</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1364"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bl>
    <w:p>
      <w:pPr>
        <w:jc w:val="left"/>
        <w:rPr>
          <w:noProof/>
        </w:rPr>
      </w:pPr>
      <w:r>
        <w:rPr>
          <w:noProof/>
        </w:rPr>
        <w:t xml:space="preserve"> </w:t>
      </w:r>
    </w:p>
    <w:tbl>
      <w:tblPr>
        <w:tblStyle w:val="TableGrid0"/>
        <w:tblW w:w="13910" w:type="dxa"/>
        <w:tblInd w:w="-360" w:type="dxa"/>
        <w:tblCellMar>
          <w:left w:w="5" w:type="dxa"/>
          <w:right w:w="5" w:type="dxa"/>
        </w:tblCellMar>
        <w:tblLook w:val="04A0" w:firstRow="1" w:lastRow="0" w:firstColumn="1" w:lastColumn="0" w:noHBand="0" w:noVBand="1"/>
      </w:tblPr>
      <w:tblGrid>
        <w:gridCol w:w="3962"/>
        <w:gridCol w:w="2096"/>
        <w:gridCol w:w="866"/>
        <w:gridCol w:w="869"/>
        <w:gridCol w:w="869"/>
        <w:gridCol w:w="866"/>
        <w:gridCol w:w="869"/>
        <w:gridCol w:w="869"/>
        <w:gridCol w:w="866"/>
        <w:gridCol w:w="1778"/>
      </w:tblGrid>
      <w:tr>
        <w:trPr>
          <w:trHeight w:val="1008"/>
        </w:trPr>
        <w:tc>
          <w:tcPr>
            <w:tcW w:w="3960" w:type="dxa"/>
            <w:tcBorders>
              <w:top w:val="single" w:sz="4" w:space="0" w:color="000000"/>
              <w:left w:val="single" w:sz="4" w:space="0" w:color="000000"/>
              <w:bottom w:val="single" w:sz="4" w:space="0" w:color="000000"/>
              <w:right w:val="single" w:sz="4" w:space="0" w:color="000000"/>
            </w:tcBorders>
            <w:vAlign w:val="center"/>
          </w:tcPr>
          <w:p>
            <w:pPr>
              <w:ind w:left="578" w:right="522"/>
              <w:jc w:val="center"/>
              <w:rPr>
                <w:noProof/>
              </w:rPr>
            </w:pPr>
            <w:r>
              <w:rPr>
                <w:b/>
                <w:noProof/>
                <w:sz w:val="22"/>
              </w:rPr>
              <w:t>TOTALA anslag</w:t>
            </w:r>
            <w:r>
              <w:rPr>
                <w:noProof/>
                <w:sz w:val="22"/>
              </w:rPr>
              <w:t xml:space="preserve"> </w:t>
            </w:r>
            <w:r>
              <w:rPr>
                <w:b/>
                <w:noProof/>
                <w:sz w:val="22"/>
              </w:rPr>
              <w:t>för RUBRIK 5</w:t>
            </w:r>
            <w:r>
              <w:rPr>
                <w:noProof/>
                <w:sz w:val="22"/>
              </w:rPr>
              <w:t xml:space="preserve"> </w:t>
            </w:r>
          </w:p>
          <w:p>
            <w:pPr>
              <w:ind w:right="2"/>
              <w:jc w:val="center"/>
              <w:rPr>
                <w:noProof/>
              </w:rPr>
            </w:pPr>
            <w:r>
              <w:rPr>
                <w:noProof/>
                <w:sz w:val="22"/>
              </w:rPr>
              <w:t>i den fleråriga budgetramen</w:t>
            </w:r>
          </w:p>
        </w:tc>
        <w:tc>
          <w:tcPr>
            <w:tcW w:w="2096" w:type="dxa"/>
            <w:tcBorders>
              <w:top w:val="single" w:sz="4" w:space="0" w:color="000000"/>
              <w:left w:val="single" w:sz="4" w:space="0" w:color="000000"/>
              <w:bottom w:val="single" w:sz="4" w:space="0" w:color="000000"/>
              <w:right w:val="single" w:sz="4" w:space="0" w:color="000000"/>
            </w:tcBorders>
            <w:vAlign w:val="center"/>
          </w:tcPr>
          <w:p>
            <w:pPr>
              <w:ind w:left="103"/>
              <w:jc w:val="left"/>
              <w:rPr>
                <w:noProof/>
              </w:rPr>
            </w:pPr>
            <w:r>
              <w:rPr>
                <w:noProof/>
                <w:sz w:val="18"/>
              </w:rPr>
              <w:t xml:space="preserve">(Summa åtaganden = </w:t>
            </w:r>
          </w:p>
          <w:p>
            <w:pPr>
              <w:ind w:left="103"/>
              <w:jc w:val="left"/>
              <w:rPr>
                <w:noProof/>
              </w:rPr>
            </w:pPr>
            <w:r>
              <w:rPr>
                <w:noProof/>
                <w:sz w:val="18"/>
              </w:rPr>
              <w:t>summa betalningar)</w:t>
            </w:r>
            <w:r>
              <w:rPr>
                <w:noProof/>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54"/>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53"/>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56"/>
              <w:jc w:val="right"/>
              <w:rPr>
                <w:noProof/>
              </w:rPr>
            </w:pPr>
            <w:r>
              <w:rPr>
                <w:b/>
                <w:noProof/>
                <w:sz w:val="20"/>
              </w:rPr>
              <w:t xml:space="preserve"> </w:t>
            </w:r>
          </w:p>
        </w:tc>
      </w:tr>
    </w:tbl>
    <w:p>
      <w:pPr>
        <w:ind w:left="10" w:right="-7"/>
        <w:jc w:val="right"/>
        <w:rPr>
          <w:noProof/>
        </w:rPr>
      </w:pPr>
      <w:r>
        <w:rPr>
          <w:noProof/>
          <w:sz w:val="20"/>
        </w:rPr>
        <w:t xml:space="preserve">Miljoner euro (avrundat till tre decimaler) </w:t>
      </w:r>
    </w:p>
    <w:tbl>
      <w:tblPr>
        <w:tblStyle w:val="TableGrid0"/>
        <w:tblW w:w="13909" w:type="dxa"/>
        <w:tblInd w:w="-359" w:type="dxa"/>
        <w:tblCellMar>
          <w:top w:w="117" w:type="dxa"/>
          <w:right w:w="18" w:type="dxa"/>
        </w:tblCellMar>
        <w:tblLook w:val="04A0" w:firstRow="1" w:lastRow="0" w:firstColumn="1" w:lastColumn="0" w:noHBand="0" w:noVBand="1"/>
      </w:tblPr>
      <w:tblGrid>
        <w:gridCol w:w="3960"/>
        <w:gridCol w:w="2097"/>
        <w:gridCol w:w="866"/>
        <w:gridCol w:w="869"/>
        <w:gridCol w:w="869"/>
        <w:gridCol w:w="866"/>
        <w:gridCol w:w="869"/>
        <w:gridCol w:w="869"/>
        <w:gridCol w:w="866"/>
        <w:gridCol w:w="1778"/>
      </w:tblGrid>
      <w:tr>
        <w:trPr>
          <w:trHeight w:val="872"/>
        </w:trPr>
        <w:tc>
          <w:tcPr>
            <w:tcW w:w="3960" w:type="dxa"/>
            <w:tcBorders>
              <w:top w:val="nil"/>
              <w:left w:val="nil"/>
              <w:bottom w:val="single" w:sz="4" w:space="0" w:color="000000"/>
              <w:right w:val="nil"/>
            </w:tcBorders>
            <w:vAlign w:val="center"/>
          </w:tcPr>
          <w:p>
            <w:pPr>
              <w:ind w:left="78"/>
              <w:jc w:val="center"/>
              <w:rPr>
                <w:noProof/>
              </w:rPr>
            </w:pPr>
            <w:r>
              <w:rPr>
                <w:noProof/>
              </w:rPr>
              <w:t xml:space="preserve"> </w:t>
            </w:r>
          </w:p>
        </w:tc>
        <w:tc>
          <w:tcPr>
            <w:tcW w:w="2097" w:type="dxa"/>
            <w:tcBorders>
              <w:top w:val="nil"/>
              <w:left w:val="nil"/>
              <w:bottom w:val="single" w:sz="4" w:space="0" w:color="000000"/>
              <w:right w:val="single" w:sz="4" w:space="0" w:color="000000"/>
            </w:tcBorders>
          </w:tcPr>
          <w:p>
            <w:pPr>
              <w:ind w:left="109"/>
              <w:jc w:val="left"/>
              <w:rPr>
                <w:noProof/>
              </w:rPr>
            </w:pPr>
            <w:r>
              <w:rPr>
                <w:noProof/>
                <w:sz w:val="20"/>
              </w:rPr>
              <w:t xml:space="preserve"> </w:t>
            </w:r>
            <w:r>
              <w:rPr>
                <w:noProof/>
              </w:rPr>
              <w:tab/>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101" w:right="30"/>
              <w:jc w:val="center"/>
              <w:rPr>
                <w:noProof/>
              </w:rPr>
            </w:pPr>
            <w:r>
              <w:rPr>
                <w:noProof/>
                <w:sz w:val="20"/>
              </w:rPr>
              <w:t>År</w:t>
            </w:r>
            <w:r>
              <w:rPr>
                <w:noProof/>
                <w:sz w:val="22"/>
              </w:rPr>
              <w:t xml:space="preserve"> </w:t>
            </w:r>
            <w:r>
              <w:rPr>
                <w:b/>
                <w:noProof/>
                <w:sz w:val="20"/>
              </w:rPr>
              <w:t>n</w:t>
            </w:r>
            <w:r>
              <w:rPr>
                <w:b/>
                <w:noProof/>
                <w:sz w:val="13"/>
                <w:vertAlign w:val="superscript"/>
              </w:rPr>
              <w:footnoteReference w:id="8"/>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År</w:t>
            </w:r>
            <w:r>
              <w:rPr>
                <w:noProof/>
                <w:sz w:val="22"/>
              </w:rPr>
              <w:t xml:space="preserve"> </w:t>
            </w:r>
            <w:r>
              <w:rPr>
                <w:b/>
                <w:noProof/>
                <w:sz w:val="20"/>
              </w:rPr>
              <w:t>n+1</w:t>
            </w: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left="62"/>
              <w:jc w:val="center"/>
              <w:rPr>
                <w:noProof/>
              </w:rPr>
            </w:pPr>
            <w:r>
              <w:rPr>
                <w:noProof/>
                <w:sz w:val="20"/>
              </w:rPr>
              <w:t>År</w:t>
            </w:r>
            <w:r>
              <w:rPr>
                <w:noProof/>
                <w:sz w:val="22"/>
              </w:rPr>
              <w:t xml:space="preserve"> </w:t>
            </w:r>
            <w:r>
              <w:rPr>
                <w:b/>
                <w:noProof/>
                <w:sz w:val="20"/>
              </w:rPr>
              <w:t>n+2</w:t>
            </w: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left="59"/>
              <w:jc w:val="center"/>
              <w:rPr>
                <w:noProof/>
              </w:rPr>
            </w:pPr>
            <w:r>
              <w:rPr>
                <w:noProof/>
                <w:sz w:val="20"/>
              </w:rPr>
              <w:t>År</w:t>
            </w:r>
            <w:r>
              <w:rPr>
                <w:noProof/>
                <w:sz w:val="22"/>
              </w:rPr>
              <w:t xml:space="preserve"> </w:t>
            </w:r>
            <w:r>
              <w:rPr>
                <w:b/>
                <w:noProof/>
                <w:sz w:val="20"/>
              </w:rPr>
              <w:t>n+3</w:t>
            </w:r>
            <w:r>
              <w:rPr>
                <w:noProof/>
                <w:sz w:val="20"/>
              </w:rPr>
              <w:t xml:space="preserve"> </w:t>
            </w:r>
          </w:p>
        </w:tc>
        <w:tc>
          <w:tcPr>
            <w:tcW w:w="2604" w:type="dxa"/>
            <w:gridSpan w:val="3"/>
            <w:tcBorders>
              <w:top w:val="single" w:sz="4" w:space="0" w:color="000000"/>
              <w:left w:val="single" w:sz="4" w:space="0" w:color="000000"/>
              <w:bottom w:val="single" w:sz="4" w:space="0" w:color="000000"/>
              <w:right w:val="single" w:sz="4" w:space="0" w:color="000000"/>
            </w:tcBorders>
            <w:vAlign w:val="center"/>
          </w:tcPr>
          <w:p>
            <w:pPr>
              <w:ind w:left="190" w:firstLine="288"/>
              <w:jc w:val="left"/>
              <w:rPr>
                <w:noProof/>
              </w:rPr>
            </w:pPr>
            <w:r>
              <w:rPr>
                <w:noProof/>
                <w:sz w:val="18"/>
              </w:rPr>
              <w:t>För in så många år som behövs för att redovisa varaktigheten för inverkan på resursanvändningen (jfr punkt 1.6)</w:t>
            </w:r>
            <w:r>
              <w:rPr>
                <w:b/>
                <w:noProof/>
                <w:sz w:val="18"/>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left="13"/>
              <w:jc w:val="center"/>
              <w:rPr>
                <w:noProof/>
              </w:rPr>
            </w:pPr>
            <w:r>
              <w:rPr>
                <w:b/>
                <w:noProof/>
                <w:sz w:val="20"/>
              </w:rPr>
              <w:t xml:space="preserve">TOTALT </w:t>
            </w:r>
          </w:p>
        </w:tc>
      </w:tr>
      <w:tr>
        <w:trPr>
          <w:trHeight w:val="455"/>
        </w:trPr>
        <w:tc>
          <w:tcPr>
            <w:tcW w:w="396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pPr>
              <w:ind w:left="579" w:right="455"/>
              <w:jc w:val="center"/>
              <w:rPr>
                <w:noProof/>
              </w:rPr>
            </w:pPr>
            <w:r>
              <w:rPr>
                <w:b/>
                <w:noProof/>
                <w:sz w:val="22"/>
              </w:rPr>
              <w:t>TOTALA anslag</w:t>
            </w:r>
            <w:r>
              <w:rPr>
                <w:noProof/>
                <w:sz w:val="22"/>
              </w:rPr>
              <w:t xml:space="preserve"> </w:t>
            </w:r>
            <w:r>
              <w:rPr>
                <w:b/>
                <w:noProof/>
                <w:sz w:val="22"/>
              </w:rPr>
              <w:t>för RUBRIKERNA 1–5</w:t>
            </w:r>
          </w:p>
          <w:p>
            <w:pPr>
              <w:ind w:left="16"/>
              <w:jc w:val="center"/>
              <w:rPr>
                <w:noProof/>
              </w:rPr>
            </w:pPr>
            <w:r>
              <w:rPr>
                <w:noProof/>
                <w:sz w:val="22"/>
              </w:rPr>
              <w:t>i den fleråriga budgetramen</w:t>
            </w:r>
          </w:p>
        </w:tc>
        <w:tc>
          <w:tcPr>
            <w:tcW w:w="2097" w:type="dxa"/>
            <w:tcBorders>
              <w:top w:val="single" w:sz="4" w:space="0" w:color="000000"/>
              <w:left w:val="single" w:sz="4" w:space="0" w:color="000000"/>
              <w:bottom w:val="single" w:sz="4" w:space="0" w:color="000000"/>
              <w:right w:val="single" w:sz="4" w:space="0" w:color="000000"/>
            </w:tcBorders>
            <w:vAlign w:val="center"/>
          </w:tcPr>
          <w:p>
            <w:pPr>
              <w:ind w:left="109"/>
              <w:jc w:val="left"/>
              <w:rPr>
                <w:noProof/>
              </w:rPr>
            </w:pPr>
            <w:r>
              <w:rPr>
                <w:noProof/>
                <w:sz w:val="18"/>
              </w:rPr>
              <w:t>Åtaganden</w:t>
            </w:r>
            <w:r>
              <w:rPr>
                <w:noProof/>
                <w:sz w:val="14"/>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r>
        <w:trPr>
          <w:trHeight w:val="551"/>
        </w:trPr>
        <w:tc>
          <w:tcPr>
            <w:tcW w:w="0" w:type="auto"/>
            <w:vMerge/>
            <w:tcBorders>
              <w:top w:val="nil"/>
              <w:left w:val="single" w:sz="4" w:space="0" w:color="000000"/>
              <w:bottom w:val="single" w:sz="4" w:space="0" w:color="000000"/>
              <w:right w:val="single" w:sz="4" w:space="0" w:color="000000"/>
            </w:tcBorders>
          </w:tcPr>
          <w:p>
            <w:pPr>
              <w:jc w:val="left"/>
              <w:rPr>
                <w:noProof/>
              </w:rPr>
            </w:pPr>
          </w:p>
        </w:tc>
        <w:tc>
          <w:tcPr>
            <w:tcW w:w="2097" w:type="dxa"/>
            <w:tcBorders>
              <w:top w:val="single" w:sz="4" w:space="0" w:color="000000"/>
              <w:left w:val="single" w:sz="4" w:space="0" w:color="000000"/>
              <w:bottom w:val="single" w:sz="4" w:space="0" w:color="000000"/>
              <w:right w:val="single" w:sz="4" w:space="0" w:color="000000"/>
            </w:tcBorders>
            <w:vAlign w:val="center"/>
          </w:tcPr>
          <w:p>
            <w:pPr>
              <w:ind w:left="109"/>
              <w:jc w:val="left"/>
              <w:rPr>
                <w:noProof/>
              </w:rPr>
            </w:pPr>
            <w:r>
              <w:rPr>
                <w:noProof/>
                <w:sz w:val="18"/>
              </w:rPr>
              <w:t>Betalningar</w:t>
            </w:r>
            <w:r>
              <w:rPr>
                <w:noProof/>
                <w:sz w:val="14"/>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noProof/>
                <w:sz w:val="20"/>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pPr>
              <w:ind w:right="41"/>
              <w:jc w:val="right"/>
              <w:rPr>
                <w:noProof/>
              </w:rPr>
            </w:pPr>
            <w:r>
              <w:rPr>
                <w:b/>
                <w:noProof/>
                <w:sz w:val="20"/>
              </w:rPr>
              <w:t xml:space="preserve"> </w:t>
            </w:r>
          </w:p>
        </w:tc>
        <w:tc>
          <w:tcPr>
            <w:tcW w:w="1778" w:type="dxa"/>
            <w:tcBorders>
              <w:top w:val="single" w:sz="4" w:space="0" w:color="000000"/>
              <w:left w:val="single" w:sz="4" w:space="0" w:color="000000"/>
              <w:bottom w:val="single" w:sz="4" w:space="0" w:color="000000"/>
              <w:right w:val="single" w:sz="4" w:space="0" w:color="000000"/>
            </w:tcBorders>
            <w:vAlign w:val="center"/>
          </w:tcPr>
          <w:p>
            <w:pPr>
              <w:ind w:right="43"/>
              <w:jc w:val="right"/>
              <w:rPr>
                <w:noProof/>
              </w:rPr>
            </w:pPr>
            <w:r>
              <w:rPr>
                <w:b/>
                <w:noProof/>
                <w:sz w:val="20"/>
              </w:rPr>
              <w:t xml:space="preserve"> </w:t>
            </w:r>
          </w:p>
        </w:tc>
      </w:tr>
    </w:tbl>
    <w:p>
      <w:pPr>
        <w:pStyle w:val="ManualHeading3"/>
        <w:rPr>
          <w:noProof/>
        </w:rPr>
      </w:pPr>
      <w:r>
        <w:rPr>
          <w:noProof/>
        </w:rPr>
        <w:t>3.2.2</w:t>
      </w:r>
      <w:r>
        <w:rPr>
          <w:noProof/>
        </w:rPr>
        <w:tab/>
        <w:t>Beräknad output som finansieras med driftsanslag</w:t>
      </w:r>
    </w:p>
    <w:p>
      <w:pPr>
        <w:ind w:left="10" w:right="-7"/>
        <w:jc w:val="right"/>
        <w:rPr>
          <w:noProof/>
        </w:rPr>
      </w:pPr>
      <w:r>
        <w:rPr>
          <w:noProof/>
          <w:sz w:val="20"/>
        </w:rPr>
        <w:t>Åtagandebemyndiganden i miljoner euro (avrundat till tre decimaler)</w:t>
      </w:r>
    </w:p>
    <w:tbl>
      <w:tblPr>
        <w:tblStyle w:val="TableGrid0"/>
        <w:tblW w:w="13610" w:type="dxa"/>
        <w:tblInd w:w="199" w:type="dxa"/>
        <w:tblLayout w:type="fixed"/>
        <w:tblCellMar>
          <w:top w:w="69" w:type="dxa"/>
          <w:left w:w="115" w:type="dxa"/>
          <w:bottom w:w="40" w:type="dxa"/>
          <w:right w:w="62" w:type="dxa"/>
        </w:tblCellMar>
        <w:tblLook w:val="04A0" w:firstRow="1" w:lastRow="0" w:firstColumn="1" w:lastColumn="0" w:noHBand="0" w:noVBand="1"/>
      </w:tblPr>
      <w:tblGrid>
        <w:gridCol w:w="1419"/>
        <w:gridCol w:w="719"/>
        <w:gridCol w:w="755"/>
        <w:gridCol w:w="450"/>
        <w:gridCol w:w="721"/>
        <w:gridCol w:w="540"/>
        <w:gridCol w:w="720"/>
        <w:gridCol w:w="720"/>
        <w:gridCol w:w="720"/>
        <w:gridCol w:w="926"/>
        <w:gridCol w:w="695"/>
        <w:gridCol w:w="540"/>
        <w:gridCol w:w="648"/>
        <w:gridCol w:w="543"/>
        <w:gridCol w:w="612"/>
        <w:gridCol w:w="540"/>
        <w:gridCol w:w="720"/>
        <w:gridCol w:w="720"/>
        <w:gridCol w:w="902"/>
      </w:tblGrid>
      <w:tr>
        <w:trPr>
          <w:trHeight w:val="665"/>
        </w:trPr>
        <w:tc>
          <w:tcPr>
            <w:tcW w:w="1419" w:type="dxa"/>
            <w:vMerge w:val="restart"/>
            <w:tcBorders>
              <w:top w:val="single" w:sz="4" w:space="0" w:color="000000"/>
              <w:left w:val="single" w:sz="4" w:space="0" w:color="000000"/>
              <w:bottom w:val="single" w:sz="4" w:space="0" w:color="000000"/>
              <w:right w:val="single" w:sz="4" w:space="0" w:color="000000"/>
            </w:tcBorders>
            <w:vAlign w:val="center"/>
          </w:tcPr>
          <w:p>
            <w:pPr>
              <w:jc w:val="center"/>
              <w:rPr>
                <w:noProof/>
              </w:rPr>
            </w:pPr>
            <w:r>
              <w:rPr>
                <w:b/>
                <w:noProof/>
                <w:sz w:val="18"/>
              </w:rPr>
              <w:t>Ange mål och output</w:t>
            </w:r>
          </w:p>
          <w:p>
            <w:pPr>
              <w:ind w:right="27"/>
              <w:jc w:val="center"/>
              <w:rPr>
                <w:noProof/>
              </w:rPr>
            </w:pPr>
            <w:r>
              <w:rPr>
                <w:rFonts w:ascii="Wingdings" w:eastAsia="Wingdings" w:hAnsi="Wingdings" w:cs="Wingdings"/>
                <w:noProof/>
              </w:rPr>
              <w:t></w:t>
            </w:r>
            <w:r>
              <w:rPr>
                <w:noProof/>
                <w:sz w:val="18"/>
              </w:rPr>
              <w:t xml:space="preserve"> </w:t>
            </w:r>
          </w:p>
        </w:tc>
        <w:tc>
          <w:tcPr>
            <w:tcW w:w="719" w:type="dxa"/>
            <w:tcBorders>
              <w:top w:val="single" w:sz="4" w:space="0" w:color="000000"/>
              <w:left w:val="single" w:sz="4" w:space="0" w:color="000000"/>
              <w:bottom w:val="single" w:sz="4" w:space="0" w:color="000000"/>
              <w:right w:val="single" w:sz="4" w:space="0" w:color="000000"/>
            </w:tcBorders>
            <w:vAlign w:val="center"/>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vAlign w:val="center"/>
          </w:tcPr>
          <w:p>
            <w:pPr>
              <w:ind w:left="18"/>
              <w:jc w:val="center"/>
              <w:rPr>
                <w:noProof/>
              </w:rPr>
            </w:pPr>
            <w:r>
              <w:rPr>
                <w:noProof/>
                <w:sz w:val="18"/>
              </w:rPr>
              <w:t xml:space="preserve"> </w:t>
            </w:r>
          </w:p>
        </w:tc>
        <w:tc>
          <w:tcPr>
            <w:tcW w:w="1171" w:type="dxa"/>
            <w:gridSpan w:val="2"/>
            <w:tcBorders>
              <w:top w:val="single" w:sz="4" w:space="0" w:color="000000"/>
              <w:left w:val="single" w:sz="4" w:space="0" w:color="000000"/>
              <w:bottom w:val="single" w:sz="4" w:space="0" w:color="000000"/>
              <w:right w:val="single" w:sz="4" w:space="0" w:color="000000"/>
            </w:tcBorders>
            <w:vAlign w:val="center"/>
          </w:tcPr>
          <w:p>
            <w:pPr>
              <w:ind w:left="269" w:right="240"/>
              <w:jc w:val="center"/>
              <w:rPr>
                <w:noProof/>
              </w:rPr>
            </w:pPr>
            <w:r>
              <w:rPr>
                <w:noProof/>
                <w:sz w:val="18"/>
              </w:rPr>
              <w:t>År</w:t>
            </w:r>
            <w:r>
              <w:rPr>
                <w:noProof/>
                <w:sz w:val="22"/>
              </w:rPr>
              <w:t xml:space="preserve"> </w:t>
            </w:r>
            <w:r>
              <w:rPr>
                <w:b/>
                <w:noProof/>
                <w:sz w:val="18"/>
              </w:rPr>
              <w:t>n</w:t>
            </w:r>
            <w:r>
              <w:rPr>
                <w:noProof/>
                <w:sz w:val="18"/>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pPr>
              <w:ind w:left="192" w:right="163"/>
              <w:jc w:val="center"/>
              <w:rPr>
                <w:noProof/>
              </w:rPr>
            </w:pPr>
            <w:r>
              <w:rPr>
                <w:noProof/>
                <w:sz w:val="18"/>
              </w:rPr>
              <w:t>År</w:t>
            </w:r>
            <w:r>
              <w:rPr>
                <w:noProof/>
                <w:sz w:val="22"/>
              </w:rPr>
              <w:t xml:space="preserve"> </w:t>
            </w:r>
            <w:r>
              <w:rPr>
                <w:b/>
                <w:noProof/>
                <w:sz w:val="18"/>
              </w:rPr>
              <w:t>n+1</w:t>
            </w:r>
            <w:r>
              <w:rPr>
                <w:noProof/>
                <w:sz w:val="18"/>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pPr>
              <w:ind w:left="283" w:right="252"/>
              <w:jc w:val="center"/>
              <w:rPr>
                <w:noProof/>
              </w:rPr>
            </w:pPr>
            <w:r>
              <w:rPr>
                <w:noProof/>
                <w:sz w:val="18"/>
              </w:rPr>
              <w:t>År</w:t>
            </w:r>
            <w:r>
              <w:rPr>
                <w:noProof/>
                <w:sz w:val="22"/>
              </w:rPr>
              <w:t xml:space="preserve"> </w:t>
            </w:r>
            <w:r>
              <w:rPr>
                <w:b/>
                <w:noProof/>
                <w:sz w:val="18"/>
              </w:rPr>
              <w:t>n+2</w:t>
            </w:r>
            <w:r>
              <w:rPr>
                <w:noProof/>
                <w:sz w:val="18"/>
              </w:rPr>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pPr>
              <w:ind w:left="372" w:right="343"/>
              <w:jc w:val="center"/>
              <w:rPr>
                <w:noProof/>
              </w:rPr>
            </w:pPr>
            <w:r>
              <w:rPr>
                <w:noProof/>
                <w:sz w:val="18"/>
              </w:rPr>
              <w:t>År</w:t>
            </w:r>
            <w:r>
              <w:rPr>
                <w:noProof/>
                <w:sz w:val="22"/>
              </w:rPr>
              <w:t xml:space="preserve"> </w:t>
            </w:r>
            <w:r>
              <w:rPr>
                <w:b/>
                <w:noProof/>
                <w:sz w:val="18"/>
              </w:rPr>
              <w:t>n+3</w:t>
            </w:r>
            <w:r>
              <w:rPr>
                <w:noProof/>
                <w:sz w:val="18"/>
              </w:rPr>
              <w:t xml:space="preserve"> </w:t>
            </w:r>
          </w:p>
        </w:tc>
        <w:tc>
          <w:tcPr>
            <w:tcW w:w="3603" w:type="dxa"/>
            <w:gridSpan w:val="6"/>
            <w:tcBorders>
              <w:top w:val="single" w:sz="4" w:space="0" w:color="000000"/>
              <w:left w:val="single" w:sz="4" w:space="0" w:color="000000"/>
              <w:bottom w:val="single" w:sz="4" w:space="0" w:color="000000"/>
              <w:right w:val="single" w:sz="4" w:space="0" w:color="000000"/>
            </w:tcBorders>
            <w:vAlign w:val="center"/>
          </w:tcPr>
          <w:p>
            <w:pPr>
              <w:jc w:val="center"/>
              <w:rPr>
                <w:noProof/>
              </w:rPr>
            </w:pPr>
            <w:r>
              <w:rPr>
                <w:noProof/>
                <w:sz w:val="18"/>
              </w:rPr>
              <w:t xml:space="preserve">För in så många år som behövs för att redovisa varaktigheten för inverkan på resursanvändningen (jfr punkt 1.6) </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pPr>
              <w:ind w:right="29"/>
              <w:jc w:val="center"/>
              <w:rPr>
                <w:noProof/>
              </w:rPr>
            </w:pPr>
            <w:r>
              <w:rPr>
                <w:b/>
                <w:noProof/>
                <w:sz w:val="18"/>
              </w:rPr>
              <w:t>TOTALT</w:t>
            </w:r>
            <w:r>
              <w:rPr>
                <w:noProof/>
                <w:sz w:val="18"/>
              </w:rPr>
              <w:t xml:space="preserve"> </w:t>
            </w:r>
          </w:p>
        </w:tc>
      </w:tr>
      <w:tr>
        <w:trPr>
          <w:trHeight w:val="338"/>
        </w:trPr>
        <w:tc>
          <w:tcPr>
            <w:tcW w:w="1419" w:type="dxa"/>
            <w:vMerge/>
            <w:tcBorders>
              <w:top w:val="nil"/>
              <w:left w:val="single" w:sz="4" w:space="0" w:color="000000"/>
              <w:bottom w:val="nil"/>
              <w:right w:val="single" w:sz="4" w:space="0" w:color="000000"/>
            </w:tcBorders>
          </w:tcPr>
          <w:p>
            <w:pPr>
              <w:jc w:val="left"/>
              <w:rPr>
                <w:noProof/>
              </w:rPr>
            </w:pPr>
          </w:p>
        </w:tc>
        <w:tc>
          <w:tcPr>
            <w:tcW w:w="1474" w:type="dxa"/>
            <w:gridSpan w:val="2"/>
            <w:tcBorders>
              <w:top w:val="single" w:sz="4" w:space="0" w:color="000000"/>
              <w:left w:val="single" w:sz="4" w:space="0" w:color="000000"/>
              <w:bottom w:val="single" w:sz="4" w:space="0" w:color="000000"/>
              <w:right w:val="nil"/>
            </w:tcBorders>
          </w:tcPr>
          <w:p>
            <w:pPr>
              <w:jc w:val="left"/>
              <w:rPr>
                <w:noProof/>
              </w:rPr>
            </w:pPr>
          </w:p>
        </w:tc>
        <w:tc>
          <w:tcPr>
            <w:tcW w:w="1171" w:type="dxa"/>
            <w:gridSpan w:val="2"/>
            <w:tcBorders>
              <w:top w:val="single" w:sz="4" w:space="0" w:color="000000"/>
              <w:left w:val="nil"/>
              <w:bottom w:val="single" w:sz="4" w:space="0" w:color="000000"/>
              <w:right w:val="nil"/>
            </w:tcBorders>
          </w:tcPr>
          <w:p>
            <w:pPr>
              <w:jc w:val="left"/>
              <w:rPr>
                <w:noProof/>
              </w:rPr>
            </w:pPr>
          </w:p>
        </w:tc>
        <w:tc>
          <w:tcPr>
            <w:tcW w:w="1260" w:type="dxa"/>
            <w:gridSpan w:val="2"/>
            <w:tcBorders>
              <w:top w:val="single" w:sz="4" w:space="0" w:color="000000"/>
              <w:left w:val="nil"/>
              <w:bottom w:val="single" w:sz="4" w:space="0" w:color="000000"/>
              <w:right w:val="nil"/>
            </w:tcBorders>
          </w:tcPr>
          <w:p>
            <w:pPr>
              <w:jc w:val="left"/>
              <w:rPr>
                <w:noProof/>
              </w:rPr>
            </w:pPr>
          </w:p>
        </w:tc>
        <w:tc>
          <w:tcPr>
            <w:tcW w:w="1440" w:type="dxa"/>
            <w:gridSpan w:val="2"/>
            <w:tcBorders>
              <w:top w:val="single" w:sz="4" w:space="0" w:color="000000"/>
              <w:left w:val="nil"/>
              <w:bottom w:val="single" w:sz="4" w:space="0" w:color="000000"/>
              <w:right w:val="nil"/>
            </w:tcBorders>
          </w:tcPr>
          <w:p>
            <w:pPr>
              <w:jc w:val="left"/>
              <w:rPr>
                <w:noProof/>
              </w:rPr>
            </w:pPr>
          </w:p>
        </w:tc>
        <w:tc>
          <w:tcPr>
            <w:tcW w:w="1621" w:type="dxa"/>
            <w:gridSpan w:val="2"/>
            <w:tcBorders>
              <w:top w:val="single" w:sz="4" w:space="0" w:color="000000"/>
              <w:left w:val="nil"/>
              <w:bottom w:val="single" w:sz="4" w:space="0" w:color="000000"/>
              <w:right w:val="nil"/>
            </w:tcBorders>
          </w:tcPr>
          <w:p>
            <w:pPr>
              <w:ind w:right="152"/>
              <w:jc w:val="center"/>
              <w:rPr>
                <w:noProof/>
              </w:rPr>
            </w:pPr>
            <w:r>
              <w:rPr>
                <w:b/>
                <w:noProof/>
                <w:sz w:val="18"/>
              </w:rPr>
              <w:t>OUTPUT</w:t>
            </w:r>
            <w:r>
              <w:rPr>
                <w:noProof/>
                <w:sz w:val="18"/>
              </w:rPr>
              <w:t xml:space="preserve"> </w:t>
            </w:r>
          </w:p>
        </w:tc>
        <w:tc>
          <w:tcPr>
            <w:tcW w:w="3603" w:type="dxa"/>
            <w:gridSpan w:val="6"/>
            <w:tcBorders>
              <w:top w:val="single" w:sz="4" w:space="0" w:color="000000"/>
              <w:left w:val="nil"/>
              <w:bottom w:val="single" w:sz="4" w:space="0" w:color="000000"/>
              <w:right w:val="nil"/>
            </w:tcBorders>
          </w:tcPr>
          <w:p>
            <w:pPr>
              <w:jc w:val="left"/>
              <w:rPr>
                <w:noProof/>
              </w:rPr>
            </w:pPr>
          </w:p>
        </w:tc>
        <w:tc>
          <w:tcPr>
            <w:tcW w:w="1622" w:type="dxa"/>
            <w:gridSpan w:val="2"/>
            <w:tcBorders>
              <w:top w:val="single" w:sz="4" w:space="0" w:color="000000"/>
              <w:left w:val="nil"/>
              <w:bottom w:val="single" w:sz="4" w:space="0" w:color="000000"/>
              <w:right w:val="single" w:sz="4" w:space="0" w:color="000000"/>
            </w:tcBorders>
          </w:tcPr>
          <w:p>
            <w:pPr>
              <w:jc w:val="left"/>
              <w:rPr>
                <w:noProof/>
              </w:rPr>
            </w:pPr>
          </w:p>
        </w:tc>
      </w:tr>
      <w:tr>
        <w:trPr>
          <w:trHeight w:val="1142"/>
        </w:trPr>
        <w:tc>
          <w:tcPr>
            <w:tcW w:w="1419" w:type="dxa"/>
            <w:vMerge/>
            <w:tcBorders>
              <w:top w:val="nil"/>
              <w:left w:val="single" w:sz="4" w:space="0" w:color="000000"/>
              <w:bottom w:val="single" w:sz="4" w:space="0" w:color="000000"/>
              <w:right w:val="single" w:sz="4" w:space="0" w:color="000000"/>
            </w:tcBorders>
          </w:tcPr>
          <w:p>
            <w:pPr>
              <w:jc w:val="left"/>
              <w:rPr>
                <w:noProof/>
              </w:rPr>
            </w:pPr>
          </w:p>
        </w:tc>
        <w:tc>
          <w:tcPr>
            <w:tcW w:w="719" w:type="dxa"/>
            <w:tcBorders>
              <w:top w:val="single" w:sz="4" w:space="0" w:color="000000"/>
              <w:left w:val="single" w:sz="4" w:space="0" w:color="000000"/>
              <w:bottom w:val="single" w:sz="4" w:space="0" w:color="000000"/>
              <w:right w:val="single" w:sz="4" w:space="0" w:color="000000"/>
            </w:tcBorders>
            <w:vAlign w:val="bottom"/>
          </w:tcPr>
          <w:p>
            <w:pPr>
              <w:jc w:val="left"/>
              <w:rPr>
                <w:noProof/>
              </w:rPr>
            </w:pPr>
            <w:r>
              <w:rPr>
                <w:noProof/>
                <w:sz w:val="18"/>
              </w:rPr>
              <w:t>Typ</w:t>
            </w:r>
            <w:r>
              <w:rPr>
                <w:noProof/>
                <w:sz w:val="18"/>
                <w:vertAlign w:val="superscript"/>
              </w:rPr>
              <w:footnoteReference w:id="9"/>
            </w:r>
            <w:r>
              <w:rPr>
                <w:noProof/>
                <w:sz w:val="18"/>
              </w:rPr>
              <w:t xml:space="preserve"> </w:t>
            </w:r>
          </w:p>
          <w:p>
            <w:pPr>
              <w:ind w:right="8"/>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vAlign w:val="center"/>
          </w:tcPr>
          <w:p>
            <w:pPr>
              <w:ind w:left="8" w:right="17" w:hanging="2"/>
              <w:jc w:val="center"/>
              <w:rPr>
                <w:noProof/>
              </w:rPr>
            </w:pPr>
            <w:r>
              <w:rPr>
                <w:noProof/>
                <w:sz w:val="18"/>
              </w:rPr>
              <w:t xml:space="preserve">Genomsnittliga kostnader </w:t>
            </w:r>
          </w:p>
        </w:tc>
        <w:tc>
          <w:tcPr>
            <w:tcW w:w="45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89"/>
              <w:jc w:val="left"/>
              <w:rPr>
                <w:noProof/>
                <w:sz w:val="18"/>
                <w:szCs w:val="18"/>
              </w:rPr>
            </w:pPr>
            <w:r>
              <w:rPr>
                <w:noProof/>
                <w:sz w:val="18"/>
              </w:rPr>
              <w:t>Antal</w:t>
            </w:r>
          </w:p>
        </w:tc>
        <w:tc>
          <w:tcPr>
            <w:tcW w:w="721"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4"/>
              <w:jc w:val="center"/>
              <w:rPr>
                <w:noProof/>
                <w:sz w:val="18"/>
                <w:szCs w:val="18"/>
              </w:rPr>
            </w:pPr>
            <w:r>
              <w:rPr>
                <w:noProof/>
                <w:sz w:val="18"/>
              </w:rPr>
              <w:t>Kostn.</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Antal</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Kostn.</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200"/>
              <w:jc w:val="left"/>
              <w:rPr>
                <w:noProof/>
                <w:sz w:val="18"/>
                <w:szCs w:val="18"/>
              </w:rPr>
            </w:pPr>
            <w:r>
              <w:rPr>
                <w:noProof/>
                <w:sz w:val="18"/>
              </w:rPr>
              <w:t>Antal</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Kostn.</w:t>
            </w:r>
          </w:p>
        </w:tc>
        <w:tc>
          <w:tcPr>
            <w:tcW w:w="926"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291"/>
              <w:jc w:val="left"/>
              <w:rPr>
                <w:noProof/>
                <w:sz w:val="18"/>
                <w:szCs w:val="18"/>
              </w:rPr>
            </w:pPr>
            <w:r>
              <w:rPr>
                <w:noProof/>
                <w:sz w:val="18"/>
              </w:rPr>
              <w:t>Antal</w:t>
            </w:r>
          </w:p>
        </w:tc>
        <w:tc>
          <w:tcPr>
            <w:tcW w:w="695"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79"/>
              <w:jc w:val="center"/>
              <w:rPr>
                <w:noProof/>
                <w:sz w:val="18"/>
                <w:szCs w:val="18"/>
              </w:rPr>
            </w:pPr>
            <w:r>
              <w:rPr>
                <w:noProof/>
                <w:sz w:val="18"/>
              </w:rPr>
              <w:t>Kostn.</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Antal</w:t>
            </w:r>
          </w:p>
        </w:tc>
        <w:tc>
          <w:tcPr>
            <w:tcW w:w="648"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sz w:val="18"/>
                <w:szCs w:val="18"/>
              </w:rPr>
            </w:pPr>
            <w:r>
              <w:rPr>
                <w:noProof/>
                <w:sz w:val="18"/>
              </w:rPr>
              <w:t>Kostn.</w:t>
            </w:r>
          </w:p>
        </w:tc>
        <w:tc>
          <w:tcPr>
            <w:tcW w:w="543"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56"/>
              <w:jc w:val="left"/>
              <w:rPr>
                <w:noProof/>
                <w:sz w:val="18"/>
                <w:szCs w:val="18"/>
              </w:rPr>
            </w:pPr>
            <w:r>
              <w:rPr>
                <w:noProof/>
                <w:sz w:val="18"/>
              </w:rPr>
              <w:t>Antal</w:t>
            </w:r>
          </w:p>
        </w:tc>
        <w:tc>
          <w:tcPr>
            <w:tcW w:w="612"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4"/>
              <w:jc w:val="center"/>
              <w:rPr>
                <w:noProof/>
                <w:sz w:val="18"/>
                <w:szCs w:val="18"/>
              </w:rPr>
            </w:pPr>
            <w:r>
              <w:rPr>
                <w:noProof/>
                <w:sz w:val="18"/>
              </w:rPr>
              <w:t>Kostn.</w:t>
            </w:r>
          </w:p>
        </w:tc>
        <w:tc>
          <w:tcPr>
            <w:tcW w:w="54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left="111"/>
              <w:jc w:val="left"/>
              <w:rPr>
                <w:noProof/>
                <w:sz w:val="18"/>
                <w:szCs w:val="18"/>
              </w:rPr>
            </w:pPr>
            <w:r>
              <w:rPr>
                <w:noProof/>
                <w:sz w:val="18"/>
              </w:rPr>
              <w:t>Antal</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53"/>
              <w:jc w:val="center"/>
              <w:rPr>
                <w:noProof/>
              </w:rPr>
            </w:pPr>
            <w:r>
              <w:rPr>
                <w:noProof/>
                <w:sz w:val="18"/>
              </w:rPr>
              <w:t xml:space="preserve">Kostn. </w:t>
            </w:r>
          </w:p>
        </w:tc>
        <w:tc>
          <w:tcPr>
            <w:tcW w:w="720" w:type="dxa"/>
            <w:tcBorders>
              <w:top w:val="single" w:sz="4" w:space="0" w:color="000000"/>
              <w:left w:val="single" w:sz="4" w:space="0" w:color="000000"/>
              <w:bottom w:val="single" w:sz="4" w:space="0" w:color="000000"/>
              <w:right w:val="single" w:sz="4" w:space="0" w:color="000000"/>
            </w:tcBorders>
            <w:shd w:val="clear" w:color="auto" w:fill="E5E5E5"/>
            <w:vAlign w:val="center"/>
          </w:tcPr>
          <w:p>
            <w:pPr>
              <w:jc w:val="center"/>
              <w:rPr>
                <w:noProof/>
              </w:rPr>
            </w:pPr>
            <w:r>
              <w:rPr>
                <w:noProof/>
                <w:sz w:val="18"/>
              </w:rPr>
              <w:t xml:space="preserve">Totalt antal </w:t>
            </w:r>
          </w:p>
        </w:tc>
        <w:tc>
          <w:tcPr>
            <w:tcW w:w="902" w:type="dxa"/>
            <w:tcBorders>
              <w:top w:val="single" w:sz="4" w:space="0" w:color="000000"/>
              <w:left w:val="single" w:sz="4" w:space="0" w:color="000000"/>
              <w:bottom w:val="single" w:sz="4" w:space="0" w:color="000000"/>
              <w:right w:val="single" w:sz="4" w:space="0" w:color="000000"/>
            </w:tcBorders>
            <w:shd w:val="clear" w:color="auto" w:fill="E5E5E5"/>
            <w:vAlign w:val="center"/>
          </w:tcPr>
          <w:p>
            <w:pPr>
              <w:ind w:right="12"/>
              <w:jc w:val="center"/>
              <w:rPr>
                <w:noProof/>
              </w:rPr>
            </w:pPr>
            <w:r>
              <w:rPr>
                <w:noProof/>
                <w:sz w:val="18"/>
              </w:rPr>
              <w:t xml:space="preserve">Total kostnad </w:t>
            </w:r>
          </w:p>
        </w:tc>
      </w:tr>
      <w:tr>
        <w:trPr>
          <w:trHeight w:val="337"/>
        </w:trPr>
        <w:tc>
          <w:tcPr>
            <w:tcW w:w="2893" w:type="dxa"/>
            <w:gridSpan w:val="3"/>
            <w:tcBorders>
              <w:top w:val="single" w:sz="4" w:space="0" w:color="000000"/>
              <w:left w:val="single" w:sz="4" w:space="0" w:color="000000"/>
              <w:bottom w:val="single" w:sz="4" w:space="0" w:color="000000"/>
              <w:right w:val="single" w:sz="4" w:space="0" w:color="000000"/>
            </w:tcBorders>
          </w:tcPr>
          <w:p>
            <w:pPr>
              <w:ind w:right="29"/>
              <w:jc w:val="center"/>
              <w:rPr>
                <w:noProof/>
              </w:rPr>
            </w:pPr>
            <w:r>
              <w:rPr>
                <w:noProof/>
                <w:sz w:val="18"/>
              </w:rPr>
              <w:t>SPECIFIKT MÅL nr 1</w:t>
            </w:r>
            <w:r>
              <w:rPr>
                <w:noProof/>
                <w:sz w:val="18"/>
                <w:vertAlign w:val="superscript"/>
              </w:rPr>
              <w:footnoteReference w:id="10"/>
            </w:r>
            <w:r>
              <w:rPr>
                <w:noProof/>
                <w:sz w:val="18"/>
              </w:rPr>
              <w:t xml:space="preserve">… </w:t>
            </w:r>
          </w:p>
        </w:tc>
        <w:tc>
          <w:tcPr>
            <w:tcW w:w="450" w:type="dxa"/>
            <w:tcBorders>
              <w:top w:val="single" w:sz="4" w:space="0" w:color="000000"/>
              <w:left w:val="single" w:sz="4" w:space="0" w:color="000000"/>
              <w:bottom w:val="single" w:sz="4" w:space="0" w:color="000000"/>
              <w:right w:val="nil"/>
            </w:tcBorders>
          </w:tcPr>
          <w:p>
            <w:pPr>
              <w:ind w:left="18"/>
              <w:jc w:val="center"/>
              <w:rPr>
                <w:noProof/>
              </w:rPr>
            </w:pPr>
            <w:r>
              <w:rPr>
                <w:noProof/>
                <w:sz w:val="18"/>
              </w:rPr>
              <w:t xml:space="preserve"> </w:t>
            </w:r>
          </w:p>
        </w:tc>
        <w:tc>
          <w:tcPr>
            <w:tcW w:w="721"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926" w:type="dxa"/>
            <w:tcBorders>
              <w:top w:val="single" w:sz="4" w:space="0" w:color="000000"/>
              <w:left w:val="nil"/>
              <w:bottom w:val="single" w:sz="4" w:space="0" w:color="000000"/>
              <w:right w:val="nil"/>
            </w:tcBorders>
          </w:tcPr>
          <w:p>
            <w:pPr>
              <w:ind w:right="7"/>
              <w:jc w:val="center"/>
              <w:rPr>
                <w:noProof/>
              </w:rPr>
            </w:pPr>
            <w:r>
              <w:rPr>
                <w:noProof/>
                <w:sz w:val="18"/>
              </w:rPr>
              <w:t xml:space="preserve"> </w:t>
            </w:r>
          </w:p>
        </w:tc>
        <w:tc>
          <w:tcPr>
            <w:tcW w:w="695" w:type="dxa"/>
            <w:tcBorders>
              <w:top w:val="single" w:sz="4" w:space="0" w:color="000000"/>
              <w:left w:val="nil"/>
              <w:bottom w:val="single" w:sz="4" w:space="0" w:color="000000"/>
              <w:right w:val="nil"/>
            </w:tcBorders>
          </w:tcPr>
          <w:p>
            <w:pPr>
              <w:ind w:right="5"/>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648"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543"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612" w:type="dxa"/>
            <w:tcBorders>
              <w:top w:val="single" w:sz="4" w:space="0" w:color="000000"/>
              <w:left w:val="nil"/>
              <w:bottom w:val="single" w:sz="4" w:space="0" w:color="000000"/>
              <w:right w:val="nil"/>
            </w:tcBorders>
          </w:tcPr>
          <w:p>
            <w:pPr>
              <w:ind w:left="20"/>
              <w:jc w:val="center"/>
              <w:rPr>
                <w:noProof/>
              </w:rPr>
            </w:pPr>
            <w:r>
              <w:rPr>
                <w:noProof/>
                <w:sz w:val="18"/>
              </w:rPr>
              <w:t xml:space="preserve"> </w:t>
            </w:r>
          </w:p>
        </w:tc>
        <w:tc>
          <w:tcPr>
            <w:tcW w:w="540" w:type="dxa"/>
            <w:tcBorders>
              <w:top w:val="single" w:sz="4"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4" w:space="0" w:color="000000"/>
              <w:left w:val="nil"/>
              <w:bottom w:val="single" w:sz="4" w:space="0" w:color="000000"/>
              <w:right w:val="nil"/>
            </w:tcBorders>
          </w:tcPr>
          <w:p>
            <w:pPr>
              <w:ind w:left="21"/>
              <w:jc w:val="center"/>
              <w:rPr>
                <w:noProof/>
              </w:rPr>
            </w:pPr>
            <w:r>
              <w:rPr>
                <w:noProof/>
                <w:sz w:val="18"/>
              </w:rPr>
              <w:t xml:space="preserve"> </w:t>
            </w:r>
          </w:p>
        </w:tc>
        <w:tc>
          <w:tcPr>
            <w:tcW w:w="902" w:type="dxa"/>
            <w:tcBorders>
              <w:top w:val="single" w:sz="4" w:space="0" w:color="000000"/>
              <w:left w:val="nil"/>
              <w:bottom w:val="single" w:sz="4" w:space="0" w:color="000000"/>
              <w:right w:val="nil"/>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Output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Output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Output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466"/>
        </w:trPr>
        <w:tc>
          <w:tcPr>
            <w:tcW w:w="2893" w:type="dxa"/>
            <w:gridSpan w:val="3"/>
            <w:tcBorders>
              <w:top w:val="single" w:sz="4" w:space="0" w:color="000000"/>
              <w:left w:val="single" w:sz="4" w:space="0" w:color="000000"/>
              <w:bottom w:val="single" w:sz="12" w:space="0" w:color="000000"/>
              <w:right w:val="single" w:sz="4" w:space="0" w:color="000000"/>
            </w:tcBorders>
            <w:vAlign w:val="center"/>
          </w:tcPr>
          <w:p>
            <w:pPr>
              <w:ind w:right="32"/>
              <w:jc w:val="center"/>
              <w:rPr>
                <w:noProof/>
              </w:rPr>
            </w:pPr>
            <w:r>
              <w:rPr>
                <w:noProof/>
                <w:sz w:val="18"/>
              </w:rPr>
              <w:t xml:space="preserve">Delsumma för specifikt mål nr 1 </w:t>
            </w:r>
          </w:p>
        </w:tc>
        <w:tc>
          <w:tcPr>
            <w:tcW w:w="45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12" w:space="0" w:color="000000"/>
              <w:right w:val="single" w:sz="4" w:space="0" w:color="000000"/>
            </w:tcBorders>
            <w:vAlign w:val="center"/>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12" w:space="0" w:color="000000"/>
              <w:right w:val="single" w:sz="4" w:space="0" w:color="000000"/>
            </w:tcBorders>
            <w:vAlign w:val="center"/>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12" w:space="0" w:color="000000"/>
              <w:right w:val="single" w:sz="4" w:space="0" w:color="000000"/>
            </w:tcBorders>
            <w:vAlign w:val="center"/>
          </w:tcPr>
          <w:p>
            <w:pPr>
              <w:ind w:left="16"/>
              <w:jc w:val="center"/>
              <w:rPr>
                <w:noProof/>
              </w:rPr>
            </w:pPr>
            <w:r>
              <w:rPr>
                <w:noProof/>
                <w:sz w:val="18"/>
              </w:rPr>
              <w:t xml:space="preserve"> </w:t>
            </w:r>
          </w:p>
        </w:tc>
      </w:tr>
      <w:tr>
        <w:trPr>
          <w:trHeight w:val="348"/>
        </w:trPr>
        <w:tc>
          <w:tcPr>
            <w:tcW w:w="2893" w:type="dxa"/>
            <w:gridSpan w:val="3"/>
            <w:tcBorders>
              <w:top w:val="single" w:sz="12" w:space="0" w:color="000000"/>
              <w:left w:val="single" w:sz="4" w:space="0" w:color="000000"/>
              <w:bottom w:val="single" w:sz="4" w:space="0" w:color="000000"/>
              <w:right w:val="single" w:sz="4" w:space="0" w:color="000000"/>
            </w:tcBorders>
          </w:tcPr>
          <w:p>
            <w:pPr>
              <w:ind w:right="29"/>
              <w:jc w:val="center"/>
              <w:rPr>
                <w:noProof/>
              </w:rPr>
            </w:pPr>
            <w:r>
              <w:rPr>
                <w:noProof/>
                <w:sz w:val="18"/>
              </w:rPr>
              <w:t xml:space="preserve">SPECIFIKT MÅL nr 2… </w:t>
            </w:r>
          </w:p>
        </w:tc>
        <w:tc>
          <w:tcPr>
            <w:tcW w:w="450" w:type="dxa"/>
            <w:tcBorders>
              <w:top w:val="single" w:sz="12" w:space="0" w:color="000000"/>
              <w:left w:val="single" w:sz="4" w:space="0" w:color="000000"/>
              <w:bottom w:val="single" w:sz="4" w:space="0" w:color="000000"/>
              <w:right w:val="nil"/>
            </w:tcBorders>
          </w:tcPr>
          <w:p>
            <w:pPr>
              <w:ind w:left="18"/>
              <w:jc w:val="center"/>
              <w:rPr>
                <w:noProof/>
              </w:rPr>
            </w:pPr>
            <w:r>
              <w:rPr>
                <w:noProof/>
                <w:sz w:val="18"/>
              </w:rPr>
              <w:t xml:space="preserve"> </w:t>
            </w:r>
          </w:p>
        </w:tc>
        <w:tc>
          <w:tcPr>
            <w:tcW w:w="721"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926" w:type="dxa"/>
            <w:tcBorders>
              <w:top w:val="single" w:sz="12" w:space="0" w:color="000000"/>
              <w:left w:val="nil"/>
              <w:bottom w:val="single" w:sz="4" w:space="0" w:color="000000"/>
              <w:right w:val="nil"/>
            </w:tcBorders>
          </w:tcPr>
          <w:p>
            <w:pPr>
              <w:ind w:right="7"/>
              <w:jc w:val="center"/>
              <w:rPr>
                <w:noProof/>
              </w:rPr>
            </w:pPr>
            <w:r>
              <w:rPr>
                <w:noProof/>
                <w:sz w:val="18"/>
              </w:rPr>
              <w:t xml:space="preserve"> </w:t>
            </w:r>
          </w:p>
        </w:tc>
        <w:tc>
          <w:tcPr>
            <w:tcW w:w="695" w:type="dxa"/>
            <w:tcBorders>
              <w:top w:val="single" w:sz="12" w:space="0" w:color="000000"/>
              <w:left w:val="nil"/>
              <w:bottom w:val="single" w:sz="4" w:space="0" w:color="000000"/>
              <w:right w:val="nil"/>
            </w:tcBorders>
          </w:tcPr>
          <w:p>
            <w:pPr>
              <w:ind w:right="5"/>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648"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543"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612" w:type="dxa"/>
            <w:tcBorders>
              <w:top w:val="single" w:sz="12" w:space="0" w:color="000000"/>
              <w:left w:val="nil"/>
              <w:bottom w:val="single" w:sz="4" w:space="0" w:color="000000"/>
              <w:right w:val="nil"/>
            </w:tcBorders>
          </w:tcPr>
          <w:p>
            <w:pPr>
              <w:ind w:left="20"/>
              <w:jc w:val="center"/>
              <w:rPr>
                <w:noProof/>
              </w:rPr>
            </w:pPr>
            <w:r>
              <w:rPr>
                <w:noProof/>
                <w:sz w:val="18"/>
              </w:rPr>
              <w:t xml:space="preserve"> </w:t>
            </w:r>
          </w:p>
        </w:tc>
        <w:tc>
          <w:tcPr>
            <w:tcW w:w="540" w:type="dxa"/>
            <w:tcBorders>
              <w:top w:val="single" w:sz="12" w:space="0" w:color="000000"/>
              <w:left w:val="nil"/>
              <w:bottom w:val="single" w:sz="4" w:space="0" w:color="000000"/>
              <w:right w:val="nil"/>
            </w:tcBorders>
          </w:tcPr>
          <w:p>
            <w:pPr>
              <w:ind w:left="18"/>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720" w:type="dxa"/>
            <w:tcBorders>
              <w:top w:val="single" w:sz="12" w:space="0" w:color="000000"/>
              <w:left w:val="nil"/>
              <w:bottom w:val="single" w:sz="4" w:space="0" w:color="000000"/>
              <w:right w:val="nil"/>
            </w:tcBorders>
          </w:tcPr>
          <w:p>
            <w:pPr>
              <w:ind w:left="21"/>
              <w:jc w:val="center"/>
              <w:rPr>
                <w:noProof/>
              </w:rPr>
            </w:pPr>
            <w:r>
              <w:rPr>
                <w:noProof/>
                <w:sz w:val="18"/>
              </w:rPr>
              <w:t xml:space="preserve"> </w:t>
            </w:r>
          </w:p>
        </w:tc>
        <w:tc>
          <w:tcPr>
            <w:tcW w:w="902" w:type="dxa"/>
            <w:tcBorders>
              <w:top w:val="single" w:sz="12" w:space="0" w:color="000000"/>
              <w:left w:val="nil"/>
              <w:bottom w:val="single" w:sz="4" w:space="0" w:color="000000"/>
              <w:right w:val="nil"/>
            </w:tcBorders>
          </w:tcPr>
          <w:p>
            <w:pPr>
              <w:ind w:left="16"/>
              <w:jc w:val="center"/>
              <w:rPr>
                <w:noProof/>
              </w:rPr>
            </w:pPr>
            <w:r>
              <w:rPr>
                <w:noProof/>
                <w:sz w:val="18"/>
              </w:rPr>
              <w:t xml:space="preserve"> </w:t>
            </w:r>
          </w:p>
        </w:tc>
      </w:tr>
      <w:tr>
        <w:trPr>
          <w:trHeight w:val="370"/>
        </w:trPr>
        <w:tc>
          <w:tcPr>
            <w:tcW w:w="1419" w:type="dxa"/>
            <w:tcBorders>
              <w:top w:val="single" w:sz="4" w:space="0" w:color="000000"/>
              <w:left w:val="single" w:sz="4" w:space="0" w:color="000000"/>
              <w:bottom w:val="single" w:sz="4" w:space="0" w:color="000000"/>
              <w:right w:val="single" w:sz="4" w:space="0" w:color="000000"/>
            </w:tcBorders>
          </w:tcPr>
          <w:p>
            <w:pPr>
              <w:ind w:right="27"/>
              <w:jc w:val="center"/>
              <w:rPr>
                <w:noProof/>
              </w:rPr>
            </w:pPr>
            <w:r>
              <w:rPr>
                <w:noProof/>
                <w:sz w:val="18"/>
              </w:rPr>
              <w:t xml:space="preserve">– Output </w:t>
            </w:r>
          </w:p>
        </w:tc>
        <w:tc>
          <w:tcPr>
            <w:tcW w:w="719"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55"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45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4" w:space="0" w:color="000000"/>
              <w:right w:val="single" w:sz="4" w:space="0" w:color="000000"/>
            </w:tcBorders>
          </w:tcPr>
          <w:p>
            <w:pPr>
              <w:ind w:right="7"/>
              <w:jc w:val="center"/>
              <w:rPr>
                <w:noProof/>
              </w:rPr>
            </w:pPr>
            <w:r>
              <w:rPr>
                <w:noProof/>
                <w:sz w:val="18"/>
              </w:rPr>
              <w:t xml:space="preserve"> </w:t>
            </w:r>
          </w:p>
        </w:tc>
        <w:tc>
          <w:tcPr>
            <w:tcW w:w="695" w:type="dxa"/>
            <w:tcBorders>
              <w:top w:val="single" w:sz="4" w:space="0" w:color="000000"/>
              <w:left w:val="single" w:sz="4" w:space="0" w:color="000000"/>
              <w:bottom w:val="single" w:sz="4" w:space="0" w:color="000000"/>
              <w:right w:val="single" w:sz="4" w:space="0" w:color="000000"/>
            </w:tcBorders>
          </w:tcPr>
          <w:p>
            <w:pPr>
              <w:ind w:right="5"/>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pPr>
              <w:ind w:left="16"/>
              <w:jc w:val="center"/>
              <w:rPr>
                <w:noProof/>
              </w:rPr>
            </w:pPr>
            <w:r>
              <w:rPr>
                <w:noProof/>
                <w:sz w:val="18"/>
              </w:rPr>
              <w:t xml:space="preserve"> </w:t>
            </w:r>
          </w:p>
        </w:tc>
      </w:tr>
      <w:tr>
        <w:trPr>
          <w:trHeight w:val="466"/>
        </w:trPr>
        <w:tc>
          <w:tcPr>
            <w:tcW w:w="2893" w:type="dxa"/>
            <w:gridSpan w:val="3"/>
            <w:tcBorders>
              <w:top w:val="single" w:sz="4" w:space="0" w:color="000000"/>
              <w:left w:val="single" w:sz="4" w:space="0" w:color="000000"/>
              <w:bottom w:val="single" w:sz="12" w:space="0" w:color="000000"/>
              <w:right w:val="single" w:sz="4" w:space="0" w:color="000000"/>
            </w:tcBorders>
            <w:vAlign w:val="center"/>
          </w:tcPr>
          <w:p>
            <w:pPr>
              <w:ind w:left="22"/>
              <w:jc w:val="left"/>
              <w:rPr>
                <w:noProof/>
              </w:rPr>
            </w:pPr>
            <w:r>
              <w:rPr>
                <w:noProof/>
                <w:sz w:val="18"/>
              </w:rPr>
              <w:t xml:space="preserve">Delsumma för specifikt mål nr 2 </w:t>
            </w:r>
          </w:p>
        </w:tc>
        <w:tc>
          <w:tcPr>
            <w:tcW w:w="45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4" w:space="0" w:color="000000"/>
              <w:left w:val="single" w:sz="4" w:space="0" w:color="000000"/>
              <w:bottom w:val="single" w:sz="12" w:space="0" w:color="000000"/>
              <w:right w:val="single" w:sz="4" w:space="0" w:color="000000"/>
            </w:tcBorders>
            <w:vAlign w:val="center"/>
          </w:tcPr>
          <w:p>
            <w:pPr>
              <w:ind w:left="46"/>
              <w:jc w:val="center"/>
              <w:rPr>
                <w:noProof/>
              </w:rPr>
            </w:pPr>
            <w:r>
              <w:rPr>
                <w:noProof/>
                <w:sz w:val="18"/>
              </w:rPr>
              <w:t xml:space="preserve"> </w:t>
            </w:r>
          </w:p>
        </w:tc>
        <w:tc>
          <w:tcPr>
            <w:tcW w:w="695" w:type="dxa"/>
            <w:tcBorders>
              <w:top w:val="single" w:sz="4" w:space="0" w:color="000000"/>
              <w:left w:val="single" w:sz="4" w:space="0" w:color="000000"/>
              <w:bottom w:val="single" w:sz="12" w:space="0" w:color="000000"/>
              <w:right w:val="single" w:sz="4" w:space="0" w:color="000000"/>
            </w:tcBorders>
            <w:vAlign w:val="center"/>
          </w:tcPr>
          <w:p>
            <w:pPr>
              <w:ind w:left="48"/>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4"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4"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4"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4" w:space="0" w:color="000000"/>
              <w:left w:val="single" w:sz="4" w:space="0" w:color="000000"/>
              <w:bottom w:val="single" w:sz="12" w:space="0" w:color="000000"/>
              <w:right w:val="single" w:sz="4" w:space="0" w:color="000000"/>
            </w:tcBorders>
            <w:vAlign w:val="center"/>
          </w:tcPr>
          <w:p>
            <w:pPr>
              <w:ind w:left="16"/>
              <w:jc w:val="center"/>
              <w:rPr>
                <w:noProof/>
              </w:rPr>
            </w:pPr>
            <w:r>
              <w:rPr>
                <w:noProof/>
                <w:sz w:val="18"/>
              </w:rPr>
              <w:t xml:space="preserve"> </w:t>
            </w:r>
          </w:p>
        </w:tc>
      </w:tr>
      <w:tr>
        <w:trPr>
          <w:trHeight w:val="598"/>
        </w:trPr>
        <w:tc>
          <w:tcPr>
            <w:tcW w:w="2893" w:type="dxa"/>
            <w:gridSpan w:val="3"/>
            <w:tcBorders>
              <w:top w:val="single" w:sz="12" w:space="0" w:color="000000"/>
              <w:left w:val="single" w:sz="12" w:space="0" w:color="000000"/>
              <w:bottom w:val="single" w:sz="12" w:space="0" w:color="000000"/>
              <w:right w:val="single" w:sz="4" w:space="0" w:color="000000"/>
            </w:tcBorders>
            <w:vAlign w:val="center"/>
          </w:tcPr>
          <w:p>
            <w:pPr>
              <w:ind w:right="31"/>
              <w:jc w:val="center"/>
              <w:rPr>
                <w:noProof/>
              </w:rPr>
            </w:pPr>
            <w:r>
              <w:rPr>
                <w:b/>
                <w:noProof/>
                <w:sz w:val="18"/>
              </w:rPr>
              <w:t>TOTALT</w:t>
            </w:r>
            <w:r>
              <w:rPr>
                <w:noProof/>
                <w:sz w:val="18"/>
              </w:rPr>
              <w:t xml:space="preserve"> </w:t>
            </w:r>
          </w:p>
        </w:tc>
        <w:tc>
          <w:tcPr>
            <w:tcW w:w="45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1"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26" w:type="dxa"/>
            <w:tcBorders>
              <w:top w:val="single" w:sz="12" w:space="0" w:color="000000"/>
              <w:left w:val="single" w:sz="4" w:space="0" w:color="000000"/>
              <w:bottom w:val="single" w:sz="12" w:space="0" w:color="000000"/>
              <w:right w:val="single" w:sz="4" w:space="0" w:color="000000"/>
            </w:tcBorders>
            <w:vAlign w:val="center"/>
          </w:tcPr>
          <w:p>
            <w:pPr>
              <w:ind w:right="7"/>
              <w:jc w:val="center"/>
              <w:rPr>
                <w:noProof/>
              </w:rPr>
            </w:pPr>
            <w:r>
              <w:rPr>
                <w:noProof/>
                <w:sz w:val="18"/>
              </w:rPr>
              <w:t xml:space="preserve"> </w:t>
            </w:r>
          </w:p>
        </w:tc>
        <w:tc>
          <w:tcPr>
            <w:tcW w:w="695" w:type="dxa"/>
            <w:tcBorders>
              <w:top w:val="single" w:sz="12" w:space="0" w:color="000000"/>
              <w:left w:val="single" w:sz="4" w:space="0" w:color="000000"/>
              <w:bottom w:val="single" w:sz="12" w:space="0" w:color="000000"/>
              <w:right w:val="single" w:sz="4" w:space="0" w:color="000000"/>
            </w:tcBorders>
            <w:vAlign w:val="center"/>
          </w:tcPr>
          <w:p>
            <w:pPr>
              <w:ind w:right="5"/>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648"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543"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612" w:type="dxa"/>
            <w:tcBorders>
              <w:top w:val="single" w:sz="12" w:space="0" w:color="000000"/>
              <w:left w:val="single" w:sz="4" w:space="0" w:color="000000"/>
              <w:bottom w:val="single" w:sz="12" w:space="0" w:color="000000"/>
              <w:right w:val="single" w:sz="4" w:space="0" w:color="000000"/>
            </w:tcBorders>
            <w:vAlign w:val="center"/>
          </w:tcPr>
          <w:p>
            <w:pPr>
              <w:ind w:left="20"/>
              <w:jc w:val="center"/>
              <w:rPr>
                <w:noProof/>
              </w:rPr>
            </w:pPr>
            <w:r>
              <w:rPr>
                <w:noProof/>
                <w:sz w:val="18"/>
              </w:rPr>
              <w:t xml:space="preserve"> </w:t>
            </w:r>
          </w:p>
        </w:tc>
        <w:tc>
          <w:tcPr>
            <w:tcW w:w="540" w:type="dxa"/>
            <w:tcBorders>
              <w:top w:val="single" w:sz="12" w:space="0" w:color="000000"/>
              <w:left w:val="single" w:sz="4" w:space="0" w:color="000000"/>
              <w:bottom w:val="single" w:sz="12" w:space="0" w:color="000000"/>
              <w:right w:val="single" w:sz="4" w:space="0" w:color="000000"/>
            </w:tcBorders>
            <w:vAlign w:val="center"/>
          </w:tcPr>
          <w:p>
            <w:pPr>
              <w:ind w:left="18"/>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720" w:type="dxa"/>
            <w:tcBorders>
              <w:top w:val="single" w:sz="12" w:space="0" w:color="000000"/>
              <w:left w:val="single" w:sz="4" w:space="0" w:color="000000"/>
              <w:bottom w:val="single" w:sz="12" w:space="0" w:color="000000"/>
              <w:right w:val="single" w:sz="4" w:space="0" w:color="000000"/>
            </w:tcBorders>
            <w:vAlign w:val="center"/>
          </w:tcPr>
          <w:p>
            <w:pPr>
              <w:ind w:left="21"/>
              <w:jc w:val="center"/>
              <w:rPr>
                <w:noProof/>
              </w:rPr>
            </w:pPr>
            <w:r>
              <w:rPr>
                <w:noProof/>
                <w:sz w:val="18"/>
              </w:rPr>
              <w:t xml:space="preserve"> </w:t>
            </w:r>
          </w:p>
        </w:tc>
        <w:tc>
          <w:tcPr>
            <w:tcW w:w="902" w:type="dxa"/>
            <w:tcBorders>
              <w:top w:val="single" w:sz="12" w:space="0" w:color="000000"/>
              <w:left w:val="single" w:sz="4" w:space="0" w:color="000000"/>
              <w:bottom w:val="single" w:sz="12" w:space="0" w:color="000000"/>
              <w:right w:val="single" w:sz="12" w:space="0" w:color="000000"/>
            </w:tcBorders>
            <w:vAlign w:val="center"/>
          </w:tcPr>
          <w:p>
            <w:pPr>
              <w:ind w:left="16"/>
              <w:jc w:val="center"/>
              <w:rPr>
                <w:noProof/>
              </w:rPr>
            </w:pPr>
            <w:r>
              <w:rPr>
                <w:noProof/>
                <w:sz w:val="18"/>
              </w:rPr>
              <w:t xml:space="preserve"> </w:t>
            </w:r>
          </w:p>
        </w:tc>
      </w:tr>
    </w:tbl>
    <w:p>
      <w:pPr>
        <w:rPr>
          <w:noProof/>
        </w:rPr>
        <w:sectPr>
          <w:headerReference w:type="default" r:id="rId22"/>
          <w:footerReference w:type="default" r:id="rId23"/>
          <w:headerReference w:type="first" r:id="rId24"/>
          <w:footerReference w:type="first" r:id="rId25"/>
          <w:pgSz w:w="16841" w:h="11906" w:orient="landscape"/>
          <w:pgMar w:top="1138" w:right="1416" w:bottom="1622" w:left="1418" w:header="720" w:footer="708" w:gutter="0"/>
          <w:cols w:space="720"/>
          <w:docGrid w:linePitch="326"/>
        </w:sectPr>
      </w:pPr>
    </w:p>
    <w:p>
      <w:pPr>
        <w:pStyle w:val="ManualHeading3"/>
        <w:rPr>
          <w:noProof/>
        </w:rPr>
      </w:pPr>
      <w:r>
        <w:rPr>
          <w:noProof/>
        </w:rPr>
        <w:t>3.2.3</w:t>
      </w:r>
      <w:r>
        <w:rPr>
          <w:noProof/>
        </w:rPr>
        <w:tab/>
        <w:t>Sammanfattning av beräknad inverkan på de administrativa anslagen</w:t>
      </w:r>
    </w:p>
    <w:p>
      <w:pPr>
        <w:pStyle w:val="ListDash1"/>
        <w:rPr>
          <w:noProof/>
        </w:rPr>
      </w:pPr>
      <w:r>
        <w:rPr>
          <w:rFonts w:ascii="Wingdings" w:eastAsia="Wingdings" w:hAnsi="Wingdings" w:cs="Wingdings"/>
          <w:noProof/>
        </w:rPr>
        <w:t></w:t>
      </w:r>
      <w:r>
        <w:rPr>
          <w:noProof/>
        </w:rPr>
        <w:t xml:space="preserve"> Förslaget/initiativet kräver inte att anslag av administrativ natur tas i anspråk</w:t>
      </w:r>
    </w:p>
    <w:p>
      <w:pPr>
        <w:pStyle w:val="ListDash1"/>
        <w:rPr>
          <w:noProof/>
        </w:rPr>
      </w:pPr>
      <w:r>
        <w:rPr>
          <w:rFonts w:ascii="Wingdings" w:eastAsia="Wingdings" w:hAnsi="Wingdings" w:cs="Wingdings"/>
          <w:noProof/>
        </w:rPr>
        <w:t></w:t>
      </w:r>
      <w:r>
        <w:rPr>
          <w:noProof/>
        </w:rPr>
        <w:t xml:space="preserve"> Förslaget/initiativet kräver att anslag av administrativ natur tas i anspråk enligt följande:</w:t>
      </w:r>
    </w:p>
    <w:p>
      <w:pPr>
        <w:ind w:left="10" w:right="-7"/>
        <w:jc w:val="right"/>
        <w:rPr>
          <w:noProof/>
        </w:rPr>
      </w:pPr>
      <w:r>
        <w:rPr>
          <w:noProof/>
          <w:sz w:val="20"/>
        </w:rPr>
        <w:t>Miljoner euro (avrundat till tre decimaler)</w:t>
      </w:r>
    </w:p>
    <w:tbl>
      <w:tblPr>
        <w:tblStyle w:val="TableGrid0"/>
        <w:tblW w:w="10622" w:type="dxa"/>
        <w:tblInd w:w="-720" w:type="dxa"/>
        <w:tblCellMar>
          <w:top w:w="80" w:type="dxa"/>
          <w:left w:w="108" w:type="dxa"/>
          <w:right w:w="115" w:type="dxa"/>
        </w:tblCellMar>
        <w:tblLook w:val="04A0" w:firstRow="1" w:lastRow="0" w:firstColumn="1" w:lastColumn="0" w:noHBand="0" w:noVBand="1"/>
      </w:tblPr>
      <w:tblGrid>
        <w:gridCol w:w="1980"/>
        <w:gridCol w:w="1081"/>
        <w:gridCol w:w="1080"/>
        <w:gridCol w:w="1080"/>
        <w:gridCol w:w="1080"/>
        <w:gridCol w:w="3241"/>
        <w:gridCol w:w="1080"/>
      </w:tblGrid>
      <w:tr>
        <w:trPr>
          <w:trHeight w:val="646"/>
        </w:trPr>
        <w:tc>
          <w:tcPr>
            <w:tcW w:w="1980" w:type="dxa"/>
            <w:tcBorders>
              <w:top w:val="single" w:sz="2" w:space="0" w:color="000000"/>
              <w:left w:val="single" w:sz="2" w:space="0" w:color="000000"/>
              <w:bottom w:val="single" w:sz="2" w:space="0" w:color="000000"/>
              <w:right w:val="single" w:sz="2" w:space="0" w:color="000000"/>
            </w:tcBorders>
          </w:tcPr>
          <w:p>
            <w:pPr>
              <w:jc w:val="lef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ind w:left="5"/>
              <w:jc w:val="center"/>
              <w:rPr>
                <w:noProof/>
              </w:rPr>
            </w:pPr>
            <w:r>
              <w:rPr>
                <w:noProof/>
                <w:sz w:val="16"/>
              </w:rPr>
              <w:t>År</w:t>
            </w:r>
            <w:r>
              <w:rPr>
                <w:noProof/>
                <w:sz w:val="22"/>
              </w:rPr>
              <w:t xml:space="preserve"> </w:t>
            </w:r>
          </w:p>
          <w:p>
            <w:pPr>
              <w:ind w:left="4"/>
              <w:jc w:val="center"/>
              <w:rPr>
                <w:noProof/>
              </w:rPr>
            </w:pPr>
            <w:r>
              <w:rPr>
                <w:b/>
                <w:noProof/>
                <w:sz w:val="16"/>
              </w:rPr>
              <w:t>n</w:t>
            </w:r>
            <w:r>
              <w:rPr>
                <w:rStyle w:val="FootnoteReference"/>
                <w:b/>
                <w:noProof/>
                <w:sz w:val="16"/>
              </w:rPr>
              <w:footnoteReference w:id="11"/>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2" w:right="70"/>
              <w:jc w:val="center"/>
              <w:rPr>
                <w:noProof/>
              </w:rPr>
            </w:pPr>
            <w:r>
              <w:rPr>
                <w:noProof/>
                <w:sz w:val="16"/>
              </w:rPr>
              <w:t>År</w:t>
            </w:r>
            <w:r>
              <w:rPr>
                <w:noProof/>
                <w:sz w:val="22"/>
              </w:rPr>
              <w:t xml:space="preserve"> </w:t>
            </w:r>
            <w:r>
              <w:rPr>
                <w:b/>
                <w:noProof/>
                <w:sz w:val="16"/>
              </w:rPr>
              <w:t>n+1</w:t>
            </w: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2" w:right="70"/>
              <w:jc w:val="center"/>
              <w:rPr>
                <w:noProof/>
              </w:rPr>
            </w:pPr>
            <w:r>
              <w:rPr>
                <w:noProof/>
                <w:sz w:val="16"/>
              </w:rPr>
              <w:t>År</w:t>
            </w:r>
            <w:r>
              <w:rPr>
                <w:noProof/>
                <w:sz w:val="22"/>
              </w:rPr>
              <w:t xml:space="preserve"> </w:t>
            </w:r>
            <w:r>
              <w:rPr>
                <w:b/>
                <w:noProof/>
                <w:sz w:val="16"/>
              </w:rPr>
              <w:t>n+2</w:t>
            </w: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133" w:right="70"/>
              <w:jc w:val="center"/>
              <w:rPr>
                <w:noProof/>
              </w:rPr>
            </w:pPr>
            <w:r>
              <w:rPr>
                <w:noProof/>
                <w:sz w:val="16"/>
              </w:rPr>
              <w:t>År</w:t>
            </w:r>
            <w:r>
              <w:rPr>
                <w:noProof/>
                <w:sz w:val="22"/>
              </w:rPr>
              <w:t xml:space="preserve"> </w:t>
            </w:r>
            <w:r>
              <w:rPr>
                <w:b/>
                <w:noProof/>
                <w:sz w:val="16"/>
              </w:rPr>
              <w:t>n+3</w:t>
            </w:r>
            <w:r>
              <w:rPr>
                <w:noProof/>
                <w:sz w:val="16"/>
              </w:rPr>
              <w:t xml:space="preserve"> </w:t>
            </w:r>
          </w:p>
        </w:tc>
        <w:tc>
          <w:tcPr>
            <w:tcW w:w="3241" w:type="dxa"/>
            <w:tcBorders>
              <w:top w:val="single" w:sz="2" w:space="0" w:color="000000"/>
              <w:left w:val="single" w:sz="2" w:space="0" w:color="000000"/>
              <w:bottom w:val="single" w:sz="2" w:space="0" w:color="000000"/>
              <w:right w:val="single" w:sz="2" w:space="0" w:color="000000"/>
            </w:tcBorders>
            <w:vAlign w:val="center"/>
          </w:tcPr>
          <w:p>
            <w:pPr>
              <w:jc w:val="center"/>
              <w:rPr>
                <w:noProof/>
              </w:rPr>
            </w:pPr>
            <w:r>
              <w:rPr>
                <w:noProof/>
                <w:sz w:val="16"/>
              </w:rPr>
              <w:t>För in så många år som behövs för att redovisa varaktigheten för inverkan på resursanvändningen (jfr punkt 1.6)</w:t>
            </w: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ind w:left="6"/>
              <w:jc w:val="center"/>
              <w:rPr>
                <w:noProof/>
              </w:rPr>
            </w:pPr>
            <w:r>
              <w:rPr>
                <w:b/>
                <w:noProof/>
                <w:sz w:val="16"/>
              </w:rPr>
              <w:t xml:space="preserve">TOTALT </w:t>
            </w:r>
          </w:p>
        </w:tc>
      </w:tr>
    </w:tbl>
    <w:p>
      <w:pPr>
        <w:jc w:val="left"/>
        <w:rPr>
          <w:noProof/>
        </w:rPr>
      </w:pPr>
      <w:r>
        <w:rPr>
          <w:noProof/>
          <w:sz w:val="16"/>
        </w:rPr>
        <w:t xml:space="preserve"> </w:t>
      </w:r>
    </w:p>
    <w:tbl>
      <w:tblPr>
        <w:tblStyle w:val="TableGrid0"/>
        <w:tblW w:w="10622" w:type="dxa"/>
        <w:tblInd w:w="-720" w:type="dxa"/>
        <w:tblCellMar>
          <w:top w:w="77" w:type="dxa"/>
          <w:left w:w="179" w:type="dxa"/>
          <w:right w:w="68" w:type="dxa"/>
        </w:tblCellMar>
        <w:tblLook w:val="04A0" w:firstRow="1" w:lastRow="0" w:firstColumn="1" w:lastColumn="0" w:noHBand="0" w:noVBand="1"/>
      </w:tblPr>
      <w:tblGrid>
        <w:gridCol w:w="1980"/>
        <w:gridCol w:w="1081"/>
        <w:gridCol w:w="1080"/>
        <w:gridCol w:w="1080"/>
        <w:gridCol w:w="1080"/>
        <w:gridCol w:w="1080"/>
        <w:gridCol w:w="1081"/>
        <w:gridCol w:w="1080"/>
        <w:gridCol w:w="1080"/>
      </w:tblGrid>
      <w:tr>
        <w:trPr>
          <w:trHeight w:val="725"/>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110"/>
              <w:jc w:val="center"/>
              <w:rPr>
                <w:noProof/>
              </w:rPr>
            </w:pPr>
            <w:r>
              <w:rPr>
                <w:b/>
                <w:noProof/>
                <w:sz w:val="16"/>
              </w:rPr>
              <w:t>RUBRIK 5</w:t>
            </w:r>
            <w:r>
              <w:rPr>
                <w:noProof/>
                <w:sz w:val="22"/>
              </w:rPr>
              <w:t xml:space="preserve"> </w:t>
            </w:r>
          </w:p>
          <w:p>
            <w:pPr>
              <w:jc w:val="center"/>
              <w:rPr>
                <w:noProof/>
              </w:rPr>
            </w:pPr>
            <w:r>
              <w:rPr>
                <w:b/>
                <w:noProof/>
                <w:sz w:val="16"/>
              </w:rPr>
              <w:t xml:space="preserve">i den fleråriga budgetramen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89"/>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Personalresurser</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91"/>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Övriga administrativa utgifter</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724"/>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49"/>
              <w:jc w:val="center"/>
              <w:rPr>
                <w:noProof/>
              </w:rPr>
            </w:pPr>
            <w:r>
              <w:rPr>
                <w:b/>
                <w:noProof/>
                <w:sz w:val="16"/>
              </w:rPr>
              <w:t>Delsumma RUBRIK 5</w:t>
            </w:r>
            <w:r>
              <w:rPr>
                <w:noProof/>
                <w:sz w:val="22"/>
              </w:rPr>
              <w:t xml:space="preserve"> </w:t>
            </w:r>
            <w:r>
              <w:rPr>
                <w:b/>
                <w:noProof/>
                <w:sz w:val="16"/>
              </w:rPr>
              <w:t>i den fleråriga budgetramen</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bl>
    <w:p>
      <w:pPr>
        <w:jc w:val="left"/>
        <w:rPr>
          <w:noProof/>
        </w:rPr>
      </w:pPr>
      <w:r>
        <w:rPr>
          <w:noProof/>
          <w:sz w:val="16"/>
        </w:rPr>
        <w:t xml:space="preserve"> </w:t>
      </w:r>
    </w:p>
    <w:tbl>
      <w:tblPr>
        <w:tblStyle w:val="TableGrid0"/>
        <w:tblW w:w="10622" w:type="dxa"/>
        <w:tblInd w:w="-720" w:type="dxa"/>
        <w:tblCellMar>
          <w:top w:w="75" w:type="dxa"/>
          <w:left w:w="179" w:type="dxa"/>
          <w:right w:w="68" w:type="dxa"/>
        </w:tblCellMar>
        <w:tblLook w:val="04A0" w:firstRow="1" w:lastRow="0" w:firstColumn="1" w:lastColumn="0" w:noHBand="0" w:noVBand="1"/>
      </w:tblPr>
      <w:tblGrid>
        <w:gridCol w:w="1980"/>
        <w:gridCol w:w="1081"/>
        <w:gridCol w:w="1080"/>
        <w:gridCol w:w="1080"/>
        <w:gridCol w:w="1080"/>
        <w:gridCol w:w="1080"/>
        <w:gridCol w:w="1081"/>
        <w:gridCol w:w="1080"/>
        <w:gridCol w:w="1080"/>
      </w:tblGrid>
      <w:tr>
        <w:trPr>
          <w:trHeight w:val="923"/>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right="20"/>
              <w:jc w:val="center"/>
              <w:rPr>
                <w:noProof/>
              </w:rPr>
            </w:pPr>
            <w:r>
              <w:rPr>
                <w:b/>
                <w:noProof/>
                <w:sz w:val="16"/>
              </w:rPr>
              <w:t>Utanför RUBRIK 5</w:t>
            </w:r>
            <w:r>
              <w:rPr>
                <w:rStyle w:val="FootnoteReference"/>
                <w:b/>
                <w:noProof/>
                <w:sz w:val="16"/>
              </w:rPr>
              <w:footnoteReference w:id="12"/>
            </w:r>
            <w:r>
              <w:rPr>
                <w:noProof/>
                <w:sz w:val="22"/>
              </w:rPr>
              <w:t xml:space="preserve"> </w:t>
            </w:r>
            <w:r>
              <w:rPr>
                <w:b/>
                <w:noProof/>
                <w:sz w:val="16"/>
              </w:rPr>
              <w:t xml:space="preserve">i den fleråriga </w:t>
            </w:r>
          </w:p>
          <w:p>
            <w:pPr>
              <w:ind w:right="110"/>
              <w:jc w:val="center"/>
              <w:rPr>
                <w:noProof/>
              </w:rPr>
            </w:pPr>
            <w:r>
              <w:rPr>
                <w:b/>
                <w:noProof/>
                <w:sz w:val="16"/>
              </w:rPr>
              <w:t>budgetramen</w:t>
            </w:r>
          </w:p>
          <w:p>
            <w:pPr>
              <w:ind w:right="73"/>
              <w:jc w:val="center"/>
              <w:rPr>
                <w:noProof/>
              </w:rPr>
            </w:pPr>
            <w:r>
              <w:rPr>
                <w:b/>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591"/>
        </w:trPr>
        <w:tc>
          <w:tcPr>
            <w:tcW w:w="1979"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16"/>
              </w:rPr>
              <w:t>Personalresurser</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725"/>
        </w:trPr>
        <w:tc>
          <w:tcPr>
            <w:tcW w:w="1979" w:type="dxa"/>
            <w:tcBorders>
              <w:top w:val="single" w:sz="2" w:space="0" w:color="000000"/>
              <w:left w:val="single" w:sz="2" w:space="0" w:color="000000"/>
              <w:bottom w:val="single" w:sz="2" w:space="0" w:color="000000"/>
              <w:right w:val="single" w:sz="2" w:space="0" w:color="000000"/>
            </w:tcBorders>
          </w:tcPr>
          <w:p>
            <w:pPr>
              <w:ind w:right="344"/>
              <w:jc w:val="left"/>
              <w:rPr>
                <w:noProof/>
              </w:rPr>
            </w:pPr>
            <w:r>
              <w:rPr>
                <w:noProof/>
                <w:sz w:val="16"/>
              </w:rPr>
              <w:t xml:space="preserve">Övriga utgifter av administrativ natur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r>
        <w:trPr>
          <w:trHeight w:val="924"/>
        </w:trPr>
        <w:tc>
          <w:tcPr>
            <w:tcW w:w="1979" w:type="dxa"/>
            <w:tcBorders>
              <w:top w:val="single" w:sz="2" w:space="0" w:color="000000"/>
              <w:left w:val="single" w:sz="2" w:space="0" w:color="000000"/>
              <w:bottom w:val="single" w:sz="2" w:space="0" w:color="000000"/>
              <w:right w:val="single" w:sz="2" w:space="0" w:color="000000"/>
            </w:tcBorders>
            <w:shd w:val="clear" w:color="auto" w:fill="CCCCCC"/>
          </w:tcPr>
          <w:p>
            <w:pPr>
              <w:ind w:left="103" w:right="215" w:firstLine="94"/>
              <w:jc w:val="center"/>
              <w:rPr>
                <w:b/>
                <w:noProof/>
                <w:sz w:val="16"/>
              </w:rPr>
            </w:pPr>
            <w:r>
              <w:rPr>
                <w:b/>
                <w:noProof/>
                <w:sz w:val="16"/>
              </w:rPr>
              <w:t>Delsumma  utanför RUBRIK 5</w:t>
            </w:r>
            <w:r>
              <w:rPr>
                <w:noProof/>
                <w:sz w:val="22"/>
              </w:rPr>
              <w:t xml:space="preserve"> </w:t>
            </w:r>
            <w:r>
              <w:rPr>
                <w:b/>
                <w:noProof/>
                <w:sz w:val="16"/>
              </w:rPr>
              <w:t xml:space="preserve">i den fleråriga budgetramen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1"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c>
          <w:tcPr>
            <w:tcW w:w="1080" w:type="dxa"/>
            <w:tcBorders>
              <w:top w:val="single" w:sz="2" w:space="0" w:color="000000"/>
              <w:left w:val="single" w:sz="2" w:space="0" w:color="000000"/>
              <w:bottom w:val="single" w:sz="2" w:space="0" w:color="000000"/>
              <w:right w:val="single" w:sz="2" w:space="0" w:color="000000"/>
            </w:tcBorders>
            <w:vAlign w:val="center"/>
          </w:tcPr>
          <w:p>
            <w:pPr>
              <w:jc w:val="right"/>
              <w:rPr>
                <w:noProof/>
              </w:rPr>
            </w:pPr>
            <w:r>
              <w:rPr>
                <w:b/>
                <w:noProof/>
                <w:sz w:val="16"/>
              </w:rPr>
              <w:t xml:space="preserve"> </w:t>
            </w:r>
          </w:p>
        </w:tc>
      </w:tr>
    </w:tbl>
    <w:p>
      <w:pPr>
        <w:jc w:val="left"/>
        <w:rPr>
          <w:noProof/>
        </w:rPr>
      </w:pPr>
      <w:r>
        <w:rPr>
          <w:noProof/>
          <w:sz w:val="16"/>
        </w:rPr>
        <w:t xml:space="preserve"> </w:t>
      </w:r>
    </w:p>
    <w:tbl>
      <w:tblPr>
        <w:tblStyle w:val="TableGrid0"/>
        <w:tblW w:w="10622" w:type="dxa"/>
        <w:tblInd w:w="-720" w:type="dxa"/>
        <w:tblCellMar>
          <w:left w:w="115" w:type="dxa"/>
          <w:right w:w="68" w:type="dxa"/>
        </w:tblCellMar>
        <w:tblLook w:val="04A0" w:firstRow="1" w:lastRow="0" w:firstColumn="1" w:lastColumn="0" w:noHBand="0" w:noVBand="1"/>
      </w:tblPr>
      <w:tblGrid>
        <w:gridCol w:w="1980"/>
        <w:gridCol w:w="1081"/>
        <w:gridCol w:w="1080"/>
        <w:gridCol w:w="1080"/>
        <w:gridCol w:w="1080"/>
        <w:gridCol w:w="1080"/>
        <w:gridCol w:w="1081"/>
        <w:gridCol w:w="1080"/>
        <w:gridCol w:w="1080"/>
      </w:tblGrid>
      <w:tr>
        <w:trPr>
          <w:trHeight w:val="614"/>
        </w:trPr>
        <w:tc>
          <w:tcPr>
            <w:tcW w:w="1980" w:type="dxa"/>
            <w:tcBorders>
              <w:top w:val="single" w:sz="12" w:space="0" w:color="000000"/>
              <w:left w:val="single" w:sz="12" w:space="0" w:color="000000"/>
              <w:bottom w:val="single" w:sz="12" w:space="0" w:color="000000"/>
              <w:right w:val="single" w:sz="2" w:space="0" w:color="000000"/>
            </w:tcBorders>
            <w:vAlign w:val="center"/>
          </w:tcPr>
          <w:p>
            <w:pPr>
              <w:ind w:right="45"/>
              <w:jc w:val="center"/>
              <w:rPr>
                <w:noProof/>
              </w:rPr>
            </w:pPr>
            <w:r>
              <w:rPr>
                <w:b/>
                <w:noProof/>
                <w:sz w:val="16"/>
              </w:rPr>
              <w:t>TOTALT</w:t>
            </w:r>
            <w:r>
              <w:rPr>
                <w:noProof/>
                <w:sz w:val="16"/>
              </w:rPr>
              <w:t xml:space="preserve"> </w:t>
            </w:r>
          </w:p>
        </w:tc>
        <w:tc>
          <w:tcPr>
            <w:tcW w:w="1081"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1"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2" w:space="0" w:color="000000"/>
            </w:tcBorders>
            <w:vAlign w:val="center"/>
          </w:tcPr>
          <w:p>
            <w:pPr>
              <w:jc w:val="right"/>
              <w:rPr>
                <w:noProof/>
              </w:rPr>
            </w:pPr>
            <w:r>
              <w:rPr>
                <w:b/>
                <w:noProof/>
                <w:sz w:val="16"/>
              </w:rPr>
              <w:t xml:space="preserve"> </w:t>
            </w:r>
          </w:p>
        </w:tc>
        <w:tc>
          <w:tcPr>
            <w:tcW w:w="1080" w:type="dxa"/>
            <w:tcBorders>
              <w:top w:val="single" w:sz="12" w:space="0" w:color="000000"/>
              <w:left w:val="single" w:sz="2" w:space="0" w:color="000000"/>
              <w:bottom w:val="single" w:sz="12" w:space="0" w:color="000000"/>
              <w:right w:val="single" w:sz="12" w:space="0" w:color="000000"/>
            </w:tcBorders>
            <w:vAlign w:val="center"/>
          </w:tcPr>
          <w:p>
            <w:pPr>
              <w:jc w:val="right"/>
              <w:rPr>
                <w:noProof/>
              </w:rPr>
            </w:pPr>
            <w:r>
              <w:rPr>
                <w:b/>
                <w:noProof/>
                <w:sz w:val="16"/>
              </w:rPr>
              <w:t xml:space="preserve"> </w:t>
            </w:r>
          </w:p>
        </w:tc>
      </w:tr>
    </w:tbl>
    <w:p>
      <w:pPr>
        <w:ind w:left="-5"/>
        <w:rPr>
          <w:noProof/>
        </w:rPr>
      </w:pPr>
      <w:r>
        <w:rPr>
          <w:noProof/>
          <w:sz w:val="18"/>
        </w:rPr>
        <w:t>Personalbehov och andra administrativa kostnader ska täckas genom anslag inom generaldirektoratet vilka redan har avdelats för förvaltningen av åtgärden i fråga, eller genom en omfördelning av anslag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jc w:val="left"/>
        <w:rPr>
          <w:noProof/>
        </w:rPr>
      </w:pPr>
      <w:r>
        <w:rPr>
          <w:strike/>
          <w:noProof/>
        </w:rPr>
        <w:t xml:space="preserve">                                                </w:t>
      </w:r>
      <w:r>
        <w:rPr>
          <w:noProof/>
        </w:rPr>
        <w:t xml:space="preserve"> </w:t>
      </w:r>
    </w:p>
    <w:p>
      <w:pPr>
        <w:pStyle w:val="ManualHeading4"/>
        <w:rPr>
          <w:noProof/>
        </w:rPr>
      </w:pPr>
      <w:r>
        <w:rPr>
          <w:noProof/>
        </w:rPr>
        <w:t>3.2.3.1 Beräknat personalbehov</w:t>
      </w:r>
    </w:p>
    <w:p>
      <w:pPr>
        <w:pStyle w:val="ListDash1"/>
        <w:rPr>
          <w:noProof/>
        </w:rPr>
      </w:pPr>
      <w:r>
        <w:rPr>
          <w:rFonts w:ascii="Wingdings" w:eastAsia="Wingdings" w:hAnsi="Wingdings" w:cs="Wingdings"/>
          <w:noProof/>
        </w:rPr>
        <w:t></w:t>
      </w:r>
      <w:r>
        <w:rPr>
          <w:noProof/>
        </w:rPr>
        <w:t xml:space="preserve"> Förslaget/initiativet kräver inte att personalresurser tas i anspråk</w:t>
      </w:r>
    </w:p>
    <w:p>
      <w:pPr>
        <w:pStyle w:val="ListDash1"/>
        <w:rPr>
          <w:noProof/>
        </w:rPr>
      </w:pPr>
      <w:r>
        <w:rPr>
          <w:rFonts w:ascii="Wingdings" w:eastAsia="Wingdings" w:hAnsi="Wingdings" w:cs="Wingdings"/>
          <w:noProof/>
        </w:rPr>
        <w:t></w:t>
      </w:r>
      <w:r>
        <w:rPr>
          <w:noProof/>
        </w:rPr>
        <w:t xml:space="preserve"> Förslaget/initiativet kräver att personalresurser tas i anspråk enligt följande:</w:t>
      </w:r>
    </w:p>
    <w:p>
      <w:pPr>
        <w:ind w:right="2"/>
        <w:jc w:val="right"/>
        <w:rPr>
          <w:noProof/>
        </w:rPr>
      </w:pPr>
      <w:r>
        <w:rPr>
          <w:i/>
          <w:noProof/>
          <w:sz w:val="20"/>
        </w:rPr>
        <w:t xml:space="preserve">Beräkningarna ska anges i heltidsekvivalenter </w:t>
      </w:r>
    </w:p>
    <w:tbl>
      <w:tblPr>
        <w:tblStyle w:val="TableGrid0"/>
        <w:tblW w:w="9881" w:type="dxa"/>
        <w:tblInd w:w="-401" w:type="dxa"/>
        <w:tblCellMar>
          <w:top w:w="51" w:type="dxa"/>
          <w:left w:w="101" w:type="dxa"/>
          <w:right w:w="73" w:type="dxa"/>
        </w:tblCellMar>
        <w:tblLook w:val="04A0" w:firstRow="1" w:lastRow="0" w:firstColumn="1" w:lastColumn="0" w:noHBand="0" w:noVBand="1"/>
      </w:tblPr>
      <w:tblGrid>
        <w:gridCol w:w="2384"/>
        <w:gridCol w:w="2379"/>
        <w:gridCol w:w="732"/>
        <w:gridCol w:w="730"/>
        <w:gridCol w:w="732"/>
        <w:gridCol w:w="730"/>
        <w:gridCol w:w="732"/>
        <w:gridCol w:w="732"/>
        <w:gridCol w:w="730"/>
      </w:tblGrid>
      <w:tr>
        <w:trPr>
          <w:trHeight w:val="809"/>
        </w:trPr>
        <w:tc>
          <w:tcPr>
            <w:tcW w:w="4763" w:type="dxa"/>
            <w:gridSpan w:val="2"/>
            <w:tcBorders>
              <w:top w:val="single" w:sz="6" w:space="0" w:color="000000"/>
              <w:left w:val="single" w:sz="12" w:space="0" w:color="000000"/>
              <w:bottom w:val="single" w:sz="6" w:space="0" w:color="000000"/>
              <w:right w:val="single" w:sz="6" w:space="0" w:color="000000"/>
            </w:tcBorders>
          </w:tcPr>
          <w:p>
            <w:pPr>
              <w:ind w:left="17"/>
              <w:jc w:val="center"/>
              <w:rPr>
                <w:noProof/>
              </w:rPr>
            </w:pPr>
            <w:r>
              <w:rPr>
                <w:i/>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50" w:right="25"/>
              <w:jc w:val="center"/>
              <w:rPr>
                <w:noProof/>
              </w:rPr>
            </w:pPr>
            <w:r>
              <w:rPr>
                <w:noProof/>
                <w:sz w:val="16"/>
              </w:rPr>
              <w:t>År</w:t>
            </w:r>
            <w:r>
              <w:rPr>
                <w:noProof/>
                <w:sz w:val="22"/>
              </w:rPr>
              <w:t xml:space="preserve"> </w:t>
            </w:r>
            <w:r>
              <w:rPr>
                <w:b/>
                <w:noProof/>
                <w:sz w:val="16"/>
              </w:rPr>
              <w:t>n</w:t>
            </w: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noProof/>
                <w:sz w:val="16"/>
              </w:rPr>
              <w:t>År</w:t>
            </w:r>
            <w:r>
              <w:rPr>
                <w:noProof/>
                <w:sz w:val="22"/>
              </w:rPr>
              <w:t xml:space="preserve"> </w:t>
            </w:r>
            <w:r>
              <w:rPr>
                <w:b/>
                <w:noProof/>
                <w:sz w:val="16"/>
              </w:rPr>
              <w:t>n+1</w:t>
            </w: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noProof/>
                <w:sz w:val="16"/>
              </w:rPr>
              <w:t xml:space="preserve">År </w:t>
            </w:r>
            <w:r>
              <w:rPr>
                <w:b/>
                <w:noProof/>
                <w:sz w:val="16"/>
              </w:rPr>
              <w:t>n+2</w:t>
            </w: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jc w:val="center"/>
              <w:rPr>
                <w:noProof/>
              </w:rPr>
            </w:pPr>
            <w:r>
              <w:rPr>
                <w:noProof/>
                <w:sz w:val="16"/>
              </w:rPr>
              <w:t xml:space="preserve">År </w:t>
            </w:r>
            <w:r>
              <w:rPr>
                <w:b/>
                <w:noProof/>
                <w:sz w:val="16"/>
              </w:rPr>
              <w:t>n+3</w:t>
            </w:r>
            <w:r>
              <w:rPr>
                <w:noProof/>
                <w:sz w:val="16"/>
              </w:rPr>
              <w:t xml:space="preserve"> </w:t>
            </w:r>
          </w:p>
        </w:tc>
        <w:tc>
          <w:tcPr>
            <w:tcW w:w="2194" w:type="dxa"/>
            <w:gridSpan w:val="3"/>
            <w:tcBorders>
              <w:top w:val="single" w:sz="6" w:space="0" w:color="000000"/>
              <w:left w:val="single" w:sz="6" w:space="0" w:color="000000"/>
              <w:bottom w:val="single" w:sz="6" w:space="0" w:color="000000"/>
              <w:right w:val="single" w:sz="6" w:space="0" w:color="000000"/>
            </w:tcBorders>
            <w:vAlign w:val="center"/>
          </w:tcPr>
          <w:p>
            <w:pPr>
              <w:ind w:firstLine="11"/>
              <w:jc w:val="center"/>
              <w:rPr>
                <w:noProof/>
              </w:rPr>
            </w:pPr>
            <w:r>
              <w:rPr>
                <w:noProof/>
                <w:sz w:val="16"/>
              </w:rPr>
              <w:t>För in så många år som behövs för att redovisa varaktigheten för inverkan på resursanvändningen (jfr punkt 1.6)</w:t>
            </w:r>
            <w:r>
              <w:rPr>
                <w:b/>
                <w:noProof/>
                <w:sz w:val="16"/>
              </w:rPr>
              <w:t xml:space="preserve"> </w:t>
            </w:r>
          </w:p>
        </w:tc>
      </w:tr>
      <w:tr>
        <w:trPr>
          <w:trHeight w:val="437"/>
        </w:trPr>
        <w:tc>
          <w:tcPr>
            <w:tcW w:w="4763" w:type="dxa"/>
            <w:gridSpan w:val="2"/>
            <w:tcBorders>
              <w:top w:val="single" w:sz="6" w:space="0" w:color="000000"/>
              <w:left w:val="single" w:sz="12" w:space="0" w:color="000000"/>
              <w:bottom w:val="single" w:sz="6" w:space="0" w:color="000000"/>
              <w:right w:val="nil"/>
            </w:tcBorders>
            <w:vAlign w:val="center"/>
          </w:tcPr>
          <w:p>
            <w:pPr>
              <w:ind w:left="14"/>
              <w:jc w:val="left"/>
              <w:rPr>
                <w:noProof/>
              </w:rPr>
            </w:pPr>
            <w:r>
              <w:rPr>
                <w:rFonts w:ascii="Wingdings" w:eastAsia="Wingdings" w:hAnsi="Wingdings" w:cs="Wingdings"/>
                <w:noProof/>
                <w:sz w:val="18"/>
                <w:szCs w:val="18"/>
              </w:rPr>
              <w:t></w:t>
            </w:r>
            <w:r>
              <w:rPr>
                <w:b/>
                <w:noProof/>
                <w:sz w:val="16"/>
              </w:rPr>
              <w:t xml:space="preserve"> Tjänster som tas upp i tjänsteförteckningen (tjänstemän och tillfälligt anställda)</w:t>
            </w:r>
            <w:r>
              <w:rPr>
                <w:noProof/>
                <w:sz w:val="16"/>
              </w:rPr>
              <w:t xml:space="preserve"> </w:t>
            </w: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vAlign w:val="bottom"/>
          </w:tcPr>
          <w:p>
            <w:pPr>
              <w:jc w:val="left"/>
              <w:rPr>
                <w:noProof/>
              </w:rPr>
            </w:pP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tcPr>
          <w:p>
            <w:pPr>
              <w:jc w:val="left"/>
              <w:rPr>
                <w:noProof/>
              </w:rPr>
            </w:pPr>
          </w:p>
        </w:tc>
        <w:tc>
          <w:tcPr>
            <w:tcW w:w="2194" w:type="dxa"/>
            <w:gridSpan w:val="3"/>
            <w:tcBorders>
              <w:top w:val="single" w:sz="6" w:space="0" w:color="000000"/>
              <w:left w:val="nil"/>
              <w:bottom w:val="single" w:sz="6" w:space="0" w:color="000000"/>
              <w:right w:val="single" w:sz="6" w:space="0" w:color="000000"/>
            </w:tcBorders>
          </w:tcPr>
          <w:p>
            <w:pPr>
              <w:jc w:val="left"/>
              <w:rPr>
                <w:noProof/>
              </w:rPr>
            </w:pPr>
          </w:p>
        </w:tc>
      </w:tr>
      <w:tr>
        <w:trPr>
          <w:trHeight w:val="480"/>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XX 01 01 01 (vid huvudkontoret eller vid kommissionens kontor i medlemsstaterna)</w:t>
            </w: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XX 01 01 02 (vid delegationer)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XX 01 05 01/11/21 (indirekta forskningsåtgärder)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49"/>
              <w:jc w:val="left"/>
              <w:rPr>
                <w:noProof/>
              </w:rPr>
            </w:pPr>
            <w:r>
              <w:rPr>
                <w:noProof/>
                <w:sz w:val="16"/>
              </w:rPr>
              <w:t xml:space="preserve">10 01 05 01/11 (direkta forskningsåtgärder)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504"/>
        </w:trPr>
        <w:tc>
          <w:tcPr>
            <w:tcW w:w="4763" w:type="dxa"/>
            <w:gridSpan w:val="2"/>
            <w:tcBorders>
              <w:top w:val="single" w:sz="6" w:space="0" w:color="000000"/>
              <w:left w:val="single" w:sz="12" w:space="0" w:color="000000"/>
              <w:bottom w:val="single" w:sz="6" w:space="0" w:color="000000"/>
              <w:right w:val="nil"/>
            </w:tcBorders>
          </w:tcPr>
          <w:p>
            <w:pPr>
              <w:jc w:val="left"/>
              <w:rPr>
                <w:noProof/>
              </w:rPr>
            </w:pPr>
            <w:r>
              <w:rPr>
                <w:rFonts w:ascii="Wingdings" w:eastAsia="Wingdings" w:hAnsi="Wingdings" w:cs="Wingdings"/>
                <w:noProof/>
                <w:sz w:val="18"/>
                <w:szCs w:val="18"/>
              </w:rPr>
              <w:t></w:t>
            </w:r>
            <w:r>
              <w:rPr>
                <w:b/>
                <w:noProof/>
                <w:sz w:val="16"/>
              </w:rPr>
              <w:t xml:space="preserve"> Extern personal (i heltidsekvivalenter)</w:t>
            </w:r>
            <w:r>
              <w:rPr>
                <w:b/>
                <w:noProof/>
                <w:sz w:val="16"/>
                <w:vertAlign w:val="superscript"/>
              </w:rPr>
              <w:footnoteReference w:id="13"/>
            </w:r>
            <w:r>
              <w:rPr>
                <w:b/>
                <w:noProof/>
                <w:sz w:val="16"/>
              </w:rPr>
              <w:t xml:space="preserve"> </w:t>
            </w:r>
          </w:p>
          <w:p>
            <w:pPr>
              <w:jc w:val="left"/>
              <w:rPr>
                <w:noProof/>
              </w:rPr>
            </w:pPr>
            <w:r>
              <w:rPr>
                <w:noProof/>
                <w:sz w:val="16"/>
              </w:rPr>
              <w:t xml:space="preserve"> </w:t>
            </w: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vAlign w:val="bottom"/>
          </w:tcPr>
          <w:p>
            <w:pPr>
              <w:jc w:val="left"/>
              <w:rPr>
                <w:noProof/>
              </w:rPr>
            </w:pPr>
          </w:p>
        </w:tc>
        <w:tc>
          <w:tcPr>
            <w:tcW w:w="732" w:type="dxa"/>
            <w:tcBorders>
              <w:top w:val="single" w:sz="6" w:space="0" w:color="000000"/>
              <w:left w:val="nil"/>
              <w:bottom w:val="single" w:sz="6" w:space="0" w:color="000000"/>
              <w:right w:val="nil"/>
            </w:tcBorders>
          </w:tcPr>
          <w:p>
            <w:pPr>
              <w:jc w:val="left"/>
              <w:rPr>
                <w:noProof/>
              </w:rPr>
            </w:pPr>
          </w:p>
        </w:tc>
        <w:tc>
          <w:tcPr>
            <w:tcW w:w="730" w:type="dxa"/>
            <w:tcBorders>
              <w:top w:val="single" w:sz="6" w:space="0" w:color="000000"/>
              <w:left w:val="nil"/>
              <w:bottom w:val="single" w:sz="6" w:space="0" w:color="000000"/>
              <w:right w:val="nil"/>
            </w:tcBorders>
          </w:tcPr>
          <w:p>
            <w:pPr>
              <w:jc w:val="left"/>
              <w:rPr>
                <w:noProof/>
              </w:rPr>
            </w:pPr>
          </w:p>
        </w:tc>
        <w:tc>
          <w:tcPr>
            <w:tcW w:w="2194" w:type="dxa"/>
            <w:gridSpan w:val="3"/>
            <w:tcBorders>
              <w:top w:val="single" w:sz="6" w:space="0" w:color="000000"/>
              <w:left w:val="nil"/>
              <w:bottom w:val="single" w:sz="6" w:space="0" w:color="000000"/>
              <w:right w:val="single" w:sz="6" w:space="0" w:color="000000"/>
            </w:tcBorders>
          </w:tcPr>
          <w:p>
            <w:pPr>
              <w:jc w:val="left"/>
              <w:rPr>
                <w:noProof/>
              </w:rPr>
            </w:pP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XX 01 02 01 (kontraktsanställda, nationella experter och vikarier finansierade genom ramanslaget)</w:t>
            </w: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 xml:space="preserve">XX 01 02 02 (kontraktsanställda, lokalanställda, nationella experter, vikarier och unga experter som tjänstgör vid delegationerna)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526"/>
        </w:trPr>
        <w:tc>
          <w:tcPr>
            <w:tcW w:w="2384" w:type="dxa"/>
            <w:vMerge w:val="restart"/>
            <w:tcBorders>
              <w:top w:val="single" w:sz="6" w:space="0" w:color="000000"/>
              <w:left w:val="single" w:sz="12" w:space="0" w:color="000000"/>
              <w:bottom w:val="single" w:sz="6" w:space="0" w:color="000000"/>
              <w:right w:val="single" w:sz="6" w:space="0" w:color="000000"/>
            </w:tcBorders>
            <w:vAlign w:val="center"/>
          </w:tcPr>
          <w:p>
            <w:pPr>
              <w:ind w:left="152"/>
              <w:jc w:val="left"/>
              <w:rPr>
                <w:noProof/>
              </w:rPr>
            </w:pPr>
            <w:r>
              <w:rPr>
                <w:b/>
                <w:noProof/>
                <w:sz w:val="16"/>
              </w:rPr>
              <w:t>XX</w:t>
            </w:r>
            <w:r>
              <w:rPr>
                <w:noProof/>
                <w:sz w:val="16"/>
              </w:rPr>
              <w:t xml:space="preserve"> 01 04 </w:t>
            </w:r>
            <w:r>
              <w:rPr>
                <w:b/>
                <w:noProof/>
                <w:sz w:val="16"/>
              </w:rPr>
              <w:t>yy</w:t>
            </w:r>
            <w:r>
              <w:rPr>
                <w:b/>
                <w:i/>
                <w:noProof/>
                <w:sz w:val="16"/>
              </w:rPr>
              <w:t xml:space="preserve"> </w:t>
            </w:r>
            <w:r>
              <w:rPr>
                <w:b/>
                <w:i/>
                <w:noProof/>
                <w:sz w:val="16"/>
                <w:vertAlign w:val="superscript"/>
              </w:rPr>
              <w:footnoteReference w:id="14"/>
            </w:r>
          </w:p>
          <w:p>
            <w:pPr>
              <w:ind w:left="152"/>
              <w:jc w:val="left"/>
              <w:rPr>
                <w:noProof/>
              </w:rPr>
            </w:pPr>
            <w:r>
              <w:rPr>
                <w:b/>
                <w:noProof/>
                <w:sz w:val="16"/>
              </w:rPr>
              <w:t xml:space="preserve"> </w:t>
            </w:r>
          </w:p>
        </w:tc>
        <w:tc>
          <w:tcPr>
            <w:tcW w:w="2379" w:type="dxa"/>
            <w:tcBorders>
              <w:top w:val="single" w:sz="6" w:space="0" w:color="000000"/>
              <w:left w:val="single" w:sz="6" w:space="0" w:color="000000"/>
              <w:bottom w:val="single" w:sz="6" w:space="0" w:color="000000"/>
              <w:right w:val="single" w:sz="6" w:space="0" w:color="000000"/>
            </w:tcBorders>
          </w:tcPr>
          <w:p>
            <w:pPr>
              <w:ind w:left="145"/>
              <w:jc w:val="left"/>
              <w:rPr>
                <w:noProof/>
              </w:rPr>
            </w:pPr>
            <w:r>
              <w:rPr>
                <w:noProof/>
                <w:sz w:val="16"/>
              </w:rPr>
              <w:t>– vid huvudkontoret</w:t>
            </w:r>
            <w:r>
              <w:rPr>
                <w:b/>
                <w:noProof/>
                <w:sz w:val="16"/>
              </w:rPr>
              <w:t xml:space="preserve"> </w:t>
            </w:r>
          </w:p>
          <w:p>
            <w:pPr>
              <w:ind w:left="145"/>
              <w:jc w:val="left"/>
              <w:rPr>
                <w:noProof/>
              </w:rPr>
            </w:pPr>
            <w:r>
              <w:rPr>
                <w:b/>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7"/>
              <w:jc w:val="left"/>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vAlign w:val="center"/>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vAlign w:val="center"/>
          </w:tcPr>
          <w:p>
            <w:pPr>
              <w:ind w:left="7"/>
              <w:jc w:val="center"/>
              <w:rPr>
                <w:noProof/>
              </w:rPr>
            </w:pPr>
            <w:r>
              <w:rPr>
                <w:noProof/>
                <w:sz w:val="16"/>
              </w:rPr>
              <w:t xml:space="preserve"> </w:t>
            </w:r>
          </w:p>
        </w:tc>
      </w:tr>
      <w:tr>
        <w:trPr>
          <w:trHeight w:val="305"/>
        </w:trPr>
        <w:tc>
          <w:tcPr>
            <w:tcW w:w="0" w:type="auto"/>
            <w:vMerge/>
            <w:tcBorders>
              <w:top w:val="nil"/>
              <w:left w:val="single" w:sz="12" w:space="0" w:color="000000"/>
              <w:bottom w:val="single" w:sz="6" w:space="0" w:color="000000"/>
              <w:right w:val="single" w:sz="6" w:space="0" w:color="000000"/>
            </w:tcBorders>
          </w:tcPr>
          <w:p>
            <w:pPr>
              <w:jc w:val="left"/>
              <w:rPr>
                <w:noProof/>
              </w:rPr>
            </w:pPr>
          </w:p>
        </w:tc>
        <w:tc>
          <w:tcPr>
            <w:tcW w:w="2379" w:type="dxa"/>
            <w:tcBorders>
              <w:top w:val="single" w:sz="6" w:space="0" w:color="000000"/>
              <w:left w:val="single" w:sz="6" w:space="0" w:color="000000"/>
              <w:bottom w:val="single" w:sz="6" w:space="0" w:color="000000"/>
              <w:right w:val="single" w:sz="6" w:space="0" w:color="000000"/>
            </w:tcBorders>
          </w:tcPr>
          <w:p>
            <w:pPr>
              <w:ind w:left="145"/>
              <w:jc w:val="left"/>
              <w:rPr>
                <w:noProof/>
              </w:rPr>
            </w:pPr>
            <w:r>
              <w:rPr>
                <w:noProof/>
                <w:sz w:val="16"/>
              </w:rPr>
              <w:t>– vid delegationer</w:t>
            </w:r>
          </w:p>
        </w:tc>
        <w:tc>
          <w:tcPr>
            <w:tcW w:w="732" w:type="dxa"/>
            <w:tcBorders>
              <w:top w:val="single" w:sz="6" w:space="0" w:color="000000"/>
              <w:left w:val="single" w:sz="6" w:space="0" w:color="000000"/>
              <w:bottom w:val="single" w:sz="6" w:space="0" w:color="000000"/>
              <w:right w:val="single" w:sz="6" w:space="0" w:color="000000"/>
            </w:tcBorders>
          </w:tcPr>
          <w:p>
            <w:pPr>
              <w:ind w:left="7"/>
              <w:jc w:val="left"/>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5"/>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b/>
                <w:noProof/>
                <w:sz w:val="16"/>
              </w:rPr>
              <w:t>XX</w:t>
            </w:r>
            <w:r>
              <w:rPr>
                <w:noProof/>
                <w:sz w:val="16"/>
              </w:rPr>
              <w:t xml:space="preserve"> 01 05 02/12/22 (kontraktsanställda, nationella experter och vikarier som arbetar med indirekta forskningsåtgärder)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02"/>
        </w:trPr>
        <w:tc>
          <w:tcPr>
            <w:tcW w:w="4763" w:type="dxa"/>
            <w:gridSpan w:val="2"/>
            <w:tcBorders>
              <w:top w:val="single" w:sz="6" w:space="0" w:color="000000"/>
              <w:left w:val="single" w:sz="12" w:space="0" w:color="000000"/>
              <w:bottom w:val="single" w:sz="6" w:space="0" w:color="000000"/>
              <w:right w:val="single" w:sz="6" w:space="0" w:color="000000"/>
            </w:tcBorders>
          </w:tcPr>
          <w:p>
            <w:pPr>
              <w:ind w:left="152"/>
              <w:jc w:val="left"/>
              <w:rPr>
                <w:noProof/>
              </w:rPr>
            </w:pPr>
            <w:r>
              <w:rPr>
                <w:noProof/>
                <w:sz w:val="16"/>
              </w:rPr>
              <w:t xml:space="preserve">10 01 05 02/12 (kontraktsanställda, vikarier och nationella experter som arbetar med direkta forskningsåtgärder)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single" w:sz="6"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single" w:sz="6" w:space="0" w:color="000000"/>
              <w:right w:val="single" w:sz="6" w:space="0" w:color="000000"/>
            </w:tcBorders>
          </w:tcPr>
          <w:p>
            <w:pPr>
              <w:ind w:left="7"/>
              <w:jc w:val="center"/>
              <w:rPr>
                <w:noProof/>
              </w:rPr>
            </w:pPr>
            <w:r>
              <w:rPr>
                <w:noProof/>
                <w:sz w:val="16"/>
              </w:rPr>
              <w:t xml:space="preserve"> </w:t>
            </w:r>
          </w:p>
        </w:tc>
      </w:tr>
      <w:tr>
        <w:trPr>
          <w:trHeight w:val="312"/>
        </w:trPr>
        <w:tc>
          <w:tcPr>
            <w:tcW w:w="4763" w:type="dxa"/>
            <w:gridSpan w:val="2"/>
            <w:tcBorders>
              <w:top w:val="single" w:sz="6" w:space="0" w:color="000000"/>
              <w:left w:val="single" w:sz="12" w:space="0" w:color="000000"/>
              <w:bottom w:val="double" w:sz="4" w:space="0" w:color="000000"/>
              <w:right w:val="single" w:sz="6" w:space="0" w:color="000000"/>
            </w:tcBorders>
          </w:tcPr>
          <w:p>
            <w:pPr>
              <w:ind w:left="149"/>
              <w:jc w:val="left"/>
              <w:rPr>
                <w:noProof/>
              </w:rPr>
            </w:pPr>
            <w:r>
              <w:rPr>
                <w:noProof/>
                <w:sz w:val="16"/>
              </w:rPr>
              <w:t xml:space="preserve">Annan budgetrubrik (ange vilken)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12"/>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11"/>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2" w:type="dxa"/>
            <w:tcBorders>
              <w:top w:val="single" w:sz="6" w:space="0" w:color="000000"/>
              <w:left w:val="single" w:sz="6" w:space="0" w:color="000000"/>
              <w:bottom w:val="double" w:sz="4" w:space="0" w:color="000000"/>
              <w:right w:val="single" w:sz="6" w:space="0" w:color="000000"/>
            </w:tcBorders>
          </w:tcPr>
          <w:p>
            <w:pPr>
              <w:ind w:left="10"/>
              <w:jc w:val="center"/>
              <w:rPr>
                <w:noProof/>
              </w:rPr>
            </w:pPr>
            <w:r>
              <w:rPr>
                <w:noProof/>
                <w:sz w:val="16"/>
              </w:rPr>
              <w:t xml:space="preserve"> </w:t>
            </w:r>
          </w:p>
        </w:tc>
        <w:tc>
          <w:tcPr>
            <w:tcW w:w="730" w:type="dxa"/>
            <w:tcBorders>
              <w:top w:val="single" w:sz="6" w:space="0" w:color="000000"/>
              <w:left w:val="single" w:sz="6" w:space="0" w:color="000000"/>
              <w:bottom w:val="double" w:sz="4" w:space="0" w:color="000000"/>
              <w:right w:val="single" w:sz="6" w:space="0" w:color="000000"/>
            </w:tcBorders>
          </w:tcPr>
          <w:p>
            <w:pPr>
              <w:ind w:left="7"/>
              <w:jc w:val="center"/>
              <w:rPr>
                <w:noProof/>
              </w:rPr>
            </w:pPr>
            <w:r>
              <w:rPr>
                <w:noProof/>
                <w:sz w:val="16"/>
              </w:rPr>
              <w:t xml:space="preserve"> </w:t>
            </w:r>
          </w:p>
        </w:tc>
      </w:tr>
      <w:tr>
        <w:trPr>
          <w:trHeight w:val="312"/>
        </w:trPr>
        <w:tc>
          <w:tcPr>
            <w:tcW w:w="4763" w:type="dxa"/>
            <w:gridSpan w:val="2"/>
            <w:tcBorders>
              <w:top w:val="double" w:sz="4" w:space="0" w:color="000000"/>
              <w:left w:val="single" w:sz="12" w:space="0" w:color="000000"/>
              <w:bottom w:val="single" w:sz="6" w:space="0" w:color="000000"/>
              <w:right w:val="single" w:sz="6" w:space="0" w:color="000000"/>
            </w:tcBorders>
          </w:tcPr>
          <w:p>
            <w:pPr>
              <w:ind w:left="152"/>
              <w:jc w:val="left"/>
              <w:rPr>
                <w:noProof/>
              </w:rPr>
            </w:pPr>
            <w:r>
              <w:rPr>
                <w:b/>
                <w:noProof/>
                <w:sz w:val="16"/>
              </w:rPr>
              <w:t>TOTALT</w:t>
            </w:r>
            <w:r>
              <w:rPr>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12"/>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11"/>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2" w:type="dxa"/>
            <w:tcBorders>
              <w:top w:val="double" w:sz="4" w:space="0" w:color="000000"/>
              <w:left w:val="single" w:sz="6" w:space="0" w:color="000000"/>
              <w:bottom w:val="single" w:sz="6" w:space="0" w:color="000000"/>
              <w:right w:val="single" w:sz="6" w:space="0" w:color="000000"/>
            </w:tcBorders>
          </w:tcPr>
          <w:p>
            <w:pPr>
              <w:ind w:left="10"/>
              <w:jc w:val="center"/>
              <w:rPr>
                <w:noProof/>
              </w:rPr>
            </w:pPr>
            <w:r>
              <w:rPr>
                <w:b/>
                <w:noProof/>
                <w:sz w:val="16"/>
              </w:rPr>
              <w:t xml:space="preserve"> </w:t>
            </w:r>
          </w:p>
        </w:tc>
        <w:tc>
          <w:tcPr>
            <w:tcW w:w="730" w:type="dxa"/>
            <w:tcBorders>
              <w:top w:val="double" w:sz="4" w:space="0" w:color="000000"/>
              <w:left w:val="single" w:sz="6" w:space="0" w:color="000000"/>
              <w:bottom w:val="single" w:sz="6" w:space="0" w:color="000000"/>
              <w:right w:val="single" w:sz="6" w:space="0" w:color="000000"/>
            </w:tcBorders>
          </w:tcPr>
          <w:p>
            <w:pPr>
              <w:ind w:left="7"/>
              <w:jc w:val="center"/>
              <w:rPr>
                <w:noProof/>
              </w:rPr>
            </w:pPr>
            <w:r>
              <w:rPr>
                <w:b/>
                <w:noProof/>
                <w:sz w:val="16"/>
              </w:rPr>
              <w:t xml:space="preserve"> </w:t>
            </w:r>
          </w:p>
        </w:tc>
      </w:tr>
    </w:tbl>
    <w:p>
      <w:pPr>
        <w:ind w:left="862"/>
        <w:rPr>
          <w:noProof/>
        </w:rPr>
      </w:pPr>
      <w:r>
        <w:rPr>
          <w:b/>
          <w:noProof/>
          <w:sz w:val="18"/>
        </w:rPr>
        <w:t>XX</w:t>
      </w:r>
      <w:r>
        <w:rPr>
          <w:noProof/>
          <w:sz w:val="18"/>
        </w:rPr>
        <w:t xml:space="preserve"> motsvarar det politikområde eller den avdelning i budgeten som avses. </w:t>
      </w:r>
    </w:p>
    <w:p>
      <w:pPr>
        <w:ind w:left="860"/>
        <w:rPr>
          <w:noProof/>
        </w:rPr>
      </w:pPr>
      <w:r>
        <w:rPr>
          <w:noProof/>
          <w:sz w:val="18"/>
        </w:rPr>
        <w:t>Personalbehoven ska täckas med personal inom generaldirektoratet vilka redan har avdelats för förvaltningen av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ind w:left="10"/>
        <w:jc w:val="left"/>
        <w:rPr>
          <w:noProof/>
        </w:rPr>
      </w:pPr>
      <w:r>
        <w:rPr>
          <w:noProof/>
          <w:sz w:val="20"/>
        </w:rPr>
        <w:t>Beskrivning av arbetsuppgifter:</w:t>
      </w:r>
    </w:p>
    <w:tbl>
      <w:tblPr>
        <w:tblStyle w:val="TableGrid0"/>
        <w:tblW w:w="10442" w:type="dxa"/>
        <w:tblInd w:w="-540" w:type="dxa"/>
        <w:tblCellMar>
          <w:top w:w="67" w:type="dxa"/>
          <w:left w:w="108" w:type="dxa"/>
          <w:right w:w="115" w:type="dxa"/>
        </w:tblCellMar>
        <w:tblLook w:val="04A0" w:firstRow="1" w:lastRow="0" w:firstColumn="1" w:lastColumn="0" w:noHBand="0" w:noVBand="1"/>
      </w:tblPr>
      <w:tblGrid>
        <w:gridCol w:w="3241"/>
        <w:gridCol w:w="7201"/>
      </w:tblGrid>
      <w:tr>
        <w:trPr>
          <w:trHeight w:val="475"/>
        </w:trPr>
        <w:tc>
          <w:tcPr>
            <w:tcW w:w="324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Tjänstemän och tillfälligt anställda </w:t>
            </w:r>
          </w:p>
        </w:tc>
        <w:tc>
          <w:tcPr>
            <w:tcW w:w="720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 </w:t>
            </w:r>
          </w:p>
        </w:tc>
      </w:tr>
      <w:tr>
        <w:trPr>
          <w:trHeight w:val="475"/>
        </w:trPr>
        <w:tc>
          <w:tcPr>
            <w:tcW w:w="3241" w:type="dxa"/>
            <w:tcBorders>
              <w:top w:val="single" w:sz="2" w:space="0" w:color="000000"/>
              <w:left w:val="single" w:sz="2" w:space="0" w:color="000000"/>
              <w:bottom w:val="single" w:sz="2" w:space="0" w:color="000000"/>
              <w:right w:val="single" w:sz="2" w:space="0" w:color="000000"/>
            </w:tcBorders>
          </w:tcPr>
          <w:p>
            <w:pPr>
              <w:jc w:val="left"/>
              <w:rPr>
                <w:noProof/>
              </w:rPr>
            </w:pPr>
            <w:r>
              <w:rPr>
                <w:noProof/>
                <w:sz w:val="20"/>
              </w:rPr>
              <w:t xml:space="preserve">Extern personal </w:t>
            </w:r>
          </w:p>
        </w:tc>
        <w:tc>
          <w:tcPr>
            <w:tcW w:w="7201" w:type="dxa"/>
            <w:tcBorders>
              <w:top w:val="single" w:sz="2" w:space="0" w:color="000000"/>
              <w:left w:val="single" w:sz="2" w:space="0" w:color="000000"/>
              <w:bottom w:val="single" w:sz="2" w:space="0" w:color="000000"/>
              <w:right w:val="single" w:sz="2" w:space="0" w:color="000000"/>
            </w:tcBorders>
            <w:vAlign w:val="center"/>
          </w:tcPr>
          <w:p>
            <w:pPr>
              <w:jc w:val="left"/>
              <w:rPr>
                <w:noProof/>
              </w:rPr>
            </w:pPr>
            <w:r>
              <w:rPr>
                <w:noProof/>
                <w:sz w:val="20"/>
              </w:rPr>
              <w:t xml:space="preserve"> </w:t>
            </w:r>
          </w:p>
        </w:tc>
      </w:tr>
    </w:tbl>
    <w:p>
      <w:pPr>
        <w:rPr>
          <w:noProof/>
        </w:rPr>
        <w:sectPr>
          <w:headerReference w:type="default" r:id="rId26"/>
          <w:footerReference w:type="default" r:id="rId27"/>
          <w:headerReference w:type="first" r:id="rId28"/>
          <w:footerReference w:type="first" r:id="rId29"/>
          <w:pgSz w:w="11906" w:h="16841"/>
          <w:pgMar w:top="1137" w:right="1413" w:bottom="1625" w:left="1419" w:header="720" w:footer="711" w:gutter="0"/>
          <w:cols w:space="720"/>
          <w:docGrid w:linePitch="326"/>
        </w:sectPr>
      </w:pPr>
    </w:p>
    <w:p>
      <w:pPr>
        <w:pStyle w:val="ManualHeading3"/>
        <w:rPr>
          <w:noProof/>
        </w:rPr>
      </w:pPr>
      <w:r>
        <w:rPr>
          <w:noProof/>
        </w:rPr>
        <w:t xml:space="preserve">3.2.4 </w:t>
      </w:r>
      <w:r>
        <w:rPr>
          <w:noProof/>
        </w:rPr>
        <w:tab/>
        <w:t>Förenlighet med den gällande fleråriga budgetramen</w:t>
      </w:r>
    </w:p>
    <w:p>
      <w:pPr>
        <w:ind w:left="845" w:right="1633" w:hanging="860"/>
        <w:rPr>
          <w:noProof/>
        </w:rPr>
      </w:pPr>
      <w:r>
        <w:rPr>
          <w:noProof/>
        </w:rPr>
        <w:t>Förslaget/initiativet</w:t>
      </w:r>
    </w:p>
    <w:p>
      <w:pPr>
        <w:ind w:right="2"/>
        <w:rPr>
          <w:noProof/>
        </w:rPr>
      </w:pPr>
      <w:r>
        <w:rPr>
          <w:b/>
          <w:noProof/>
        </w:rPr>
        <w:t>X</w:t>
      </w:r>
      <w:r>
        <w:rPr>
          <w:noProof/>
        </w:rPr>
        <w:t xml:space="preserve"> kan finansieras fullständigt inom den berörda rubriken i den fleråriga budgetramen.</w:t>
      </w:r>
    </w:p>
    <w:p>
      <w:pPr>
        <w:ind w:right="2"/>
        <w:rPr>
          <w:noProof/>
        </w:rPr>
      </w:pPr>
      <w:r>
        <w:rPr>
          <w:rFonts w:ascii="Wingdings" w:eastAsia="Wingdings" w:hAnsi="Wingdings" w:cs="Wingdings"/>
          <w:noProof/>
        </w:rPr>
        <w:t></w:t>
      </w:r>
      <w:r>
        <w:rPr>
          <w:noProof/>
        </w:rPr>
        <w:t xml:space="preserve"> kräver användning av den outnyttjade marginalen under den relevanta rubriken i den fleråriga budgetramen och/eller användning av de särskilda instrument enligt definitionen i förordningen om den fleråriga budgetramen.</w:t>
      </w:r>
    </w:p>
    <w:p>
      <w:pPr>
        <w:pBdr>
          <w:top w:val="single" w:sz="4" w:space="0" w:color="000000"/>
          <w:left w:val="single" w:sz="4" w:space="0" w:color="000000"/>
          <w:bottom w:val="single" w:sz="4" w:space="0" w:color="000000"/>
          <w:right w:val="single" w:sz="4" w:space="0" w:color="000000"/>
        </w:pBdr>
        <w:ind w:left="845"/>
        <w:jc w:val="left"/>
        <w:rPr>
          <w:noProof/>
        </w:rPr>
      </w:pPr>
      <w:r>
        <w:rPr>
          <w:noProof/>
          <w:sz w:val="20"/>
        </w:rPr>
        <w:t>Beskriv vad som krävs, ange berörda rubriker och budgetrubriker, motsvarande belopp och de instrument som är föreslagna för användning.</w:t>
      </w:r>
    </w:p>
    <w:p>
      <w:pPr>
        <w:ind w:right="2"/>
        <w:rPr>
          <w:noProof/>
        </w:rPr>
      </w:pPr>
      <w:r>
        <w:rPr>
          <w:rFonts w:ascii="Wingdings" w:eastAsia="Wingdings" w:hAnsi="Wingdings" w:cs="Wingdings"/>
          <w:noProof/>
        </w:rPr>
        <w:t></w:t>
      </w:r>
      <w:r>
        <w:rPr>
          <w:noProof/>
        </w:rPr>
        <w:t xml:space="preserve"> kräver en översyn av den fleråriga budgetramen.</w:t>
      </w:r>
    </w:p>
    <w:p>
      <w:pPr>
        <w:pBdr>
          <w:top w:val="single" w:sz="4" w:space="0" w:color="000000"/>
          <w:left w:val="single" w:sz="4" w:space="0" w:color="000000"/>
          <w:bottom w:val="single" w:sz="4" w:space="0" w:color="000000"/>
          <w:right w:val="single" w:sz="4" w:space="0" w:color="000000"/>
        </w:pBdr>
        <w:ind w:left="845"/>
        <w:jc w:val="left"/>
        <w:rPr>
          <w:noProof/>
        </w:rPr>
      </w:pPr>
      <w:r>
        <w:rPr>
          <w:noProof/>
          <w:sz w:val="20"/>
        </w:rPr>
        <w:t>Beskriv vad som krävs, ange berörda rubriker och budgetrubriker samt de motsvarande beloppen.</w:t>
      </w:r>
    </w:p>
    <w:p>
      <w:pPr>
        <w:pStyle w:val="ManualHeading3"/>
        <w:rPr>
          <w:noProof/>
        </w:rPr>
      </w:pPr>
      <w:r>
        <w:rPr>
          <w:noProof/>
        </w:rPr>
        <w:t xml:space="preserve">3.2.5 </w:t>
      </w:r>
      <w:r>
        <w:rPr>
          <w:noProof/>
        </w:rPr>
        <w:tab/>
        <w:t>Bidrag från tredje part</w:t>
      </w:r>
    </w:p>
    <w:p>
      <w:pPr>
        <w:ind w:left="845" w:right="5320" w:hanging="860"/>
        <w:rPr>
          <w:noProof/>
        </w:rPr>
      </w:pPr>
      <w:r>
        <w:rPr>
          <w:noProof/>
        </w:rPr>
        <w:t>Förslaget/initiativet</w:t>
      </w:r>
    </w:p>
    <w:p>
      <w:pPr>
        <w:ind w:right="2"/>
        <w:rPr>
          <w:noProof/>
        </w:rPr>
      </w:pPr>
      <w:r>
        <w:rPr>
          <w:b/>
          <w:noProof/>
        </w:rPr>
        <w:t xml:space="preserve">X </w:t>
      </w:r>
      <w:r>
        <w:rPr>
          <w:noProof/>
        </w:rPr>
        <w:t>innehåller inga bestämmelser om samfinansiering från tredje parter</w:t>
      </w:r>
    </w:p>
    <w:p>
      <w:pPr>
        <w:ind w:right="2"/>
        <w:rPr>
          <w:noProof/>
        </w:rPr>
      </w:pPr>
      <w:r>
        <w:rPr>
          <w:noProof/>
        </w:rPr>
        <w:t>innehåller bestämmelser om samfinansiering från tredje parter enligt följande uppskattning:</w:t>
      </w:r>
    </w:p>
    <w:p>
      <w:pPr>
        <w:ind w:left="10" w:right="-7"/>
        <w:jc w:val="right"/>
        <w:rPr>
          <w:noProof/>
        </w:rPr>
      </w:pPr>
      <w:r>
        <w:rPr>
          <w:noProof/>
          <w:sz w:val="20"/>
        </w:rPr>
        <w:t>Anslag i euro</w:t>
      </w:r>
    </w:p>
    <w:p>
      <w:pPr>
        <w:pStyle w:val="ManualHeading2"/>
        <w:rPr>
          <w:noProof/>
        </w:rPr>
      </w:pPr>
      <w:r>
        <w:rPr>
          <w:noProof/>
        </w:rPr>
        <w:t xml:space="preserve">3.3 </w:t>
      </w:r>
      <w:r>
        <w:rPr>
          <w:noProof/>
        </w:rPr>
        <w:tab/>
        <w:t>Beräknad inverkan på inkomsterna</w:t>
      </w:r>
    </w:p>
    <w:p>
      <w:pPr>
        <w:pStyle w:val="ListDash1"/>
        <w:rPr>
          <w:noProof/>
        </w:rPr>
      </w:pPr>
      <w:r>
        <w:rPr>
          <w:b/>
          <w:noProof/>
        </w:rPr>
        <w:t>X</w:t>
      </w:r>
      <w:r>
        <w:rPr>
          <w:noProof/>
        </w:rPr>
        <w:t xml:space="preserve"> Förslaget/initiativet påverkar inte budgetens inkomstsida.</w:t>
      </w:r>
    </w:p>
    <w:p>
      <w:pPr>
        <w:pStyle w:val="ListDash1"/>
        <w:rPr>
          <w:noProof/>
        </w:rPr>
      </w:pPr>
      <w:r>
        <w:rPr>
          <w:noProof/>
        </w:rPr>
        <w:sym w:font="Wingdings" w:char="F0A8"/>
      </w:r>
      <w:r>
        <w:rPr>
          <w:noProof/>
        </w:rPr>
        <w:t xml:space="preserve"> Förslaget/initiativet påverkar inkomsterna på följande sätt:</w:t>
      </w:r>
    </w:p>
    <w:p>
      <w:pPr>
        <w:pStyle w:val="ListNumberLevel3"/>
        <w:rPr>
          <w:noProof/>
        </w:rPr>
      </w:pPr>
      <w:r>
        <w:rPr>
          <w:rFonts w:ascii="Wingdings" w:eastAsia="Wingdings" w:hAnsi="Wingdings" w:cs="Wingdings"/>
          <w:noProof/>
        </w:rPr>
        <w:t></w:t>
      </w:r>
      <w:r>
        <w:rPr>
          <w:noProof/>
        </w:rPr>
        <w:t xml:space="preserve"> </w:t>
      </w:r>
      <w:r>
        <w:rPr>
          <w:noProof/>
        </w:rPr>
        <w:tab/>
        <w:t>Påverkan på egna medel</w:t>
      </w:r>
    </w:p>
    <w:p>
      <w:pPr>
        <w:pStyle w:val="ListNumberLevel3"/>
        <w:rPr>
          <w:noProof/>
        </w:rPr>
      </w:pPr>
      <w:r>
        <w:rPr>
          <w:rFonts w:ascii="Wingdings" w:eastAsia="Wingdings" w:hAnsi="Wingdings" w:cs="Wingdings"/>
          <w:noProof/>
        </w:rPr>
        <w:t></w:t>
      </w:r>
      <w:r>
        <w:rPr>
          <w:noProof/>
        </w:rPr>
        <w:t xml:space="preserve"> </w:t>
      </w:r>
      <w:r>
        <w:rPr>
          <w:noProof/>
        </w:rPr>
        <w:tab/>
        <w:t>Påverkan på andra inkomster</w:t>
      </w:r>
    </w:p>
    <w:p>
      <w:pPr>
        <w:pStyle w:val="ListNumberLevel3"/>
        <w:rPr>
          <w:noProof/>
        </w:rPr>
      </w:pPr>
      <w:r>
        <w:rPr>
          <w:noProof/>
        </w:rPr>
        <w:t>Ange om inkomsterna har avsatts för utgiftsposter X</w:t>
      </w:r>
    </w:p>
    <w:p>
      <w:pPr>
        <w:ind w:left="3161" w:right="2854"/>
        <w:jc w:val="center"/>
        <w:rPr>
          <w:noProof/>
        </w:rPr>
      </w:pPr>
      <w:r>
        <w:rPr>
          <w:noProof/>
        </w:rPr>
        <w:t xml:space="preserve">     euro</w:t>
      </w:r>
    </w:p>
    <w:p>
      <w:pPr>
        <w:ind w:left="845"/>
        <w:jc w:val="left"/>
        <w:rPr>
          <w:noProof/>
        </w:rPr>
      </w:pPr>
      <w:r>
        <w:rPr>
          <w:noProof/>
          <w:sz w:val="20"/>
        </w:rPr>
        <w:t>För inkomster avsatta för särskilda ändamål, ange vilka budgetrubriker i utgiftsdelen som berörs.</w:t>
      </w:r>
    </w:p>
    <w:p>
      <w:pPr>
        <w:pBdr>
          <w:top w:val="single" w:sz="4" w:space="0" w:color="000000"/>
          <w:left w:val="single" w:sz="4" w:space="0" w:color="000000"/>
          <w:bottom w:val="single" w:sz="4" w:space="0" w:color="000000"/>
          <w:right w:val="single" w:sz="4" w:space="0" w:color="000000"/>
        </w:pBdr>
        <w:ind w:left="845"/>
        <w:rPr>
          <w:noProof/>
        </w:rPr>
      </w:pPr>
      <w:r>
        <w:rPr>
          <w:noProof/>
        </w:rPr>
        <w:t>Inte tillämpligt.</w:t>
      </w:r>
    </w:p>
    <w:p>
      <w:pPr>
        <w:ind w:left="845"/>
        <w:jc w:val="left"/>
        <w:rPr>
          <w:noProof/>
        </w:rPr>
      </w:pPr>
      <w:r>
        <w:rPr>
          <w:noProof/>
          <w:sz w:val="20"/>
        </w:rPr>
        <w:t>Övriga anmärkningar (t.ex. vilken metod/formel som har använts för att beräkna inverkan på inkomsterna eller andra relevanta uppgifter).</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w:t>
      </w:r>
    </w:p>
  </w:footnote>
  <w:footnote w:id="2">
    <w:p>
      <w:pPr>
        <w:pStyle w:val="FootnoteText"/>
      </w:pPr>
      <w:r>
        <w:rPr>
          <w:rStyle w:val="FootnoteReference"/>
        </w:rPr>
        <w:footnoteRef/>
      </w:r>
      <w:r>
        <w:tab/>
        <w:t>[…]</w:t>
      </w:r>
    </w:p>
  </w:footnote>
  <w:footnote w:id="3">
    <w:p>
      <w:pPr>
        <w:pStyle w:val="FootnoteText"/>
        <w:ind w:left="0" w:firstLine="0"/>
      </w:pPr>
      <w:r>
        <w:rPr>
          <w:rStyle w:val="FootnoteReference"/>
        </w:rPr>
        <w:footnoteRef/>
      </w:r>
      <w:r>
        <w:tab/>
        <w:t>Europaparlamentets och rådets förordning (EU) nr 1288/2013 av den 11 december 2013 om inrättande av ”Erasmus+”: Unionens program för allmän utbildning, yrkesutbildning, ungdom och idrott och om upphävande av besluten nr 1719/2006/EG, nr 1720/2006/EG och nr 1298/2008/EG (EUT L 347, 20.12.2013, s. 50).</w:t>
      </w:r>
    </w:p>
  </w:footnote>
  <w:footnote w:id="4">
    <w:p>
      <w:pPr>
        <w:pStyle w:val="footnotedescription"/>
        <w:spacing w:line="249" w:lineRule="auto"/>
        <w:ind w:left="142" w:hanging="142"/>
        <w:rPr>
          <w:lang w:val="sv-SE"/>
        </w:rPr>
      </w:pPr>
      <w:r>
        <w:rPr>
          <w:rStyle w:val="footnotemark"/>
        </w:rPr>
        <w:footnoteRef/>
      </w:r>
      <w:r>
        <w:rPr>
          <w:lang w:val="sv-SE"/>
        </w:rPr>
        <w:t xml:space="preserve"> Närmare förklaringar av de olika metoderna för genomförande med hänvisningar till respektive bestämmelser i budgetförordningen återfinns på BudgWeb: </w:t>
      </w:r>
      <w:hyperlink r:id="rId1">
        <w:r>
          <w:rPr>
            <w:color w:val="0000FF"/>
            <w:u w:val="single" w:color="0000FF"/>
            <w:lang w:val="sv-SE"/>
          </w:rPr>
          <w:t>https://myintracomm.ec.europa.eu/budgweb/EN/man/budgmanag/Pages/budgmanag.aspx</w:t>
        </w:r>
      </w:hyperlink>
      <w:hyperlink r:id="rId2">
        <w:r>
          <w:rPr>
            <w:lang w:val="sv-SE"/>
          </w:rPr>
          <w:t xml:space="preserve"> </w:t>
        </w:r>
      </w:hyperlink>
    </w:p>
  </w:footnote>
  <w:footnote w:id="5">
    <w:p>
      <w:pPr>
        <w:pStyle w:val="FootnoteText"/>
        <w:tabs>
          <w:tab w:val="left" w:pos="720"/>
          <w:tab w:val="left" w:pos="1440"/>
          <w:tab w:val="left" w:pos="2160"/>
          <w:tab w:val="left" w:pos="2880"/>
          <w:tab w:val="left" w:pos="3600"/>
          <w:tab w:val="left" w:pos="4320"/>
          <w:tab w:val="left" w:pos="5040"/>
          <w:tab w:val="left" w:pos="5760"/>
          <w:tab w:val="left" w:pos="6480"/>
          <w:tab w:val="left" w:pos="7200"/>
          <w:tab w:val="right" w:pos="9071"/>
        </w:tabs>
        <w:rPr>
          <w:szCs w:val="24"/>
        </w:rPr>
      </w:pPr>
      <w:r>
        <w:rPr>
          <w:rStyle w:val="FootnoteReference"/>
        </w:rPr>
        <w:footnoteRef/>
      </w:r>
      <w:r>
        <w:rPr>
          <w:lang w:val="de-DE"/>
        </w:rPr>
        <w:tab/>
        <w:t xml:space="preserve">Diff. = differentierade anslag / Icke-diff. </w:t>
      </w:r>
      <w:r>
        <w:t>= icke-differentierade anslag.</w:t>
      </w:r>
      <w:r>
        <w:tab/>
      </w:r>
    </w:p>
  </w:footnote>
  <w:footnote w:id="6">
    <w:p>
      <w:pPr>
        <w:pStyle w:val="FootnoteText"/>
        <w:rPr>
          <w:szCs w:val="24"/>
        </w:rPr>
      </w:pPr>
      <w:r>
        <w:rPr>
          <w:rStyle w:val="FootnoteReference"/>
        </w:rPr>
        <w:footnoteRef/>
      </w:r>
      <w:r>
        <w:tab/>
        <w:t>Efta: Europeiska frihandelssammanslutningen.</w:t>
      </w:r>
    </w:p>
  </w:footnote>
  <w:footnote w:id="7">
    <w:p>
      <w:pPr>
        <w:pStyle w:val="FootnoteText"/>
        <w:rPr>
          <w:szCs w:val="24"/>
        </w:rPr>
      </w:pPr>
      <w:r>
        <w:rPr>
          <w:rStyle w:val="FootnoteReference"/>
        </w:rPr>
        <w:footnoteRef/>
      </w:r>
      <w:r>
        <w:tab/>
        <w:t>Kandidatländer och i förekommande fall potentiella kandidatländer i västra Balkan.</w:t>
      </w:r>
    </w:p>
  </w:footnote>
  <w:footnote w:id="8">
    <w:p>
      <w:pPr>
        <w:pStyle w:val="footnotedescription"/>
        <w:spacing w:line="260" w:lineRule="auto"/>
        <w:ind w:left="142" w:hanging="142"/>
        <w:jc w:val="both"/>
        <w:rPr>
          <w:lang w:val="sv-SE"/>
        </w:rPr>
      </w:pPr>
      <w:r>
        <w:rPr>
          <w:rStyle w:val="footnotemark"/>
        </w:rPr>
        <w:footnoteRef/>
      </w:r>
      <w:r>
        <w:rPr>
          <w:lang w:val="sv-SE"/>
        </w:rPr>
        <w:t xml:space="preserve"> </w:t>
      </w:r>
      <w:r>
        <w:rPr>
          <w:sz w:val="18"/>
          <w:lang w:val="sv-SE"/>
        </w:rPr>
        <w:t>Med år n avses det år då förslaget eller initiativet ska börja genomföras. Ersätt ”n” med det förväntade första genomförandeåret (till exempel 2021). Detsamma för följande år.</w:t>
      </w:r>
    </w:p>
  </w:footnote>
  <w:footnote w:id="9">
    <w:p>
      <w:pPr>
        <w:pStyle w:val="footnotedescription"/>
        <w:tabs>
          <w:tab w:val="center" w:pos="5869"/>
        </w:tabs>
        <w:spacing w:after="28"/>
        <w:rPr>
          <w:lang w:val="sv-SE"/>
        </w:rPr>
      </w:pPr>
      <w:r>
        <w:rPr>
          <w:rStyle w:val="footnotemark"/>
        </w:rPr>
        <w:footnoteRef/>
      </w:r>
      <w:r>
        <w:rPr>
          <w:lang w:val="sv-SE"/>
        </w:rPr>
        <w:t xml:space="preserve"> Output som ska anges är de produkter eller tjänster som levererats (t.ex. antal studentutbyten som har finansierats eller antal kilometer väg som har byggts).</w:t>
      </w:r>
    </w:p>
  </w:footnote>
  <w:footnote w:id="10">
    <w:p>
      <w:pPr>
        <w:pStyle w:val="footnotedescription"/>
        <w:tabs>
          <w:tab w:val="center" w:pos="2837"/>
        </w:tabs>
        <w:rPr>
          <w:lang w:val="sv-SE"/>
        </w:rPr>
      </w:pPr>
      <w:r>
        <w:rPr>
          <w:rStyle w:val="footnotemark"/>
        </w:rPr>
        <w:footnoteRef/>
      </w:r>
      <w:r>
        <w:rPr>
          <w:lang w:val="sv-SE"/>
        </w:rPr>
        <w:t xml:space="preserve"> Mål som redovisats under punkt 1.4.2: ”Specifikt/specifika mål…”.</w:t>
      </w:r>
    </w:p>
  </w:footnote>
  <w:footnote w:id="11">
    <w:p>
      <w:pPr>
        <w:rPr>
          <w:highlight w:val="yellow"/>
        </w:rPr>
      </w:pPr>
      <w:r>
        <w:rPr>
          <w:rStyle w:val="FootnoteReference"/>
        </w:rPr>
        <w:footnoteRef/>
      </w:r>
      <w:r>
        <w:t xml:space="preserve"> </w:t>
      </w:r>
      <w:r>
        <w:rPr>
          <w:sz w:val="18"/>
        </w:rPr>
        <w:t>Med år n avses det år då förslaget eller initiativet ska börja genomföras. Ersätt ”n” med det förväntade första genomförandeåret (till exempel 2021). Detsamma för följande år.</w:t>
      </w:r>
    </w:p>
  </w:footnote>
  <w:footnote w:id="12">
    <w:p>
      <w:r>
        <w:rPr>
          <w:rStyle w:val="FootnoteReference"/>
        </w:rPr>
        <w:footnoteRef/>
      </w:r>
      <w:r>
        <w:t xml:space="preserve"> </w:t>
      </w:r>
      <w:r>
        <w:rPr>
          <w:sz w:val="18"/>
        </w:rPr>
        <w:t>Detta avser tekniskt eller administrativt stöd för genomförandet av vissa av Europeiska unionens program och åtgärder (tidigare s.k. BA-poster) samt indirekta och direkta forskningsåtgärder.</w:t>
      </w:r>
    </w:p>
    <w:p>
      <w:pPr>
        <w:pStyle w:val="FootnoteText"/>
      </w:pPr>
    </w:p>
  </w:footnote>
  <w:footnote w:id="13">
    <w:p>
      <w:pPr>
        <w:pStyle w:val="footnotedescription"/>
        <w:spacing w:line="262" w:lineRule="auto"/>
        <w:ind w:left="142" w:hanging="142"/>
        <w:jc w:val="both"/>
        <w:rPr>
          <w:lang w:val="sv-SE"/>
        </w:rPr>
      </w:pPr>
      <w:r>
        <w:rPr>
          <w:rStyle w:val="footnotemark"/>
        </w:rPr>
        <w:footnoteRef/>
      </w:r>
      <w:r>
        <w:rPr>
          <w:lang w:val="sv-SE"/>
        </w:rPr>
        <w:t xml:space="preserve"> [Denna fotnot förklarar vissa initialförkortningar som inte används i den svenska versionen].</w:t>
      </w:r>
    </w:p>
  </w:footnote>
  <w:footnote w:id="14">
    <w:p>
      <w:pPr>
        <w:pStyle w:val="footnotedescription"/>
        <w:tabs>
          <w:tab w:val="center" w:pos="4248"/>
        </w:tabs>
        <w:rPr>
          <w:lang w:val="sv-SE"/>
        </w:rPr>
      </w:pPr>
      <w:r>
        <w:rPr>
          <w:rStyle w:val="footnotemark"/>
        </w:rPr>
        <w:footnoteRef/>
      </w:r>
      <w:r>
        <w:rPr>
          <w:lang w:val="sv-SE"/>
        </w:rPr>
        <w:t xml:space="preserve"> Särskilt tak för finansiering av extern personal genom driftsanslag (tidigare s.k. BA-poster).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11"/>
    <w:lvlOverride w:ilvl="0">
      <w:startOverride w:val="1"/>
    </w:lvlOverride>
  </w:num>
  <w:num w:numId="17">
    <w:abstractNumId w:val="21"/>
  </w:num>
  <w:num w:numId="18">
    <w:abstractNumId w:val="11"/>
  </w:num>
  <w:num w:numId="19">
    <w:abstractNumId w:val="24"/>
  </w:num>
  <w:num w:numId="20">
    <w:abstractNumId w:val="6"/>
  </w:num>
  <w:num w:numId="21">
    <w:abstractNumId w:val="12"/>
  </w:num>
  <w:num w:numId="22">
    <w:abstractNumId w:val="4"/>
  </w:num>
  <w:num w:numId="23">
    <w:abstractNumId w:val="23"/>
  </w:num>
  <w:num w:numId="24">
    <w:abstractNumId w:val="3"/>
  </w:num>
  <w:num w:numId="25">
    <w:abstractNumId w:val="13"/>
  </w:num>
  <w:num w:numId="26">
    <w:abstractNumId w:val="19"/>
  </w:num>
  <w:num w:numId="27">
    <w:abstractNumId w:val="20"/>
  </w:num>
  <w:num w:numId="28">
    <w:abstractNumId w:val="5"/>
  </w:num>
  <w:num w:numId="29">
    <w:abstractNumId w:val="17"/>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0 15:54: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D8E2E1A9-198B-4BB3-BB36-532ADD0AB0DF"/>
    <w:docVar w:name="LW_COVERPAGE_TYPE" w:val="1"/>
    <w:docVar w:name="LW_CROSSREFERENCE" w:val="&lt;UNUSED&gt;"/>
    <w:docVar w:name="LW_DocType" w:val="COM"/>
    <w:docVar w:name="LW_EMISSION" w:val="30.1.2019"/>
    <w:docVar w:name="LW_EMISSION_ISODATE" w:val="2019-01-30"/>
    <w:docVar w:name="LW_EMISSION_LOCATION" w:val="BRX"/>
    <w:docVar w:name="LW_EMISSION_PREFIX" w:val="Bryssel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COD"/>
    <w:docVar w:name="LW_REF.II.NEW.CP_NUMBER" w:val="0030"/>
    <w:docVar w:name="LW_REF.II.NEW.CP_YEAR" w:val="2019"/>
    <w:docVar w:name="LW_REF.INST.NEW" w:val="COM"/>
    <w:docVar w:name="LW_REF.INST.NEW_ADOPTED" w:val="final"/>
    <w:docVar w:name="LW_REF.INST.NEW_TEXT" w:val="(2019) 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örslag till"/>
    <w:docVar w:name="LW_SUPERTITRE" w:val="&lt;UNUSED&gt;"/>
    <w:docVar w:name="LW_TITRE.OBJ.CP" w:val="om bestämmelser för att möjliggöra en fortsättning av pågående rörlighet i utbildningssyfte inom programmet Erasmus+ i samband med Förenade kungariket Storbritannien och Nordirlands utträde ur Europeiska unionen"/>
    <w:docVar w:name="LW_TYPE.DOC.CP" w:val="EUROPAPARLAMENTETS OCH RÅDETS FÖ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v-SE" w:eastAsia="sv-S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sv-SE" w:eastAsia="sv-SE"/>
    </w:rPr>
  </w:style>
  <w:style w:type="paragraph" w:styleId="BalloonText">
    <w:name w:val="Balloon Text"/>
    <w:basedOn w:val="Normal"/>
    <w:link w:val="BalloonTextChar"/>
    <w:uiPriority w:val="99"/>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sv-SE" w:eastAsia="sv-S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sv-S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sv-SE" w:eastAsia="sv-SE"/>
    </w:rPr>
  </w:style>
  <w:style w:type="paragraph" w:customStyle="1" w:styleId="footnotedescription">
    <w:name w:val="footnote description"/>
    <w:next w:val="Normal"/>
    <w:link w:val="footnotedescriptionChar"/>
    <w:hidden/>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sv-SE" w:eastAsia="sv-SE"/>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pPr>
      <w:spacing w:before="0" w:after="111" w:line="249" w:lineRule="auto"/>
      <w:ind w:left="720" w:hanging="10"/>
      <w:contextualSpacing/>
    </w:pPr>
    <w:rPr>
      <w:rFonts w:eastAsia="Times New Roman"/>
      <w:color w:val="000000"/>
    </w:rPr>
  </w:style>
  <w:style w:type="paragraph" w:customStyle="1" w:styleId="Default">
    <w:name w:val="Default"/>
    <w:basedOn w:val="Normal"/>
    <w:pPr>
      <w:autoSpaceDE w:val="0"/>
      <w:autoSpaceDN w:val="0"/>
      <w:spacing w:before="0" w:after="0"/>
      <w:jc w:val="left"/>
    </w:pPr>
    <w:rPr>
      <w:rFonts w:ascii="Arial" w:hAnsi="Arial" w:cs="Arial"/>
      <w:color w:val="000000"/>
      <w:szCs w:val="24"/>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sv-SE" w:eastAsia="sv-S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sv-SE" w:eastAsia="sv-SE"/>
    </w:rPr>
  </w:style>
  <w:style w:type="paragraph" w:styleId="BalloonText">
    <w:name w:val="Balloon Text"/>
    <w:basedOn w:val="Normal"/>
    <w:link w:val="BalloonTextChar"/>
    <w:uiPriority w:val="99"/>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sv-SE" w:eastAsia="sv-SE"/>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sv-SE"/>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sv-SE" w:eastAsia="sv-SE"/>
    </w:rPr>
  </w:style>
  <w:style w:type="paragraph" w:customStyle="1" w:styleId="footnotedescription">
    <w:name w:val="footnote description"/>
    <w:next w:val="Normal"/>
    <w:link w:val="footnotedescriptionChar"/>
    <w:hidden/>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sv-SE" w:eastAsia="sv-SE"/>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pPr>
      <w:spacing w:before="0" w:after="111" w:line="249" w:lineRule="auto"/>
      <w:ind w:left="720" w:hanging="10"/>
      <w:contextualSpacing/>
    </w:pPr>
    <w:rPr>
      <w:rFonts w:eastAsia="Times New Roman"/>
      <w:color w:val="000000"/>
    </w:rPr>
  </w:style>
  <w:style w:type="paragraph" w:customStyle="1" w:styleId="Default">
    <w:name w:val="Default"/>
    <w:basedOn w:val="Normal"/>
    <w:pPr>
      <w:autoSpaceDE w:val="0"/>
      <w:autoSpaceDN w:val="0"/>
      <w:spacing w:before="0" w:after="0"/>
      <w:jc w:val="left"/>
    </w:pPr>
    <w:rPr>
      <w:rFonts w:ascii="Arial" w:hAnsi="Arial" w:cs="Arial"/>
      <w:color w:val="000000"/>
      <w:szCs w:val="24"/>
    </w:r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EN/leg/internal/Documents/2016-5-legislative-financial-statement-ann-en.docx"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myintracomm.ec.europa.eu/budgweb/EN/leg/internal/Documents/2016-5-legislative-financial-statement-ann-en.doc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myintracomm.ec.europa.eu/budgweb/EN/leg/internal/Documents/2016-5-legislative-financial-statement-ann-en.docx"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s://myintracomm.ec.europa.eu/budgweb/EN/leg/internal/Documents/2016-5-legislative-financial-statement-ann-en.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6C61AD-A14B-45DC-A35B-0496B351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3417</Words>
  <Characters>21357</Characters>
  <Application>Microsoft Office Word</Application>
  <DocSecurity>0</DocSecurity>
  <Lines>1186</Lines>
  <Paragraphs>406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dcterms:created xsi:type="dcterms:W3CDTF">2019-01-30T14:18:00Z</dcterms:created>
  <dcterms:modified xsi:type="dcterms:W3CDTF">2019-01-30T14:54:00Z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