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F435AA53-724F-45E7-B2DE-E726ED899929" style="width:450.8pt;height:379.35pt">
            <v:imagedata r:id="rId13" o:title=""/>
          </v:shape>
        </w:pict>
      </w:r>
    </w:p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dniu 29 marca 2017 r. Zjednoczone Królestwo złożyło notyfikację o zamiarze wystąpienia z Unii Europejskiej zgodnie z art. 50 Traktatu o Unii Europejskiej. Oznacza to, że jeśli umowa o wystąpieniu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nie zostanie ratyfikowana, unijne prawo pierwotne i wtórne przestanie się stosować do Zjednoczonego Królestwa od dnia 30 marca 2019 r. („data wystąpienia”). Zjednoczone Królestwo stanie się wtedy „państwem trzecim”.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komunikacie Komisji pt. „Przygotowania do wystąpienia Zjednoczonego Królestwa z Unii Europejskiej w dniu 30 marca 2019 r.: Plan działania awaryjnego”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stwierdzono, że „Komisja zobowiązała się również do zapewnienia kontynuacji obecnych programów PEACE i INTERREG, które są realizowane pomiędzy granicznymi hrabstwami Irlandii i Irlandii Północnej i w których Zjednoczone Królestwo jest partnerem”.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dniu 13 grudnia 2018 r. Rada Europejska (art. 50) ponowiła swoje wezwanie do nasilenia prac mających na celu zapewnienie na wszystkich szczeblach gotowości do stawienia czoła konsekwencjom wystąpienia Zjednoczonego Królestwa z Unii, z uwzględnieniem wszystkich możliwych scenariuszy. Niniejszy akt stanowi element pakietu środków, które Komisja przyjmuje w odpowiedzi na to wezwanie.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Niniejszy wniosek ma na celu zapewnienie kontynuacji dwóch programów współpracy dwustronnej, które dotyczą Irlandii – a mianowicie programu PEACE IV (Irlandia – Zjednoczone Królestwo) oraz programu Zjednoczone Królestwo – Irlandia (Irlandia – Irlandia Północna – Szkocja).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Celem niniejszego wniosku jest kontynuacja istniejących programów.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Niniejszy wniosek jest w pełni zgodny z mandatem Rady do prowadzenia rokowań ze Zjednoczonym Królestwem dotyczących jego wystąpienia z Unii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r>
        <w:rPr>
          <w:rStyle w:val="CommentReference"/>
          <w:rFonts w:asciiTheme="minorHAnsi" w:hAnsiTheme="minorHAnsi" w:cstheme="minorBidi"/>
          <w:noProof/>
        </w:rPr>
        <w:t xml:space="preserve">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Art. 178 TFUE.•</w:t>
      </w:r>
      <w:r>
        <w:rPr>
          <w:noProof/>
        </w:rPr>
        <w:tab/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 związku z tym, że celem proponowanego aktu jest zapewnienie kontynuacji dwóch programów współpracy objętych rozporządzeniem (UE) nr 1299/2013, zgodność tych programów z zasadą pomocniczości została już zbadana w momencie przyjęcia tego rozporządzenia.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Wniosek uznaje się za proporcjonalny, ponieważ przewiduje on niezbędne zmiany prawne, a jednocześnie nie wykracza poza to, co jest konieczne do zapewnienia należytej kontynuacji dwóch programów współpracy Północ–Południe obejmujących terytorium Irlandii Północnej.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Biorąc pod uwagę, że akt opiera się na rozporządzeniu (UE) nr 1299/2013, przedstawienie wniosku dotyczącego rozporządzenia jest jedyną odpowiednią formą.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 uwagi na fakt, że niniejsze rozporządzenie, które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, będzie miało zastosowanie tylko wówczas, gdy umowa o wystąpieniu zawarta ze Zjednoczonym Królestwem zgodnie z art. 50 ust. 2 Traktatu o Unii Europejskiej nie wejdzie w życie do dnia zaprzestania stosowania Traktatów do Zjednoczonego Królestwa i w Zjednoczonym Królestwie, proponowany akt ad hoc jest bardziej odpowiedni niż rozporządzenie w formie aktu zmieniającego.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Ze względu na pilną potrzebę przygotowania wniosku w celu jego terminowego przyjęcia przez współprawodawców nie można było przeprowadzić konsultacji z zainteresowanymi stronami.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 w:themeColor="text1"/>
        </w:rPr>
        <w:t xml:space="preserve">Ze względu na charakter proponowanego środka nie przeprowadzono oceny skutków zgodnie z wytycznymi dotyczącymi lepszego stanowienia prawa. Nie istnieją inne, istotnie odmienne warianty strategiczne. </w:t>
      </w:r>
      <w:r>
        <w:rPr>
          <w:noProof/>
        </w:rPr>
        <w:t>Planowany środek stanowi jedyny realny wariant strategiczny umożliwiający zapewnienie należytej kontynuacji dwóch programów współpracy dwustronnej, które dotyczą Irlandii – a mianowicie programu PEACE IV (Irlandia – Zjednoczone Królestwo) oraz programu Zjednoczone Królestwo – Irlandia (Irlandia – Irlandia Północna – Szkocja) – po wystąpieniu Zjednoczonego Królestwa z Unii.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</w:rPr>
      </w:pPr>
      <w:r>
        <w:rPr>
          <w:noProof/>
        </w:rPr>
        <w:t>Niniejszy wniosek ma na celu, w przypadku braku ratyfikacji umowy o wystąpieniu, zapewnienie kontynuacji dwóch programów współpracy dwustronnej, które dotyczą Irlandii, a mianowicie programu PEACE IV (Irlandia – Zjednoczone Królestwo) oraz programu Zjednoczone Królestwo – Irlandia (Irlandia – Irlandia Północna – Szkocja), bez zmiany kwot przydzielonych na te programy i ich finansowania.</w:t>
      </w:r>
      <w:r>
        <w:rPr>
          <w:noProof/>
          <w:color w:val="000000" w:themeColor="text1"/>
        </w:rPr>
        <w:t xml:space="preserve"> Te dwa programy będą w dalszym ciągu finansowane z budżetu Unii. Możliwość przeprowadzenia niezbędnych kontroli i audytów we wszystkich uczestniczących regionach musi zostać potwierdzona w drodze porozumienia między Komisją a organami Zjednoczonego Królestwa i będzie stanowić warunek finansowania. </w:t>
      </w:r>
    </w:p>
    <w:p>
      <w:pPr>
        <w:rPr>
          <w:noProof/>
        </w:rPr>
        <w:sectPr>
          <w:footerReference w:type="default" r:id="rId20"/>
          <w:footerReference w:type="first" r:id="rId2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2018/0432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>w celu umożliwienia kontynuacji programów współpracy terytorialnej PEACE IV (Irlandia - Zjednoczone Królestwo) i Zjednoczone Królestwo – Irlandia (Irlandia – Irlandia Północna – Szkocja) w kontekście wystąpienia Zjednoczonego Królestwa z Unii Europejskiej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178,</w:t>
      </w:r>
    </w:p>
    <w:p>
      <w:pPr>
        <w:rPr>
          <w:noProof/>
          <w:szCs w:val="24"/>
        </w:rPr>
      </w:pPr>
      <w:r>
        <w:rPr>
          <w:noProof/>
        </w:rPr>
        <w:t xml:space="preserve">uwzględniając wniosek Komisji Europejskiej, 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dniu 29 marca 2017 r. Zjednoczone Królestwo złożyło notyfikację o zamiarze wystąpienia z Unii Europejskiej zgodnie z art. 50 Traktatu o Unii Europejskiej. Traktaty przestaną mieć zastosowanie do Zjednoczonego Królestwa od dnia wejścia w życie umowy o wystąpieniu lub, w przypadku jej braku, dwa lata po notyfikacji, tj. od dnia 30 marca 2019 r., chyba że Rada Europejska w porozumieniu ze Zjednoczonym Królestwem podejmie jednomyślnie decyzję o przedłużeniu tego okresu.</w:t>
      </w:r>
      <w:r>
        <w:rPr>
          <w:noProof/>
          <w:sz w:val="23"/>
        </w:rPr>
        <w:t xml:space="preserve">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Wystąpienie ma miejsce w trakcie okresu programowania 2014–2020, w którym to okresie Zjednoczone Królestwo uczestniczy w piętnastu programach w ramach celu „Europejska współpraca terytorialna” („programy współpracy”). Dwa z tych programów to programy, które dotyczą Irlandii Północnej i wspierają proces pokoju i pojednania oraz współpracę Północ-Południe na podstawie porozumienia wielkopiątkowego. Unia zamierza kontynuować te programy, nawet jeśli Zjednoczone Królestwo wystąpi z Unii bez wejścia w życie umowy o wystąpieniu do dnia zaprzestania stosowania Traktatów do Zjednoczonego Królestwa i w Zjednoczonym Królestwie na podstawie art. 50 ust. 3 Traktatu o Unii Europejskiej. W związku z tym niniejsze rozporządzenie powinno być ograniczone do tych dwóch programów współpracy.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Oba przedmiotowe programy współpracy objęte są w szczególności rozporządzeniem Parlamentu Europejskiego i Rady (UE) nr 1299/2013</w:t>
      </w:r>
      <w:r>
        <w:rPr>
          <w:rStyle w:val="FootnoteReference"/>
          <w:noProof/>
        </w:rPr>
        <w:footnoteReference w:id="6"/>
      </w:r>
      <w:r>
        <w:rPr>
          <w:noProof/>
        </w:rPr>
        <w:t>, rozporządzeniem Parlamentu Europejskiego i Rady (UE) nr 1303/2013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oraz rozporządzeniem Parlamentu Europejskiego i Rady (UE, Euratom) 2018/1046</w:t>
      </w:r>
      <w:r>
        <w:rPr>
          <w:rStyle w:val="FootnoteReference"/>
          <w:noProof/>
        </w:rPr>
        <w:footnoteReference w:id="8"/>
      </w:r>
      <w:r>
        <w:rPr>
          <w:noProof/>
        </w:rPr>
        <w:t>. W niniejszym rozporządzeniu należy ustanowić przepisy, które umożliwią kontynuację tych dwóch programów współpracy w następstwie wystąpienia Zjednoczonego Królestwa z Unii zgodnie z wyżej wymienionymi rozporządzeniami.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Instytucja zarządzająca programów współpracy dwustronnej PEACE IV (Irlandia – Zjednoczone Królestwo) oraz Zjednoczone Królestwo – Irlandia (Irlandia – Irlandia Północna – Szkocja) jest zlokalizowana w ramach Specjalnego Organu ds. Programów UE utworzonego na mocy „Umowy między rządem Irlandii a rządem Zjednoczonego Królestwa Wielkiej Brytanii i Irlandii Północnej ustanawiającej organy wykonawcze”, podpisanej w dniu 8 marca 1999 r. (umowa brytyjsko-irlandzka z dnia 8 marca 1999 r.). Oba te programy współpracy dotyczą Irlandii Północnej, zatem ich dalszej realizacji powinny towarzyszyć niezbędne przepisy uzupełniające.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W celu kontynuacji tych programów należy wyjaśnić, że, bez uszczerbku dla art. 20 ust. 2 i 3 rozporządzenia (UE) nr 1299/2013, przedmiotowe programy współpracy mogą obejmować uczestniczące regiony w Zjednoczonym Królestwie, które powinny odpowiadać regionom na poziomie NUTS 3.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W celu kontynuacji tych programów z wykorzystaniem finansowania z budżetu ogólnego UE Komisja i organy Zjednoczonego Królestwa powinny zawrzeć porozumienie administracyjne z mocą od dnia, w którym Traktaty przestają mieć zastosowanie do Zjednoczonego Królestwa i w Zjednoczonym Królestwie, aby umożliwić kontrole i audyty odnośnych programów. Jeżeli nie można przeprowadzić niezbędnych kontroli i audytów, Komisja powinna mieć możliwość wstrzymania biegu terminu płatności, zawieszenia płatności i zastosowania korekt finansowych, jak określono w art. 83, 142, 144 i 145 rozporządzenia (UE) nr 1303/2013.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Zgodnie z art. 76 rozporządzenia (UE) nr 1303/2013 decyzja Komisji w sprawie przyjęcia programu PEACE IV (Irlandia – Zjednoczone Królestwo) C(2015) 8564 z dnia 30 listopada 2015 r., zmieniona decyzją C(2018) 5126 z dnia 26 lipca 2018 r., oraz decyzja Komisji w sprawie przyjęcia programu Interreg VA C(2015) 890 z dnia 12 lutego 2015 r., zmieniona decyzją C(2016) 1547 z dnia 10 marca 2016 r., mają nadal stanowić decyzję w sprawie finansowania w rozumieniu rozporządzenia finansowego, a co za tym idzie – zobowiązanie prawne w rozumieniu tego rozporządzenia. Zjednoczone Królestwo pozostaje odpowiedzialne za swoje zobowiązania finansowe przyjęte w charakterze państwa członkowskiego, które odnoszą się do tych zobowiązań prawnych Unii.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Zjednoczone Królestwo przestanie być częścią „unijnej części obszaru objętego programem” w rozumieniu art. 20 ust. 1 rozporządzenia (UE) nr 1299/2013 od dnia, w którym Traktaty przestają mieć zastosowanie. W związku z tym należy dostosować przepisy dotyczące kwalifikowalności operacji w zależności od lokalizacji.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Aby umożliwić szybkie zastosowanie środków przewidzianych w niniejszym rozporządzeniu, powinno ono wejść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 Niniejsze rozporządzenie powinno mieć zastosowanie wyłącznie w sytuacji, gdy umowa o wystąpieniu zawarta ze Zjednoczonym Królestwem zgodnie z art. 50 ust. 2 Traktatu o Unii Europejskiej nie weszła w życie do dnia zaprzestania stosowania Traktatów do Zjednoczonego Królestwa i w Zjednoczonym Królestwie na mocy art. 50 ust. 3 Traktatu o Unii Europejskiej,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  <w:r>
        <w:rPr>
          <w:noProof/>
        </w:rPr>
        <w:br/>
      </w:r>
      <w:r>
        <w:rPr>
          <w:b/>
          <w:noProof/>
        </w:rPr>
        <w:t>Przedmiot i zakres</w:t>
      </w:r>
    </w:p>
    <w:p>
      <w:pPr>
        <w:rPr>
          <w:noProof/>
        </w:rPr>
      </w:pPr>
      <w:r>
        <w:rPr>
          <w:noProof/>
        </w:rPr>
        <w:t xml:space="preserve">W niniejszym rozporządzeniu ustanawia się przepisy, które pozwolą zmierzyć się z konsekwencjami wystąpienia Zjednoczonego Królestwa z Unii w sytuacji, gdy umowa o wystąpieniu zawarta ze Zjednoczonym Królestwem zgodnie z art. 50 ust. 2 Traktatu o Unii Europejskiej nie weszła w życie do dnia, w którym Traktaty przestają mieć zastosowanie do Zjednoczonego Królestwa i w Zjednoczonym Królestwie zgodnie z art. 50 ust. 3 Traktatu o Unii Europejskiej, a także przepisy dotyczące kontynuacji dwóch programów współpracy objętych rozporządzeniem (UE) nr 1299/2013 z udziałem Zjednoczonego Królestwa („programy współpracy”):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PEACE IV (Irlandia – Zjednoczone Królestwo);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Zjednoczone Królestwo – Irlandia (Irlandia – Irlandia Północna – Szkocja).</w:t>
      </w:r>
    </w:p>
    <w:p>
      <w:pPr>
        <w:rPr>
          <w:noProof/>
        </w:rPr>
      </w:pPr>
      <w:r>
        <w:rPr>
          <w:noProof/>
        </w:rPr>
        <w:t xml:space="preserve">Rozporządzenie (UE) nr 1299/2013 ma nadal zastosowanie do programów współpracy podlegających przepisom niniejszego rozporządzenia. </w:t>
      </w:r>
    </w:p>
    <w:p>
      <w:pPr>
        <w:pStyle w:val="Titrearticle"/>
        <w:ind w:left="1080"/>
        <w:rPr>
          <w:noProof/>
        </w:rPr>
      </w:pPr>
      <w:r>
        <w:rPr>
          <w:noProof/>
        </w:rPr>
        <w:t xml:space="preserve">Artykuł 2 </w:t>
      </w:r>
      <w:r>
        <w:rPr>
          <w:noProof/>
        </w:rPr>
        <w:br/>
      </w:r>
      <w:r>
        <w:rPr>
          <w:b/>
          <w:noProof/>
        </w:rPr>
        <w:t>Zasięg geograficzny</w:t>
      </w:r>
    </w:p>
    <w:p>
      <w:pPr>
        <w:rPr>
          <w:noProof/>
        </w:rPr>
      </w:pPr>
      <w:r>
        <w:rPr>
          <w:noProof/>
        </w:rPr>
        <w:t>Bez uszczerbku dla art. 20 ust. 2 i 3 rozporządzenia (UE) nr 1299/2013, programy współpracy mogą obejmować uczestniczące regiony w Zjednoczonym Królestwie, które odpowiadają regionom na poziomie NUTS 3.</w:t>
      </w:r>
    </w:p>
    <w:p>
      <w:pPr>
        <w:pStyle w:val="Titrearticle"/>
        <w:rPr>
          <w:noProof/>
        </w:rPr>
      </w:pPr>
      <w:r>
        <w:rPr>
          <w:noProof/>
        </w:rPr>
        <w:t>Artykuł 3</w:t>
      </w:r>
      <w:r>
        <w:rPr>
          <w:noProof/>
        </w:rPr>
        <w:br/>
      </w:r>
      <w:r>
        <w:rPr>
          <w:b/>
          <w:noProof/>
        </w:rPr>
        <w:t>Instytucje programu</w:t>
      </w:r>
    </w:p>
    <w:p>
      <w:pPr>
        <w:rPr>
          <w:noProof/>
        </w:rPr>
      </w:pPr>
      <w:r>
        <w:rPr>
          <w:noProof/>
        </w:rPr>
        <w:t>W drodze odstępstwa od przepisów art. 21 ust. 1 rozporządzenia (UE) nr 1299/2013,</w:t>
      </w:r>
    </w:p>
    <w:p>
      <w:pPr>
        <w:pStyle w:val="ListDash"/>
        <w:rPr>
          <w:noProof/>
        </w:rPr>
      </w:pPr>
      <w:r>
        <w:rPr>
          <w:noProof/>
        </w:rPr>
        <w:t>Specjalny Organ ds. Programów UE, w ramach którego funkcjonują instytucja zarządzająca i instytucja certyfikująca programu PEACE IV (Irlandia – Zjednoczone Królestwo) i programu Zjednoczone Królestwo – Irlandia (Irlandia – Irlandia Północna – Szkocja), w dalszym ciągu wykonuje swoje zadania;</w:t>
      </w:r>
    </w:p>
    <w:p>
      <w:pPr>
        <w:pStyle w:val="ListDash"/>
        <w:spacing w:before="0" w:after="200" w:line="276" w:lineRule="auto"/>
        <w:jc w:val="left"/>
        <w:rPr>
          <w:i/>
          <w:noProof/>
        </w:rPr>
      </w:pPr>
      <w:r>
        <w:rPr>
          <w:noProof/>
        </w:rPr>
        <w:t xml:space="preserve">Departament Finansów Irlandii Północnej pozostaje instytucją audytową tych programów. </w:t>
      </w:r>
      <w:r>
        <w:rPr>
          <w:noProof/>
        </w:rPr>
        <w:br w:type="page"/>
      </w:r>
    </w:p>
    <w:p>
      <w:pPr>
        <w:pStyle w:val="Titrearticle"/>
        <w:rPr>
          <w:b/>
          <w:i w:val="0"/>
          <w:noProof/>
          <w:szCs w:val="24"/>
        </w:rPr>
      </w:pPr>
      <w:r>
        <w:rPr>
          <w:noProof/>
        </w:rPr>
        <w:t>Artykuł 4</w:t>
      </w:r>
      <w:r>
        <w:rPr>
          <w:noProof/>
        </w:rPr>
        <w:br/>
      </w:r>
      <w:r>
        <w:rPr>
          <w:b/>
          <w:noProof/>
        </w:rPr>
        <w:t>Kompetencje Komisji w odniesieniu do kontroli</w:t>
      </w:r>
    </w:p>
    <w:p>
      <w:pPr>
        <w:rPr>
          <w:noProof/>
        </w:rPr>
      </w:pPr>
      <w:r>
        <w:rPr>
          <w:noProof/>
        </w:rPr>
        <w:t>Komisja i organy Zjednoczonego Królestwa uzgadniają stosowanie zasad dotyczących kontroli i audytu odpowiednich programów. Kontrole i audyty obejmują cały okres trwania programów współpracy.</w:t>
      </w:r>
    </w:p>
    <w:p>
      <w:pPr>
        <w:rPr>
          <w:noProof/>
        </w:rPr>
      </w:pPr>
      <w:r>
        <w:rPr>
          <w:noProof/>
        </w:rPr>
        <w:t>Jeżeli nie można przeprowadzić niezbędnych kontroli i audytu we wszystkich zainteresowanych regionach, stanowi to poważne uchybienie w systemie zarządzania i kontroli do celów działań, jak określono w art. 83, 142, 144 i 145 rozporządzenia (UE) nr 1303/2013.</w:t>
      </w:r>
    </w:p>
    <w:p>
      <w:pPr>
        <w:pStyle w:val="Titrearticle"/>
        <w:rPr>
          <w:noProof/>
        </w:rPr>
      </w:pPr>
      <w:r>
        <w:rPr>
          <w:noProof/>
        </w:rPr>
        <w:t>Artykuł 5</w:t>
      </w:r>
      <w:r>
        <w:rPr>
          <w:noProof/>
        </w:rPr>
        <w:br/>
      </w:r>
      <w:r>
        <w:rPr>
          <w:b/>
          <w:noProof/>
        </w:rPr>
        <w:t>Kwalifikowalność operacji w zależności od lokalizacji</w:t>
      </w:r>
    </w:p>
    <w:p>
      <w:pPr>
        <w:rPr>
          <w:noProof/>
        </w:rPr>
      </w:pPr>
      <w:r>
        <w:rPr>
          <w:noProof/>
        </w:rPr>
        <w:t>Pułap określony w art. 20 ust. 2 lit. b) rozporządzenia (UE) nr 1299/2013 nie ma zastosowania do programów współpracy.</w:t>
      </w:r>
    </w:p>
    <w:p>
      <w:pPr>
        <w:pStyle w:val="Titrearticle"/>
        <w:rPr>
          <w:noProof/>
        </w:rPr>
      </w:pPr>
      <w:r>
        <w:rPr>
          <w:noProof/>
        </w:rPr>
        <w:t>Artykuł 6</w:t>
      </w:r>
      <w:r>
        <w:br/>
      </w:r>
      <w:r>
        <w:rPr>
          <w:b/>
          <w:noProof/>
        </w:rPr>
        <w:t>Wejście w życie i stosowanie</w:t>
      </w:r>
    </w:p>
    <w:p>
      <w:pPr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 xml:space="preserve">. </w:t>
      </w:r>
    </w:p>
    <w:p>
      <w:pPr>
        <w:keepNext/>
        <w:rPr>
          <w:noProof/>
        </w:rPr>
      </w:pPr>
      <w:r>
        <w:rPr>
          <w:noProof/>
        </w:rPr>
        <w:t>Niniejsze rozporządzenie stosuje się od dnia następującego po dniu, w którym Traktaty przestają mieć zastosowanie do Zjednoczonego Królestwa i w Zjednoczonym Królestwie na podstawie art. 50 ust. 3 Traktatu o Unii Europejskiej.</w:t>
      </w:r>
    </w:p>
    <w:p>
      <w:pPr>
        <w:keepNext/>
        <w:rPr>
          <w:noProof/>
        </w:rPr>
      </w:pPr>
      <w:r>
        <w:rPr>
          <w:noProof/>
        </w:rPr>
        <w:t>Niniejsze rozporządzenie nie ma jednak zastosowania, jeżeli do tego czasu umowa o wystąpieniu zawarta ze Zjednoczonym Królestwem zgodnie z art. 50 ust. 2 Traktatu o Unii Europejskiej weszła w życie.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i w:val="0"/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p>
      <w:pPr>
        <w:pStyle w:val="Personne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OCENA SKUTKÓW FINANSOWYCH REGULACJI</w:t>
      </w:r>
    </w:p>
    <w:p>
      <w:pPr>
        <w:pStyle w:val="ManualHeading1"/>
        <w:rPr>
          <w:noProof/>
        </w:rPr>
      </w:pPr>
      <w:bookmarkStart w:id="1" w:name="_Toc514938007"/>
      <w:bookmarkStart w:id="2" w:name="_Toc520485025"/>
      <w:r>
        <w:t>1.</w:t>
      </w:r>
      <w:r>
        <w:tab/>
      </w:r>
      <w:r>
        <w:rPr>
          <w:noProof/>
        </w:rPr>
        <w:t>STRUKTURA WNIOSKU/INICJATYWY</w:t>
      </w:r>
      <w:bookmarkEnd w:id="1"/>
      <w:bookmarkEnd w:id="2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" w:name="_Toc514938008"/>
      <w:bookmarkStart w:id="4" w:name="_Toc520485026"/>
      <w:r>
        <w:t>1.1.</w:t>
      </w:r>
      <w:r>
        <w:tab/>
      </w:r>
      <w:r>
        <w:rPr>
          <w:noProof/>
        </w:rPr>
        <w:t>Tytuł wniosku/inicjatywy</w:t>
      </w:r>
      <w:bookmarkEnd w:id="3"/>
      <w:bookmarkEnd w:id="4"/>
    </w:p>
    <w:p>
      <w:pPr>
        <w:pStyle w:val="ManualHeading2"/>
        <w:rPr>
          <w:i/>
          <w:noProof/>
        </w:rPr>
      </w:pPr>
      <w:bookmarkStart w:id="5" w:name="_Toc514938011"/>
      <w:bookmarkStart w:id="6" w:name="_Toc520485027"/>
      <w:r>
        <w:t>1.2.</w:t>
      </w:r>
      <w:r>
        <w:tab/>
      </w:r>
      <w:r>
        <w:rPr>
          <w:noProof/>
        </w:rPr>
        <w:t>Dziedziny polityki, których dotyczy wniosek/inicjatywa</w:t>
      </w:r>
      <w:bookmarkEnd w:id="5"/>
      <w:bookmarkEnd w:id="6"/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dotyczący rozporządzenia Parlamentu Europejskiego i Rady w sprawie przepisów szczegółowych dotyczących zarządzania programami Europejskiej współpracy terytorialnej w kontekście wystąpienia Zjednoczonego Królestwa z Unii Europejskiej.</w:t>
      </w:r>
    </w:p>
    <w:p>
      <w:pPr>
        <w:pStyle w:val="ManualHeading2"/>
        <w:rPr>
          <w:bCs/>
          <w:noProof/>
          <w:szCs w:val="24"/>
        </w:rPr>
      </w:pPr>
      <w:bookmarkStart w:id="7" w:name="_Toc514938025"/>
      <w:bookmarkStart w:id="8" w:name="_Toc520485034"/>
      <w:r>
        <w:t>1.3.</w:t>
      </w:r>
      <w:r>
        <w:tab/>
      </w:r>
      <w:r>
        <w:rPr>
          <w:noProof/>
        </w:rPr>
        <w:t>Uzasadnienie wniosku/inicjatywy</w:t>
      </w:r>
      <w:bookmarkEnd w:id="7"/>
      <w:bookmarkEnd w:id="8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9" w:name="_Toc514938026"/>
      <w:bookmarkStart w:id="10" w:name="_Toc520485035"/>
      <w:r>
        <w:t>1.3.1.</w:t>
      </w:r>
      <w:r>
        <w:tab/>
      </w:r>
      <w:r>
        <w:rPr>
          <w:noProof/>
        </w:rPr>
        <w:t>Potrzeby, które należy zaspokoić w perspektywie krótko- lub długoterminowej, w tym szczegółowy terminarz przebiegu realizacji inicjatywy</w:t>
      </w:r>
      <w:bookmarkEnd w:id="9"/>
      <w:bookmarkEnd w:id="1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Niniejsze rozporządzenie wchodzi w życie następnego dnia po jego opublikowaniu w Dzienniku Urzędowym Unii Europejskiej.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Niniejsze rozporządzenie stosuje się od dnia następującego po dniu, w którym Traktaty przestają mieć zastosowanie do Zjednoczonego Królestwa i w Zjednoczonym Królestwie na podstawie art. 50 ust. 3 Traktatu o Unii Europejskiej.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Niniejsze rozporządzenie nie ma zastosowania, jeżeli do tego czasu umowa o wystąpieniu zawarta ze Zjednoczonym Królestwem zgodnie z art. 50 ust. 2 Traktatu o Unii Europejskiej weszła w życie.</w:t>
      </w:r>
    </w:p>
    <w:p>
      <w:pPr>
        <w:pStyle w:val="ManualHeading3"/>
        <w:rPr>
          <w:bCs/>
          <w:noProof/>
          <w:szCs w:val="24"/>
        </w:rPr>
      </w:pPr>
      <w:bookmarkStart w:id="11" w:name="_Toc514938029"/>
      <w:bookmarkStart w:id="12" w:name="_Toc520485036"/>
      <w:r>
        <w:t>1.3.2.</w:t>
      </w:r>
      <w:r>
        <w:tab/>
      </w:r>
      <w:r>
        <w:rPr>
          <w:noProof/>
        </w:rPr>
        <w:t>Wartość dodana z tytułu zaangażowania Unii Europejskiej (może wynikać z różnych czynników, na przykład korzyści koordynacyjnych, pewności prawa, większej efektywności lub komplementarności). Na potrzeby tego punktu „wartość dodaną z tytułu zaangażowania Unii” należy rozumieć jako wartość wynikającą z unijnej interwencji wykraczającą poza wartość, która zostałaby wytworzona przez same państwa członkowskie.</w:t>
      </w:r>
      <w:bookmarkEnd w:id="11"/>
      <w:bookmarkEnd w:id="1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ManualHeading3"/>
        <w:rPr>
          <w:noProof/>
        </w:rPr>
      </w:pPr>
      <w:bookmarkStart w:id="13" w:name="_Toc514938030"/>
      <w:bookmarkStart w:id="14" w:name="_Toc520485037"/>
      <w:r>
        <w:t>1.3.3.</w:t>
      </w:r>
      <w:r>
        <w:tab/>
      </w:r>
      <w:r>
        <w:rPr>
          <w:noProof/>
        </w:rPr>
        <w:t>Główne wnioski wyciągnięte z podobnych działań</w:t>
      </w:r>
      <w:bookmarkEnd w:id="13"/>
      <w:bookmarkEnd w:id="1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ManualHeading3"/>
        <w:rPr>
          <w:noProof/>
        </w:rPr>
      </w:pPr>
      <w:bookmarkStart w:id="15" w:name="_Toc514938033"/>
      <w:bookmarkStart w:id="16" w:name="_Toc520485038"/>
      <w:r>
        <w:t>1.3.4.</w:t>
      </w:r>
      <w:r>
        <w:tab/>
      </w:r>
      <w:r>
        <w:rPr>
          <w:noProof/>
        </w:rPr>
        <w:t>Spójność z wieloletnimi ramami finansowymi oraz możliwa synergia z innymi właściwymi instrumentami</w:t>
      </w:r>
      <w:bookmarkEnd w:id="15"/>
      <w:bookmarkEnd w:id="1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Niniejsze rozporządzenie jest zgodne z wieloletnimi ramami finansowymi. Nie ma wpływu finansowego.</w:t>
      </w:r>
    </w:p>
    <w:p>
      <w:pPr>
        <w:pStyle w:val="ManualHeading3"/>
        <w:rPr>
          <w:noProof/>
        </w:rPr>
      </w:pPr>
      <w:bookmarkStart w:id="17" w:name="_Toc514938036"/>
      <w:bookmarkStart w:id="18" w:name="_Toc520485039"/>
      <w:r>
        <w:t>1.3.5.</w:t>
      </w:r>
      <w:r>
        <w:tab/>
      </w:r>
      <w:r>
        <w:rPr>
          <w:noProof/>
        </w:rPr>
        <w:t>Ocena różnych dostępnych możliwości finansowania, w tym zakresu przegrupowania środków</w:t>
      </w:r>
      <w:bookmarkEnd w:id="17"/>
      <w:bookmarkEnd w:id="18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</w:rPr>
      </w:pPr>
      <w:r>
        <w:rPr>
          <w:noProof/>
        </w:rPr>
        <w:t>Niniejsze rozporządzenie nie ma wpływu finansowego. Wkład Unii na rzecz programów będzie finansowany z budżetu ogólnego Unii.</w:t>
      </w:r>
    </w:p>
    <w:p>
      <w:pPr>
        <w:pStyle w:val="Text1"/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19" w:name="_Toc514938039"/>
      <w:bookmarkStart w:id="20" w:name="_Toc520485040"/>
      <w:r>
        <w:t>1.4.</w:t>
      </w:r>
      <w:r>
        <w:tab/>
      </w:r>
      <w:r>
        <w:rPr>
          <w:noProof/>
        </w:rPr>
        <w:t>Czas trwania i wpływ finansowy wniosku/inicjatywy</w:t>
      </w:r>
      <w:bookmarkEnd w:id="19"/>
      <w:bookmarkEnd w:id="20"/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Nie ma wpływu finansowego</w:t>
      </w:r>
    </w:p>
    <w:p>
      <w:pPr>
        <w:pStyle w:val="ManualHeading2"/>
        <w:rPr>
          <w:bCs/>
          <w:noProof/>
          <w:szCs w:val="24"/>
        </w:rPr>
      </w:pPr>
      <w:bookmarkStart w:id="21" w:name="_Toc514938040"/>
      <w:bookmarkStart w:id="22" w:name="_Toc520485041"/>
      <w:r>
        <w:t>1.5.</w:t>
      </w:r>
      <w:r>
        <w:tab/>
      </w:r>
      <w:r>
        <w:rPr>
          <w:noProof/>
        </w:rPr>
        <w:t>Planowane tryby zarządzania</w:t>
      </w:r>
      <w:r>
        <w:rPr>
          <w:rStyle w:val="FootnoteReference"/>
          <w:noProof/>
        </w:rPr>
        <w:footnoteReference w:id="9"/>
      </w:r>
      <w:bookmarkEnd w:id="21"/>
      <w:bookmarkEnd w:id="22"/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 Bezpośrednie zarządzanie</w:t>
      </w:r>
      <w:r>
        <w:rPr>
          <w:noProof/>
        </w:rPr>
        <w:t xml:space="preserve"> przez Komisję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 ramach jej służb, w tym za pośrednictwem jej pracowników w delegaturach Unii;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przez agencje wykonawcze; </w:t>
      </w:r>
    </w:p>
    <w:p>
      <w:pPr>
        <w:pStyle w:val="Text1"/>
        <w:rPr>
          <w:noProof/>
        </w:rPr>
      </w:pPr>
      <w:r>
        <w:rPr>
          <w:b/>
          <w:noProof/>
        </w:rPr>
        <w:t>X Zarządzanie dzielone</w:t>
      </w:r>
      <w:r>
        <w:rPr>
          <w:noProof/>
        </w:rPr>
        <w:t xml:space="preserve"> z państwami członkowskimi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 Zarządzanie pośrednie</w:t>
      </w:r>
      <w:r>
        <w:rPr>
          <w:noProof/>
        </w:rPr>
        <w:t xml:space="preserve"> poprzez przekazanie zadań związanych z wykonaniem budżetu: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państwom trzecim lub organom przez nie wyznaczonym;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organizacjom międzynarodowym i ich agencjom (należy wyszczególnić);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EBI oraz Europejskiemu Funduszowi Inwestycyjnemu;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organom, o których mowa w art. 70 i 71 rozporządzenia finansowego;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 prawa publicznego;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prywatnemu, które świadczą usługi użyteczności publicznej, o ile zapewniają one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 państwa członkowskiego, którym powierzono realizację partnerstwa publiczno-prywatnego oraz które zapewniają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osobom odpowiedzialnym za wykonanie określonych działań w dziedzinie wspólnej polityki zagranicznej i bezpieczeństwa na mocy tytułu V Traktatu o Unii Europejskiej oraz określonym we właściwym podstawowym akcie prawnym.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W przypadku wskazania więcej niż jednego trybu należy podać dodatkowe informacje w części „Uwagi”.</w:t>
      </w:r>
    </w:p>
    <w:p>
      <w:pPr>
        <w:rPr>
          <w:noProof/>
        </w:rPr>
      </w:pPr>
      <w:r>
        <w:rPr>
          <w:noProof/>
        </w:rPr>
        <w:t xml:space="preserve">Uwagi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t>Nie dotyczy</w:t>
      </w:r>
    </w:p>
    <w:p>
      <w:pPr>
        <w:pStyle w:val="ManualHeading1"/>
        <w:rPr>
          <w:bCs/>
          <w:noProof/>
          <w:szCs w:val="24"/>
        </w:rPr>
      </w:pPr>
      <w:bookmarkStart w:id="23" w:name="_Toc514938041"/>
      <w:bookmarkStart w:id="24" w:name="_Toc520485042"/>
      <w:r>
        <w:t>2.</w:t>
      </w:r>
      <w:r>
        <w:tab/>
      </w:r>
      <w:r>
        <w:rPr>
          <w:noProof/>
        </w:rPr>
        <w:t>ŚRODKI ZARZĄDZANIA</w:t>
      </w:r>
      <w:bookmarkEnd w:id="23"/>
      <w:bookmarkEnd w:id="24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25" w:name="_Toc514938042"/>
      <w:bookmarkStart w:id="26" w:name="_Toc520485043"/>
      <w:r>
        <w:t>2.1.</w:t>
      </w:r>
      <w:r>
        <w:tab/>
      </w:r>
      <w:r>
        <w:rPr>
          <w:noProof/>
        </w:rPr>
        <w:t>Zasady nadzoru i sprawozdawczości</w:t>
      </w:r>
      <w:bookmarkEnd w:id="25"/>
      <w:bookmarkEnd w:id="26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Określić częstotliwość i warunki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ManualHeading2"/>
        <w:rPr>
          <w:bCs/>
          <w:noProof/>
          <w:szCs w:val="24"/>
        </w:rPr>
      </w:pPr>
      <w:bookmarkStart w:id="27" w:name="_Toc514938045"/>
      <w:bookmarkStart w:id="28" w:name="_Toc520485044"/>
      <w:r>
        <w:t>2.2.</w:t>
      </w:r>
      <w:r>
        <w:tab/>
      </w:r>
      <w:r>
        <w:rPr>
          <w:noProof/>
        </w:rPr>
        <w:t>System(y) zarządzania i kontroli</w:t>
      </w:r>
      <w:bookmarkEnd w:id="27"/>
      <w:bookmarkEnd w:id="28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29" w:name="_Toc514938046"/>
      <w:bookmarkStart w:id="30" w:name="_Toc520485045"/>
      <w:r>
        <w:t>2.2.1.</w:t>
      </w:r>
      <w:r>
        <w:tab/>
      </w:r>
      <w:r>
        <w:rPr>
          <w:noProof/>
        </w:rPr>
        <w:t>Uzasadnienie dla systemu(ów) zarządzania, mechanizmów finansowania wykonania, warunków płatności i proponowanej strategii kontroli</w:t>
      </w:r>
      <w:bookmarkEnd w:id="29"/>
      <w:bookmarkEnd w:id="3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ManualHeading3"/>
        <w:rPr>
          <w:bCs/>
          <w:noProof/>
          <w:szCs w:val="24"/>
        </w:rPr>
      </w:pPr>
      <w:bookmarkStart w:id="31" w:name="_Toc514938047"/>
      <w:bookmarkStart w:id="32" w:name="_Toc520485046"/>
      <w:r>
        <w:t>2.2.2.</w:t>
      </w:r>
      <w:r>
        <w:tab/>
      </w:r>
      <w:r>
        <w:rPr>
          <w:noProof/>
        </w:rPr>
        <w:t>Informacje dotyczące zidentyfikowanego ryzyka i systemów kontroli wewnętrznej ustanowionych w celu jego ograniczenia</w:t>
      </w:r>
      <w:bookmarkEnd w:id="31"/>
      <w:bookmarkEnd w:id="3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ManualHeading3"/>
        <w:rPr>
          <w:noProof/>
        </w:rPr>
      </w:pPr>
      <w:bookmarkStart w:id="33" w:name="_Toc514938048"/>
      <w:bookmarkStart w:id="34" w:name="_Toc520485047"/>
      <w:r>
        <w:t>2.2.3.</w:t>
      </w:r>
      <w:r>
        <w:tab/>
      </w:r>
      <w:r>
        <w:rPr>
          <w:noProof/>
        </w:rPr>
        <w:t>Oszacowanie i uzasadnienie efektywności kosztowej kontroli (relacja kosztów kontroli do wartości zarządzanych funduszy powiązanych) oraz ocena prawdopodobnego ryzyka błędu (przy płatności i przy zamykaniu)</w:t>
      </w:r>
      <w:bookmarkEnd w:id="33"/>
      <w:bookmarkEnd w:id="34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 dotyczy</w:t>
      </w:r>
    </w:p>
    <w:p>
      <w:pPr>
        <w:pStyle w:val="ManualHeading2"/>
        <w:rPr>
          <w:bCs/>
          <w:noProof/>
          <w:szCs w:val="24"/>
        </w:rPr>
      </w:pPr>
      <w:bookmarkStart w:id="35" w:name="_Toc514938049"/>
      <w:bookmarkStart w:id="36" w:name="_Toc520485048"/>
      <w:r>
        <w:t>2.3.</w:t>
      </w:r>
      <w:r>
        <w:tab/>
      </w:r>
      <w:r>
        <w:rPr>
          <w:noProof/>
        </w:rPr>
        <w:t>Środki zapobiegania nadużyciom finansowym i nieprawidłowościom</w:t>
      </w:r>
      <w:bookmarkEnd w:id="35"/>
      <w:bookmarkEnd w:id="36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Określić istniejące lub przewidywane środki zapobiegania i ochrony, np. ze strategii zwalczania nadużyć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t>Nie dotyczy</w:t>
      </w:r>
    </w:p>
    <w:p>
      <w:pPr>
        <w:pStyle w:val="ManualHeading1"/>
        <w:rPr>
          <w:bCs/>
          <w:noProof/>
          <w:szCs w:val="24"/>
        </w:rPr>
      </w:pPr>
      <w:bookmarkStart w:id="37" w:name="_Toc514938050"/>
      <w:bookmarkStart w:id="38" w:name="_Toc520485049"/>
      <w:r>
        <w:t>3.</w:t>
      </w:r>
      <w:r>
        <w:tab/>
      </w:r>
      <w:r>
        <w:rPr>
          <w:noProof/>
        </w:rPr>
        <w:t>SZACUNKOWY WPŁYW FINANSOWY WNIOSKU/INICJATYWY</w:t>
      </w:r>
      <w:bookmarkEnd w:id="37"/>
      <w:bookmarkEnd w:id="38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9" w:name="_Toc514938051"/>
      <w:bookmarkStart w:id="40" w:name="_Toc520485050"/>
      <w:r>
        <w:t>3.1.</w:t>
      </w:r>
      <w:r>
        <w:tab/>
      </w:r>
      <w:r>
        <w:rPr>
          <w:noProof/>
        </w:rPr>
        <w:t>Działy wieloletnich ram finansowych i linie budżetowe po stronie wydatków, na które wniosek/inicjatywa ma wpływ</w:t>
      </w:r>
      <w:bookmarkEnd w:id="39"/>
      <w:bookmarkEnd w:id="40"/>
      <w:r>
        <w:rPr>
          <w:noProof/>
        </w:rPr>
        <w:t xml:space="preserve"> </w:t>
      </w:r>
    </w:p>
    <w:p>
      <w:pPr>
        <w:pStyle w:val="ListBullet1"/>
        <w:rPr>
          <w:noProof/>
        </w:rPr>
      </w:pPr>
      <w:r>
        <w:rPr>
          <w:noProof/>
        </w:rPr>
        <w:t xml:space="preserve">Istniejące linie budżetowe 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Według</w:t>
      </w:r>
      <w:r>
        <w:rPr>
          <w:noProof/>
        </w:rPr>
        <w:t xml:space="preserve"> </w:t>
      </w:r>
      <w:r>
        <w:rPr>
          <w:i/>
          <w:noProof/>
        </w:rPr>
        <w:t>działów wieloletnich ram finansowych i linii budżetowych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829"/>
        <w:gridCol w:w="1080"/>
        <w:gridCol w:w="956"/>
        <w:gridCol w:w="1080"/>
        <w:gridCol w:w="956"/>
        <w:gridCol w:w="1448"/>
      </w:tblGrid>
      <w:tr>
        <w:tc>
          <w:tcPr>
            <w:tcW w:w="1211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Dział wieloletnich ram finansowych</w:t>
            </w:r>
          </w:p>
        </w:tc>
        <w:tc>
          <w:tcPr>
            <w:tcW w:w="3829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Linia budżetowa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środków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Wkład </w:t>
            </w:r>
          </w:p>
        </w:tc>
      </w:tr>
      <w:tr>
        <w:tc>
          <w:tcPr>
            <w:tcW w:w="1211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Numer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Zróżnicowane /niezróżnicowane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państw 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krajów kandydujących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państw trzecich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w rozumieniu art. 21 ust. 2 lit. b) rozporządzenia finansowego </w:t>
            </w:r>
          </w:p>
        </w:tc>
      </w:tr>
      <w:tr>
        <w:tc>
          <w:tcPr>
            <w:tcW w:w="1211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13</w:t>
            </w:r>
          </w:p>
        </w:tc>
        <w:tc>
          <w:tcPr>
            <w:tcW w:w="3829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13 03 64 01 – Europejski Fundusz Rozwoju Regionalnego (EFRR) — Europejska współpraca terytorialna</w:t>
            </w:r>
          </w:p>
          <w:p>
            <w:pPr>
              <w:spacing w:after="60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</w:tr>
    </w:tbl>
    <w:p>
      <w:pPr>
        <w:pStyle w:val="ManualHeading2"/>
        <w:rPr>
          <w:bCs/>
          <w:noProof/>
          <w:szCs w:val="24"/>
        </w:rPr>
      </w:pPr>
      <w:bookmarkStart w:id="41" w:name="_Toc514938052"/>
      <w:bookmarkStart w:id="42" w:name="_Toc520485051"/>
      <w:r>
        <w:t>3.2.</w:t>
      </w:r>
      <w:r>
        <w:tab/>
      </w:r>
      <w:r>
        <w:rPr>
          <w:noProof/>
        </w:rPr>
        <w:t>Szacunkowy wpływ finansowy wniosku na środki</w:t>
      </w:r>
      <w:bookmarkEnd w:id="41"/>
      <w:bookmarkEnd w:id="42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43" w:name="_Toc514938053"/>
      <w:bookmarkStart w:id="44" w:name="_Toc520485052"/>
      <w:r>
        <w:t>3.2.1.</w:t>
      </w:r>
      <w:r>
        <w:tab/>
      </w:r>
      <w:r>
        <w:rPr>
          <w:noProof/>
        </w:rPr>
        <w:t>Synteza szacunkowego wpływu na środki operacyjne</w:t>
      </w:r>
      <w:bookmarkEnd w:id="43"/>
      <w:bookmarkEnd w:id="44"/>
      <w:r>
        <w:rPr>
          <w:noProof/>
        </w:rPr>
        <w:t xml:space="preserve"> </w:t>
      </w:r>
    </w:p>
    <w:p>
      <w:pPr>
        <w:pStyle w:val="ListDash1"/>
        <w:rPr>
          <w:b/>
          <w:noProof/>
        </w:rPr>
      </w:pPr>
      <w:r>
        <w:rPr>
          <w:b/>
          <w:noProof/>
        </w:rPr>
        <w:t>X</w:t>
      </w:r>
      <w:r>
        <w:rPr>
          <w:noProof/>
        </w:rPr>
        <w:tab/>
      </w:r>
      <w:r>
        <w:rPr>
          <w:b/>
          <w:noProof/>
        </w:rPr>
        <w:t>Niniejsze rozporządzenie nie ma wpływu finansowego.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środków operacyjnych, jak określono poniżej:</w:t>
      </w:r>
    </w:p>
    <w:p>
      <w:pPr>
        <w:jc w:val="right"/>
        <w:rPr>
          <w:noProof/>
          <w:sz w:val="18"/>
          <w:szCs w:val="18"/>
        </w:rPr>
      </w:pPr>
      <w:r>
        <w:rPr>
          <w:noProof/>
          <w:sz w:val="18"/>
        </w:rPr>
        <w:t xml:space="preserve">EUR </w:t>
      </w: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13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</w:p>
        </w:tc>
      </w:tr>
    </w:tbl>
    <w:p>
      <w:pPr>
        <w:rPr>
          <w:noProof/>
          <w:sz w:val="16"/>
        </w:rPr>
      </w:pPr>
    </w:p>
    <w:tbl>
      <w:tblPr>
        <w:tblW w:w="1595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1252"/>
        <w:gridCol w:w="1116"/>
        <w:gridCol w:w="1010"/>
        <w:gridCol w:w="1134"/>
        <w:gridCol w:w="1418"/>
        <w:gridCol w:w="1559"/>
        <w:gridCol w:w="2409"/>
      </w:tblGrid>
      <w:tr>
        <w:trPr>
          <w:trHeight w:val="1068"/>
        </w:trPr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  <w:tc>
          <w:tcPr>
            <w:tcW w:w="1418" w:type="dxa"/>
          </w:tcPr>
          <w:p>
            <w:pPr>
              <w:rPr>
                <w:noProof/>
                <w:sz w:val="20"/>
              </w:rPr>
            </w:pPr>
          </w:p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  <w:tc>
          <w:tcPr>
            <w:tcW w:w="1559" w:type="dxa"/>
          </w:tcPr>
          <w:p>
            <w:pPr>
              <w:jc w:val="center"/>
              <w:rPr>
                <w:noProof/>
                <w:sz w:val="20"/>
              </w:rPr>
            </w:pPr>
          </w:p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Kolejne lata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b/>
                <w:noProof/>
                <w:szCs w:val="24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</w:t>
            </w:r>
            <w:r>
              <w:rPr>
                <w:b/>
                <w:noProof/>
              </w:rPr>
              <w:t>Anulowanie środków operacyjnych</w:t>
            </w:r>
          </w:p>
        </w:tc>
        <w:tc>
          <w:tcPr>
            <w:tcW w:w="1252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509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03 64 01 – Europejski Fundusz Rozwoju Regionalnego (EFRR) — Europejska współpraca terytorialna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252"/>
        <w:gridCol w:w="1116"/>
        <w:gridCol w:w="1152"/>
        <w:gridCol w:w="1134"/>
        <w:gridCol w:w="1134"/>
        <w:gridCol w:w="1134"/>
        <w:gridCol w:w="1418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OGÓŁEM środki operacyjne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OGÓŁEM środki administracyjne finansowane ze środków przydzielonych na określone programy operacyjne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13</w:t>
            </w:r>
            <w:r>
              <w:rPr>
                <w:noProof/>
                <w:sz w:val="22"/>
              </w:rPr>
              <w:br/>
              <w:t>wieloletnich ram finansowych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 + 6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 + 6</w:t>
            </w:r>
          </w:p>
        </w:tc>
        <w:tc>
          <w:tcPr>
            <w:tcW w:w="12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</w:tr>
    </w:tbl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Jeżeli wpływ wniosku/inicjatywy nie ogranicza się do jednego działu operacyjnego, należy powtórzyć powyższą część: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OGÓŁEM środki operacyjne (wszystkie działy operacyjne)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t xml:space="preserve"> OGÓŁEM środki administracyjne finansowane ze środków przydzielonych na określone programy (wszystkie działy operacyjne)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4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(kwota referencyjna)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 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 + 6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„Wydatki administracyjne”</w:t>
            </w:r>
          </w:p>
        </w:tc>
      </w:tr>
    </w:tbl>
    <w:p>
      <w:pPr>
        <w:jc w:val="left"/>
        <w:rPr>
          <w:noProof/>
          <w:sz w:val="20"/>
        </w:rPr>
      </w:pPr>
      <w:r>
        <w:rPr>
          <w:noProof/>
        </w:rPr>
        <w:t xml:space="preserve">Niniejszą część uzupełnia się przy użyciu „danych budżetowych o charakterze administracyjnym”, które należy najpierw wprowadzić do </w:t>
      </w:r>
      <w:hyperlink r:id="rId22">
        <w:r>
          <w:rPr>
            <w:rStyle w:val="Hyperlink"/>
            <w:noProof/>
          </w:rPr>
          <w:t>załącznika do oceny skutków finansowych regulacji</w:t>
        </w:r>
      </w:hyperlink>
      <w:r>
        <w:rPr>
          <w:noProof/>
        </w:rPr>
        <w:t xml:space="preserve"> (załącznik V do zasad wewnętrznych), przesyłanego do DECIDE w celu konsultacji między służbami.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Dyrekcja Generalna: 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Zasoby ludzkie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Pozostałe wydatki administracyjne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OGÓŁEM Dyrekcja Generalna</w:t>
            </w:r>
            <w:r>
              <w:rPr>
                <w:noProof/>
              </w:rPr>
              <w:t xml:space="preserve"> &lt;….&gt;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Środki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(Środki na zobowiązania ogółem = środki na płatności ogółem)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3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bookmarkStart w:id="45" w:name="_Toc514938054"/>
      <w:bookmarkStart w:id="46" w:name="_Toc520485053"/>
      <w:r>
        <w:t>3.2.2.</w:t>
      </w:r>
      <w:r>
        <w:tab/>
      </w:r>
      <w:r>
        <w:rPr>
          <w:noProof/>
        </w:rPr>
        <w:t>Przewidywany produkt finansowany ze środków operacyjnych</w:t>
      </w:r>
      <w:bookmarkEnd w:id="45"/>
      <w:bookmarkEnd w:id="46"/>
      <w:r>
        <w:rPr>
          <w:noProof/>
        </w:rPr>
        <w:t xml:space="preserve">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na zobowiązania w mln EUR (do trzech miejsc po przecinku)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Określić cele i produkty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PRODUKT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Średni koszt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 ogółem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 całkowity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1</w:t>
            </w:r>
            <w:r>
              <w:rPr>
                <w:rStyle w:val="FootnoteReference"/>
                <w:noProof/>
                <w:sz w:val="18"/>
              </w:rPr>
              <w:footnoteReference w:id="15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77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1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2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47" w:name="_Toc514938055"/>
      <w:bookmarkStart w:id="48" w:name="_Toc520485054"/>
      <w:r>
        <w:t>3.2.3.</w:t>
      </w:r>
      <w:r>
        <w:tab/>
      </w:r>
      <w:r>
        <w:rPr>
          <w:noProof/>
        </w:rPr>
        <w:t>Synteza szacunkowego wpływu na środki administracyjne</w:t>
      </w:r>
      <w:bookmarkEnd w:id="47"/>
      <w:bookmarkEnd w:id="48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środków administracyjnych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środków administracyjnych, jak określono poniżej: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  <w:r>
              <w:rPr>
                <w:rStyle w:val="FootnoteReference"/>
                <w:b/>
                <w:noProof/>
                <w:sz w:val="16"/>
              </w:rPr>
              <w:footnoteReference w:id="16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DZIAŁ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Pozostałe wydatki administracyjne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Suma cząstkowa DZIAŁU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Poza DZIAŁEM 5</w:t>
            </w:r>
            <w:r>
              <w:rPr>
                <w:rStyle w:val="FootnoteReference"/>
                <w:b/>
                <w:noProof/>
                <w:sz w:val="16"/>
              </w:rPr>
              <w:footnoteReference w:id="17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Suma cząstkowa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poza DZIAŁEM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Potrzeby w zakresie środków na zasoby ludzkie i inne wydatki o charakterze administracyjnym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rPr>
          <w:noProof/>
          <w:sz w:val="18"/>
        </w:rPr>
        <w:sectPr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4"/>
        <w:rPr>
          <w:bCs/>
          <w:noProof/>
          <w:szCs w:val="24"/>
        </w:rPr>
      </w:pPr>
      <w:r>
        <w:t>3.2.3.1.</w:t>
      </w:r>
      <w:r>
        <w:tab/>
      </w:r>
      <w:r>
        <w:rPr>
          <w:noProof/>
        </w:rPr>
        <w:t xml:space="preserve">Szacowane zapotrzebowanie na zasoby ludzkie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zasobów ludzkich.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zasobów ludzkich, jak określono poniżej: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Wartości szacunkowe należy wyrazić w ekwiwalentach pełnego czasu pracy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6"/>
        <w:gridCol w:w="2378"/>
        <w:gridCol w:w="731"/>
        <w:gridCol w:w="731"/>
        <w:gridCol w:w="731"/>
        <w:gridCol w:w="731"/>
        <w:gridCol w:w="731"/>
        <w:gridCol w:w="731"/>
        <w:gridCol w:w="731"/>
      </w:tblGrid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600" w:type="dxa"/>
            <w:gridSpan w:val="9"/>
            <w:shd w:val="clear" w:color="auto" w:fill="auto"/>
          </w:tcPr>
          <w:p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</w:rPr>
              <w:t>Stanowiska przewidziane w planie zatrudnienia (stanowiska urzędników i pracowników zatrudnionych na czas określony)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(w centrali i w biurach przedstawicielstw Komisji)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(w delegaturach)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01/11/21 (pośrednie badania naukowe)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01/11 (bezpośrednie badania naukowe)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48"/>
          <w:jc w:val="center"/>
        </w:trPr>
        <w:tc>
          <w:tcPr>
            <w:tcW w:w="600" w:type="dxa"/>
            <w:gridSpan w:val="10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Personel zewnętrzny (w ekwiwalentach pełnego czasu pracy:</w:t>
            </w:r>
            <w:r>
              <w:rPr>
                <w:b/>
                <w:noProof/>
                <w:sz w:val="16"/>
              </w:rPr>
              <w:t xml:space="preserve"> EPC)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(CA, SNE, INT z globalnej koperty finansowej)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(CA, LA, SNE, INT i JED w delegaturach)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9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w centrali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w delegaturach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02/12/22 (CA, SNE, INT – pośrednie badania naukowe)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02/12 (CA, SNE, INT – bezpośrednie badania naukowe)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Inna linia budżetowa (określić)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XX</w:t>
      </w:r>
      <w:r>
        <w:rPr>
          <w:noProof/>
          <w:sz w:val="18"/>
          <w:szCs w:val="18"/>
        </w:rPr>
        <w:t xml:space="preserve"> oznacza odpowiednią dziedzinę polityki lub odpowiedni tytuł w budżecie</w:t>
      </w:r>
      <w:r>
        <w:rPr>
          <w:noProof/>
        </w:rPr>
        <w:t>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Potrzeby w zakresie zasobów ludzkich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rPr>
          <w:noProof/>
          <w:sz w:val="20"/>
        </w:rPr>
      </w:pPr>
      <w:r>
        <w:rPr>
          <w:noProof/>
          <w:sz w:val="20"/>
        </w:rPr>
        <w:t>Opis zadań do wykonania: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Urzędnicy i pracownicy zatrudnieni na czas określony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Personel zewnętrzny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noProof/>
        </w:rPr>
      </w:pPr>
      <w:bookmarkStart w:id="49" w:name="_Toc514938056"/>
      <w:bookmarkStart w:id="50" w:name="_Toc520485055"/>
      <w:r>
        <w:t>3.2.4.</w:t>
      </w:r>
      <w:r>
        <w:tab/>
      </w:r>
      <w:r>
        <w:rPr>
          <w:noProof/>
        </w:rPr>
        <w:t>Zgodność z obowiązującymi wieloletnimi ramami finansowymi</w:t>
      </w:r>
      <w:bookmarkEnd w:id="49"/>
      <w:bookmarkEnd w:id="50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Wniosek/inicjatywa: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może zostać w pełni sfinansowany(a) w ramach odpowiedniego działu wieloletnich ram finansowych (WRF).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wymaga zastosowania nieprzydzielonego marginesu środków w ramach odpowiedniego działu WRF lub zastosowania specjalnych instrumentów zdefiniowanych w rozporządzeniu w sprawie WRF.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który wariant jest konieczny, określając działy i linie budżetowe, których ma dotyczyć, odpowiadające im kwoty oraz proponowane instrumenty, które należy zastosować.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wymaga rewizji WRF.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który wariant jest konieczny, określając linie budżetowe, których ma on dotyczyć, oraz podając odpowiednie kwoty.</w:t>
      </w:r>
    </w:p>
    <w:p>
      <w:pPr>
        <w:pStyle w:val="ManualHeading3"/>
        <w:rPr>
          <w:bCs/>
          <w:noProof/>
          <w:szCs w:val="24"/>
        </w:rPr>
      </w:pPr>
      <w:bookmarkStart w:id="51" w:name="_Toc514938058"/>
      <w:bookmarkStart w:id="52" w:name="_Toc520485056"/>
      <w:r>
        <w:t>3.2.5.</w:t>
      </w:r>
      <w:r>
        <w:tab/>
      </w:r>
      <w:r>
        <w:rPr>
          <w:noProof/>
        </w:rPr>
        <w:t>Udział osób trzecich w finansowaniu</w:t>
      </w:r>
      <w:bookmarkEnd w:id="51"/>
      <w:bookmarkEnd w:id="52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Wniosek/inicjatywa: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nie przewiduje współfinansowania ze strony osób trzecich</w:t>
      </w:r>
    </w:p>
    <w:p>
      <w:pPr>
        <w:pStyle w:val="ListDash1"/>
        <w:rPr>
          <w:noProof/>
        </w:rPr>
      </w:pPr>
      <w:r>
        <w:rPr>
          <w:noProof/>
        </w:rPr>
        <w:tab/>
        <w:t>przewiduje współfinansowanie ze strony osób trzecich szacowane zgodnie z poniższymi szacunkami: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 xml:space="preserve">Środki w EUR </w:t>
      </w:r>
    </w:p>
    <w:p>
      <w:pPr>
        <w:jc w:val="right"/>
        <w:rPr>
          <w:noProof/>
          <w:sz w:val="20"/>
        </w:rPr>
      </w:pPr>
    </w:p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53" w:name="_Toc514938059"/>
      <w:bookmarkStart w:id="54" w:name="_Toc520485057"/>
      <w:r>
        <w:t>3.3.</w:t>
      </w:r>
      <w:r>
        <w:tab/>
      </w:r>
      <w:r>
        <w:rPr>
          <w:noProof/>
        </w:rPr>
        <w:t>Szacunkowy wpływ na dochody</w:t>
      </w:r>
      <w:bookmarkEnd w:id="53"/>
      <w:bookmarkEnd w:id="54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Wniosek/inicjatywa nie ma wpływu finansowego na dochody. </w:t>
      </w:r>
    </w:p>
    <w:p>
      <w:pPr>
        <w:pStyle w:val="ListDash1"/>
        <w:rPr>
          <w:noProof/>
        </w:rPr>
      </w:pPr>
      <w:r>
        <w:rPr>
          <w:noProof/>
        </w:rPr>
        <w:tab/>
        <w:t>Wniosek/inicjatywa ma wpływ finansowy określony poniżej:</w:t>
      </w:r>
    </w:p>
    <w:p>
      <w:pPr>
        <w:pStyle w:val="Tiret2"/>
        <w:numPr>
          <w:ilvl w:val="0"/>
          <w:numId w:val="1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zasoby własne </w:t>
      </w:r>
    </w:p>
    <w:p>
      <w:pPr>
        <w:pStyle w:val="Tiret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wpływ na dochody inne</w:t>
      </w:r>
    </w:p>
    <w:p>
      <w:pPr>
        <w:pStyle w:val="Tiret2"/>
        <w:rPr>
          <w:noProof/>
        </w:rPr>
      </w:pPr>
      <w:r>
        <w:rPr>
          <w:noProof/>
        </w:rPr>
        <w:t>Wskazać, czy dochody są przypisane do linii budżetowej po stronie wydatków X</w:t>
      </w:r>
    </w:p>
    <w:p>
      <w:pPr>
        <w:pStyle w:val="ListNumberLevel3"/>
        <w:tabs>
          <w:tab w:val="clear" w:pos="2126"/>
        </w:tabs>
        <w:ind w:firstLine="0"/>
        <w:rPr>
          <w:noProof/>
        </w:rPr>
      </w:pPr>
    </w:p>
    <w:p>
      <w:pPr>
        <w:ind w:left="4320"/>
        <w:rPr>
          <w:i/>
          <w:noProof/>
          <w:sz w:val="20"/>
        </w:rPr>
      </w:pPr>
      <w:r>
        <w:rPr>
          <w:noProof/>
        </w:rPr>
        <w:t>EUR</w:t>
      </w:r>
    </w:p>
    <w:p>
      <w:pPr>
        <w:pStyle w:val="Text1"/>
        <w:rPr>
          <w:noProof/>
          <w:sz w:val="20"/>
        </w:rPr>
      </w:pPr>
      <w:r>
        <w:rPr>
          <w:noProof/>
        </w:rPr>
        <w:br/>
      </w: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W przypadku wpływu na dochody „przeznaczone na określony cel” należy wskazać linie budżetowe po stronie wydatków, które ten wpływ obejmie.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Nie dotyczy</w:t>
      </w:r>
    </w:p>
    <w:p>
      <w:pPr>
        <w:pStyle w:val="Text1"/>
        <w:rPr>
          <w:noProof/>
        </w:rPr>
      </w:pPr>
      <w:r>
        <w:rPr>
          <w:noProof/>
          <w:sz w:val="20"/>
        </w:rPr>
        <w:t>Pozostałe uwagi (np. metoda/wzór użyte do obliczenia wpływu na dochody albo inne informacje).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https://ec.europa.eu/commission/sites/beta-political/files/draft_withdrawal_agreement_0.pdf</w:t>
        </w:r>
      </w:hyperlink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COM(2018) 880 final z 13.11.2018.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Za inspirację posłużył wniosek dotyczący rozporządzenia Parlamentu Europejskiego i Rady zmieniającego rozporządzenie (UE) nr 1316/2013 w związku z wystąpieniem Zjednoczonego Królestwa z Unii – COM(2018) 568 z 1.8.2018.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1299/2013 z dnia 17 grudnia 2013 r. w sprawie przepisów szczegółowych dotyczących wsparcia z Europejskiego Funduszu Rozwoju Regionalnego w ramach celu „Europejska współpraca terytorialna” (Dz.U. L 347 z 20.12.2013, s. 259).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1303/2013 z 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 1083/2006 (Dz.U. L 347 z 20.12.2013, s. 320).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(UE, Euratom) 2018/1046 z dnia 18 lipca 2018 r. w sprawie zasad finansowych mających zastosowanie do budżetu ogólnego Unii, zmieniające rozporządzenia (UE) nr 1296/2013, (UE) nr 1301/2013, (UE) nr 1303/2013, (UE) nr 1304/2013, (UE) nr 1309/2013, (UE) nr 1316/2013, (UE) nr 223/2014 i (UE) nr 283/2014 oraz decyzję nr 541/2014/UE, a także uchylające rozporządzenie (UE, Euratom) nr 966/2012 (Dz.U. L 193 z 30.7.2018, s. 1).</w:t>
      </w:r>
    </w:p>
  </w:footnote>
  <w:footnote w:id="9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Wyjaśnienia dotyczące trybów zarządzania oraz odniesienia do rozporządzenia finansowego znajdują się na następującej stronie: </w:t>
      </w:r>
      <w:hyperlink r:id="rId2">
        <w:r>
          <w:rPr>
            <w:rStyle w:val="Hyperlink"/>
          </w:rPr>
          <w:t>https://myintracomm.ec.europa.eu/budgweb/EN/man/budgmanag/Pages/budgmanag.aspx</w:t>
        </w:r>
      </w:hyperlink>
      <w:r>
        <w:t xml:space="preserve"> 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Środki zróżnicowane / środki niezróżnicowane.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EFTA: Europejskie Stowarzyszenie Wolnego Handlu.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Kraje kandydujące oraz w stosownych przypadkach potencjalne kraje kandydujące Bałkanów Zachodnich.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Rok N jest rokiem, w którym rozpoczyna się wprowadzanie w życie wniosku/inicjatywy. „N” należy zastąpić oczekiwanym pierwszym rokiem realizacji (np.: 2021). Tak samo należy postąpić dla kolejnych lat.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Produkty odnoszą się do produktów i usług, które zostaną zapewnione (np. liczba sfinansowanych wymian studentów, liczba kilometrów zbudowanych dróg itp.).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Zgodnie z opisem w pkt 1.4.2. „Cele szczegółowe …”. </w:t>
      </w:r>
    </w:p>
  </w:footnote>
  <w:footnote w:id="16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Rok N jest rokiem, w którym rozpoczyna się wprowadzanie w życie wniosku/inicjatywy. „N” należy zastąpić oczekiwanym pierwszym rokiem realizacji (np.: 2021). Tak samo należy postąpić dla kolejnych lat.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CA = personel kontraktowy; LA = personel miejscowy; SNE = oddelegowany ekspert krajowy; INT = personel tymczasowy; JED = młodszy oddelegowany ekspert. 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ramach podpułapu na personel zewnętrzny ze środków operacyjnych (dawne linie „BA”).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40EE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E4268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6A6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804D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B8633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BC46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8C8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0345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5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22"/>
  </w:num>
  <w:num w:numId="18">
    <w:abstractNumId w:val="14"/>
  </w:num>
  <w:num w:numId="19">
    <w:abstractNumId w:val="24"/>
  </w:num>
  <w:num w:numId="20">
    <w:abstractNumId w:val="12"/>
  </w:num>
  <w:num w:numId="21">
    <w:abstractNumId w:val="15"/>
  </w:num>
  <w:num w:numId="22">
    <w:abstractNumId w:val="10"/>
  </w:num>
  <w:num w:numId="23">
    <w:abstractNumId w:val="23"/>
  </w:num>
  <w:num w:numId="24">
    <w:abstractNumId w:val="9"/>
  </w:num>
  <w:num w:numId="25">
    <w:abstractNumId w:val="16"/>
  </w:num>
  <w:num w:numId="26">
    <w:abstractNumId w:val="20"/>
  </w:num>
  <w:num w:numId="27">
    <w:abstractNumId w:val="21"/>
  </w:num>
  <w:num w:numId="28">
    <w:abstractNumId w:val="11"/>
  </w:num>
  <w:num w:numId="29">
    <w:abstractNumId w:val="19"/>
  </w:num>
  <w:num w:numId="30">
    <w:abstractNumId w:val="25"/>
  </w:num>
  <w:num w:numId="31">
    <w:abstractNumId w:val="22"/>
  </w:num>
  <w:num w:numId="32">
    <w:abstractNumId w:val="14"/>
  </w:num>
  <w:num w:numId="33">
    <w:abstractNumId w:val="24"/>
  </w:num>
  <w:num w:numId="34">
    <w:abstractNumId w:val="12"/>
  </w:num>
  <w:num w:numId="35">
    <w:abstractNumId w:val="15"/>
  </w:num>
  <w:num w:numId="36">
    <w:abstractNumId w:val="10"/>
  </w:num>
  <w:num w:numId="37">
    <w:abstractNumId w:val="23"/>
  </w:num>
  <w:num w:numId="38">
    <w:abstractNumId w:val="9"/>
  </w:num>
  <w:num w:numId="39">
    <w:abstractNumId w:val="16"/>
  </w:num>
  <w:num w:numId="40">
    <w:abstractNumId w:val="20"/>
  </w:num>
  <w:num w:numId="41">
    <w:abstractNumId w:val="21"/>
  </w:num>
  <w:num w:numId="42">
    <w:abstractNumId w:val="11"/>
  </w:num>
  <w:num w:numId="43">
    <w:abstractNumId w:val="19"/>
  </w:num>
  <w:num w:numId="44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1 10:14:0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435AA53-724F-45E7-B2DE-E726ED899929"/>
    <w:docVar w:name="LW_COVERPAGE_TYPE" w:val="1"/>
    <w:docVar w:name="LW_CROSSREFERENCE" w:val="&lt;UNUSED&gt;"/>
    <w:docVar w:name="LW_DocType" w:val="COM"/>
    <w:docVar w:name="LW_EMISSION" w:val="19.12.2018"/>
    <w:docVar w:name="LW_EMISSION_ISODATE" w:val="2018-12-19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32"/>
    <w:docVar w:name="LW_REF.II.NEW.CP_YEAR" w:val="2018"/>
    <w:docVar w:name="LW_REF.INST.NEW" w:val="COM"/>
    <w:docVar w:name="LW_REF.INST.NEW_ADOPTED" w:val="final"/>
    <w:docVar w:name="LW_REF.INST.NEW_TEXT" w:val="(2018) 89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celu umo\u380?liwienia kontynuacji programów wspó\u322?pracy terytorialnej PEACE IV (Irlandia - Zjednoczone Królestwo) i Zjednoczone Królestwo \u8211? Irlandia (Irlandia \u8211? Irlandia Pó\u322?nocna \u8211? Szkocja) w kontek\u347?cie wyst\u261?pienia Zjednoczonego Królestwa z Unii Europejskiej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pl-PL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Normal"/>
    <w:pPr>
      <w:numPr>
        <w:numId w:val="12"/>
      </w:numPr>
    </w:pPr>
  </w:style>
  <w:style w:type="paragraph" w:customStyle="1" w:styleId="ListDash2">
    <w:name w:val="List Dash 2"/>
    <w:basedOn w:val="Normal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pl-PL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1"/>
      </w:numPr>
    </w:pPr>
  </w:style>
  <w:style w:type="paragraph" w:customStyle="1" w:styleId="Tiret1">
    <w:name w:val="Tiret 1"/>
    <w:basedOn w:val="Point1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8"/>
      </w:numPr>
    </w:pPr>
  </w:style>
  <w:style w:type="paragraph" w:customStyle="1" w:styleId="Point1number">
    <w:name w:val="Point 1 (number)"/>
    <w:basedOn w:val="Normal"/>
    <w:pPr>
      <w:numPr>
        <w:ilvl w:val="2"/>
        <w:numId w:val="38"/>
      </w:numPr>
    </w:pPr>
  </w:style>
  <w:style w:type="paragraph" w:customStyle="1" w:styleId="Point2number">
    <w:name w:val="Point 2 (number)"/>
    <w:basedOn w:val="Normal"/>
    <w:pPr>
      <w:numPr>
        <w:ilvl w:val="4"/>
        <w:numId w:val="38"/>
      </w:numPr>
    </w:pPr>
  </w:style>
  <w:style w:type="paragraph" w:customStyle="1" w:styleId="Point3number">
    <w:name w:val="Point 3 (number)"/>
    <w:basedOn w:val="Normal"/>
    <w:pPr>
      <w:numPr>
        <w:ilvl w:val="6"/>
        <w:numId w:val="38"/>
      </w:numPr>
    </w:pPr>
  </w:style>
  <w:style w:type="paragraph" w:customStyle="1" w:styleId="Point0letter">
    <w:name w:val="Point 0 (letter)"/>
    <w:basedOn w:val="Normal"/>
    <w:pPr>
      <w:numPr>
        <w:ilvl w:val="1"/>
        <w:numId w:val="38"/>
      </w:numPr>
    </w:pPr>
  </w:style>
  <w:style w:type="paragraph" w:customStyle="1" w:styleId="Point1letter">
    <w:name w:val="Point 1 (letter)"/>
    <w:basedOn w:val="Normal"/>
    <w:pPr>
      <w:numPr>
        <w:ilvl w:val="3"/>
        <w:numId w:val="38"/>
      </w:numPr>
    </w:pPr>
  </w:style>
  <w:style w:type="paragraph" w:customStyle="1" w:styleId="Point2letter">
    <w:name w:val="Point 2 (letter)"/>
    <w:basedOn w:val="Normal"/>
    <w:pPr>
      <w:numPr>
        <w:ilvl w:val="5"/>
        <w:numId w:val="38"/>
      </w:numPr>
    </w:pPr>
  </w:style>
  <w:style w:type="paragraph" w:customStyle="1" w:styleId="Point3letter">
    <w:name w:val="Point 3 (letter)"/>
    <w:basedOn w:val="Normal"/>
    <w:pPr>
      <w:numPr>
        <w:ilvl w:val="7"/>
        <w:numId w:val="38"/>
      </w:numPr>
    </w:pPr>
  </w:style>
  <w:style w:type="paragraph" w:customStyle="1" w:styleId="Point4letter">
    <w:name w:val="Point 4 (letter)"/>
    <w:basedOn w:val="Normal"/>
    <w:pPr>
      <w:numPr>
        <w:ilvl w:val="8"/>
        <w:numId w:val="38"/>
      </w:numPr>
    </w:pPr>
  </w:style>
  <w:style w:type="paragraph" w:customStyle="1" w:styleId="Bullet0">
    <w:name w:val="Bullet 0"/>
    <w:basedOn w:val="Normal"/>
    <w:pPr>
      <w:numPr>
        <w:numId w:val="39"/>
      </w:numPr>
    </w:pPr>
  </w:style>
  <w:style w:type="paragraph" w:customStyle="1" w:styleId="Bullet1">
    <w:name w:val="Bullet 1"/>
    <w:basedOn w:val="Normal"/>
    <w:pPr>
      <w:numPr>
        <w:numId w:val="40"/>
      </w:numPr>
    </w:pPr>
  </w:style>
  <w:style w:type="paragraph" w:customStyle="1" w:styleId="Bullet2">
    <w:name w:val="Bullet 2"/>
    <w:basedOn w:val="Normal"/>
    <w:pPr>
      <w:numPr>
        <w:numId w:val="41"/>
      </w:numPr>
    </w:pPr>
  </w:style>
  <w:style w:type="paragraph" w:customStyle="1" w:styleId="Bullet3">
    <w:name w:val="Bullet 3"/>
    <w:basedOn w:val="Normal"/>
    <w:pPr>
      <w:numPr>
        <w:numId w:val="42"/>
      </w:numPr>
    </w:pPr>
  </w:style>
  <w:style w:type="paragraph" w:customStyle="1" w:styleId="Bullet4">
    <w:name w:val="Bullet 4"/>
    <w:basedOn w:val="Normal"/>
    <w:pPr>
      <w:numPr>
        <w:numId w:val="4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pl-PL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Normal"/>
    <w:pPr>
      <w:numPr>
        <w:numId w:val="12"/>
      </w:numPr>
    </w:pPr>
  </w:style>
  <w:style w:type="paragraph" w:customStyle="1" w:styleId="ListDash2">
    <w:name w:val="List Dash 2"/>
    <w:basedOn w:val="Normal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TOCHeadingChar">
    <w:name w:val="TOC Heading Char"/>
    <w:basedOn w:val="DefaultParagraphFont"/>
    <w:uiPriority w:val="39"/>
    <w:rPr>
      <w:rFonts w:ascii="Times New Roman" w:hAnsi="Times New Roman" w:cs="Times New Roman"/>
      <w:b/>
      <w:sz w:val="28"/>
      <w:lang w:val="pl-PL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hAnsi="Times New Roman" w:cs="Times New Roman"/>
      <w:b w:val="0"/>
      <w:sz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TOCHeadingChar"/>
    <w:link w:val="HeaderCoverPage"/>
    <w:rPr>
      <w:rFonts w:ascii="Times New Roman" w:hAnsi="Times New Roman" w:cs="Times New Roman"/>
      <w:b w:val="0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1"/>
      </w:numPr>
    </w:pPr>
  </w:style>
  <w:style w:type="paragraph" w:customStyle="1" w:styleId="Tiret1">
    <w:name w:val="Tiret 1"/>
    <w:basedOn w:val="Point1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8"/>
      </w:numPr>
    </w:pPr>
  </w:style>
  <w:style w:type="paragraph" w:customStyle="1" w:styleId="Point1number">
    <w:name w:val="Point 1 (number)"/>
    <w:basedOn w:val="Normal"/>
    <w:pPr>
      <w:numPr>
        <w:ilvl w:val="2"/>
        <w:numId w:val="38"/>
      </w:numPr>
    </w:pPr>
  </w:style>
  <w:style w:type="paragraph" w:customStyle="1" w:styleId="Point2number">
    <w:name w:val="Point 2 (number)"/>
    <w:basedOn w:val="Normal"/>
    <w:pPr>
      <w:numPr>
        <w:ilvl w:val="4"/>
        <w:numId w:val="38"/>
      </w:numPr>
    </w:pPr>
  </w:style>
  <w:style w:type="paragraph" w:customStyle="1" w:styleId="Point3number">
    <w:name w:val="Point 3 (number)"/>
    <w:basedOn w:val="Normal"/>
    <w:pPr>
      <w:numPr>
        <w:ilvl w:val="6"/>
        <w:numId w:val="38"/>
      </w:numPr>
    </w:pPr>
  </w:style>
  <w:style w:type="paragraph" w:customStyle="1" w:styleId="Point0letter">
    <w:name w:val="Point 0 (letter)"/>
    <w:basedOn w:val="Normal"/>
    <w:pPr>
      <w:numPr>
        <w:ilvl w:val="1"/>
        <w:numId w:val="38"/>
      </w:numPr>
    </w:pPr>
  </w:style>
  <w:style w:type="paragraph" w:customStyle="1" w:styleId="Point1letter">
    <w:name w:val="Point 1 (letter)"/>
    <w:basedOn w:val="Normal"/>
    <w:pPr>
      <w:numPr>
        <w:ilvl w:val="3"/>
        <w:numId w:val="38"/>
      </w:numPr>
    </w:pPr>
  </w:style>
  <w:style w:type="paragraph" w:customStyle="1" w:styleId="Point2letter">
    <w:name w:val="Point 2 (letter)"/>
    <w:basedOn w:val="Normal"/>
    <w:pPr>
      <w:numPr>
        <w:ilvl w:val="5"/>
        <w:numId w:val="38"/>
      </w:numPr>
    </w:pPr>
  </w:style>
  <w:style w:type="paragraph" w:customStyle="1" w:styleId="Point3letter">
    <w:name w:val="Point 3 (letter)"/>
    <w:basedOn w:val="Normal"/>
    <w:pPr>
      <w:numPr>
        <w:ilvl w:val="7"/>
        <w:numId w:val="38"/>
      </w:numPr>
    </w:pPr>
  </w:style>
  <w:style w:type="paragraph" w:customStyle="1" w:styleId="Point4letter">
    <w:name w:val="Point 4 (letter)"/>
    <w:basedOn w:val="Normal"/>
    <w:pPr>
      <w:numPr>
        <w:ilvl w:val="8"/>
        <w:numId w:val="38"/>
      </w:numPr>
    </w:pPr>
  </w:style>
  <w:style w:type="paragraph" w:customStyle="1" w:styleId="Bullet0">
    <w:name w:val="Bullet 0"/>
    <w:basedOn w:val="Normal"/>
    <w:pPr>
      <w:numPr>
        <w:numId w:val="39"/>
      </w:numPr>
    </w:pPr>
  </w:style>
  <w:style w:type="paragraph" w:customStyle="1" w:styleId="Bullet1">
    <w:name w:val="Bullet 1"/>
    <w:basedOn w:val="Normal"/>
    <w:pPr>
      <w:numPr>
        <w:numId w:val="40"/>
      </w:numPr>
    </w:pPr>
  </w:style>
  <w:style w:type="paragraph" w:customStyle="1" w:styleId="Bullet2">
    <w:name w:val="Bullet 2"/>
    <w:basedOn w:val="Normal"/>
    <w:pPr>
      <w:numPr>
        <w:numId w:val="41"/>
      </w:numPr>
    </w:pPr>
  </w:style>
  <w:style w:type="paragraph" w:customStyle="1" w:styleId="Bullet3">
    <w:name w:val="Bullet 3"/>
    <w:basedOn w:val="Normal"/>
    <w:pPr>
      <w:numPr>
        <w:numId w:val="42"/>
      </w:numPr>
    </w:pPr>
  </w:style>
  <w:style w:type="paragraph" w:customStyle="1" w:styleId="Bullet4">
    <w:name w:val="Bullet 4"/>
    <w:basedOn w:val="Normal"/>
    <w:pPr>
      <w:numPr>
        <w:numId w:val="4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myintracomm.ec.europa.eu/budgweb/EN/leg/internal/Documents/2016-5-legislative-financial-statement-ann-en.docx" TargetMode="External"/><Relationship Id="rId27" Type="http://schemas.openxmlformats.org/officeDocument/2006/relationships/header" Target="header6.xml"/><Relationship Id="rId30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intracomm.ec.europa.eu/budgweb/EN/man/budgmanag/Pages/budgmanag.aspx" TargetMode="External"/><Relationship Id="rId1" Type="http://schemas.openxmlformats.org/officeDocument/2006/relationships/hyperlink" Target="https://ec.europa.eu/commission/sites/beta-political/files/draft_withdrawal_agreement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B0AC-03B6-4A47-A2F9-041C46CC9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865B-36F0-4138-B199-ECE1D0A637C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AF0D82-652B-49F8-AE82-E378CACF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AE0B0-F058-49FE-8663-1102E71390B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496438B-9272-4DA0-821F-6C77312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20</Pages>
  <Words>3545</Words>
  <Characters>23257</Characters>
  <Application>Microsoft Office Word</Application>
  <DocSecurity>0</DocSecurity>
  <Lines>1224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2018-12-20T10:29:00Z</dcterms:created>
  <dcterms:modified xsi:type="dcterms:W3CDTF">2018-12-21T09:14:00Z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SJ-023</vt:lpwstr>
  </property>
  <property fmtid="{D5CDD505-2E9C-101B-9397-08002B2CF9AE}" pid="8" name="ContentTypeId">
    <vt:lpwstr>0x010100258AA79CEB83498886A3A0868112325000D33D44CF0C8FEB45875F235DEEF2E1B9</vt:lpwstr>
  </property>
  <property fmtid="{D5CDD505-2E9C-101B-9397-08002B2CF9AE}" pid="9" name="DQCStatus">
    <vt:lpwstr>Green (DQC version 03)</vt:lpwstr>
  </property>
</Properties>
</file>