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5C0FCC00-BC3E-40E4-8650-AEBBD7F62015" style="width:450.8pt;height:365.9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pBdr>
          <w:top w:val="nil"/>
          <w:left w:val="nil"/>
          <w:bottom w:val="nil"/>
          <w:right w:val="nil"/>
          <w:between w:val="nil"/>
          <w:bar w:val="nil"/>
        </w:pBdr>
        <w:spacing w:before="0" w:after="240"/>
        <w:rPr>
          <w:noProof/>
        </w:rPr>
      </w:pPr>
      <w:r>
        <w:rPr>
          <w:noProof/>
        </w:rPr>
        <w:t>Yhdistynyt kuningaskunta ilmoitti 29. maaliskuuta 2017 aikomuksestaan erota EU:sta SEU-sopimuksen 50 artiklan nojalla. Tämä tarkoittaa sitä, että jos erosopimusta</w:t>
      </w:r>
      <w:r>
        <w:rPr>
          <w:rStyle w:val="FootnoteReference"/>
          <w:noProof/>
        </w:rPr>
        <w:footnoteReference w:id="1"/>
      </w:r>
      <w:r>
        <w:rPr>
          <w:noProof/>
        </w:rPr>
        <w:t xml:space="preserve"> ei ratifioida, unionin primaarioikeuden ja johdetun oikeuden soveltaminen Yhdistyneeseen kuningaskuntaan lakkaa 30. maaliskuuta 2019, jäljempänä ’eropäivämäärä’. Tämän seurauksena Yhdistyneestä kuningaskunnasta tulee ns. kolmas maa.</w:t>
      </w:r>
    </w:p>
    <w:p>
      <w:pPr>
        <w:pBdr>
          <w:top w:val="nil"/>
          <w:left w:val="nil"/>
          <w:bottom w:val="nil"/>
          <w:right w:val="nil"/>
          <w:between w:val="nil"/>
          <w:bar w:val="nil"/>
        </w:pBdr>
        <w:spacing w:before="0" w:after="240"/>
        <w:rPr>
          <w:noProof/>
        </w:rPr>
      </w:pPr>
      <w:r>
        <w:rPr>
          <w:noProof/>
        </w:rPr>
        <w:t>Komission tiedonannossa ”Valmistautuminen Yhdistyneen kuningaskunnan eroamiseen Euroopan unionista 30. maaliskuuta 2019: Varautumissuunnitelma”</w:t>
      </w:r>
      <w:r>
        <w:rPr>
          <w:rStyle w:val="FootnoteReference"/>
          <w:noProof/>
        </w:rPr>
        <w:footnoteReference w:id="2"/>
      </w:r>
      <w:r>
        <w:rPr>
          <w:noProof/>
        </w:rPr>
        <w:t xml:space="preserve"> todetaan seuraavaa: ”Komissio on myös sitoutunut varmistamaan, että Irlannin ja Pohjois-Irlannin rajakreivikuntien välillä toteutettavia PEACE- ja INTERREG-ohjelmia, joihin Yhdistynyt kuningaskunta osallistuu, jatketaan myös eron jälkeen.”</w:t>
      </w:r>
    </w:p>
    <w:p>
      <w:pPr>
        <w:pBdr>
          <w:top w:val="nil"/>
          <w:left w:val="nil"/>
          <w:bottom w:val="nil"/>
          <w:right w:val="nil"/>
          <w:between w:val="nil"/>
          <w:bar w:val="nil"/>
        </w:pBdr>
        <w:spacing w:before="0" w:after="240"/>
        <w:rPr>
          <w:noProof/>
        </w:rPr>
      </w:pPr>
      <w:r>
        <w:rPr>
          <w:noProof/>
        </w:rPr>
        <w:t>Eurooppa-neuvosto (50 artikla) kehotti uudelleen 13. joulukuuta 2018 valmistautumaan entistä vahvemmin kaikilla tasoilla Yhdistyneen kuningaskunnan eron seurauksiin ottamalla huomioon kaikki mahdolliset tulokset. Tämä säädös on osa toimenpidepakettia, jonka komissio hyväksyy vastauksena kyseiseen kehotukseen.</w:t>
      </w:r>
    </w:p>
    <w:p>
      <w:pPr>
        <w:pBdr>
          <w:top w:val="nil"/>
          <w:left w:val="nil"/>
          <w:bottom w:val="nil"/>
          <w:right w:val="nil"/>
          <w:between w:val="nil"/>
          <w:bar w:val="nil"/>
        </w:pBdr>
        <w:spacing w:before="0" w:after="240"/>
        <w:rPr>
          <w:noProof/>
        </w:rPr>
      </w:pPr>
      <w:r>
        <w:rPr>
          <w:noProof/>
        </w:rPr>
        <w:t xml:space="preserve">Ehdotuksen tavoitteena on varmistaa kahden Irlantia koskevan kahdenvälisen yhteistyöohjelman eli PEACE IV -ohjelman (Ireland-United Kingdom) sekä Yhdistynyt kuningaskunta – Irlanti </w:t>
      </w:r>
      <w:r>
        <w:rPr>
          <w:noProof/>
        </w:rPr>
        <w:noBreakHyphen/>
        <w:t>ohjelman (Ireland-Northern Ireland-Scotland) jatkuminen.</w:t>
      </w: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pBdr>
          <w:top w:val="nil"/>
          <w:left w:val="nil"/>
          <w:bottom w:val="nil"/>
          <w:right w:val="nil"/>
          <w:between w:val="nil"/>
          <w:bar w:val="nil"/>
        </w:pBdr>
        <w:spacing w:before="0" w:after="240"/>
        <w:rPr>
          <w:noProof/>
        </w:rPr>
      </w:pPr>
      <w:r>
        <w:rPr>
          <w:noProof/>
        </w:rPr>
        <w:t>Ehdotuksen tavoitteena on nykyisten ohjelmien jatkuminen.</w:t>
      </w:r>
    </w:p>
    <w:p>
      <w:pPr>
        <w:pStyle w:val="ManualHeading2"/>
        <w:rPr>
          <w:rFonts w:eastAsia="Arial Unicode MS"/>
          <w:noProof/>
        </w:rPr>
      </w:pPr>
      <w:r>
        <w:rPr>
          <w:noProof/>
          <w:color w:val="000000"/>
          <w:u w:color="000000"/>
          <w:bdr w:val="nil"/>
        </w:rPr>
        <w:t>•</w:t>
      </w:r>
      <w:r>
        <w:rPr>
          <w:noProof/>
        </w:rPr>
        <w:tab/>
        <w:t>Yhdenmukaisuus unionin muiden politiikkojen kanssa</w:t>
      </w:r>
    </w:p>
    <w:p>
      <w:pPr>
        <w:pBdr>
          <w:top w:val="nil"/>
          <w:left w:val="nil"/>
          <w:bottom w:val="nil"/>
          <w:right w:val="nil"/>
          <w:between w:val="nil"/>
          <w:bar w:val="nil"/>
        </w:pBdr>
        <w:spacing w:before="0" w:after="240"/>
        <w:rPr>
          <w:rFonts w:eastAsia="Arial Unicode MS"/>
          <w:noProof/>
        </w:rPr>
      </w:pPr>
      <w:r>
        <w:rPr>
          <w:noProof/>
        </w:rPr>
        <w:t>Ehdotus vastaa kaikilta osin neuvoston valtuutusta neuvotella Yhdistyneen kuningaskunnan kanssa sen eroamisesta unionista</w:t>
      </w:r>
      <w:r>
        <w:rPr>
          <w:rStyle w:val="FootnoteReference"/>
          <w:noProof/>
        </w:rPr>
        <w:footnoteReference w:id="3"/>
      </w:r>
      <w:r>
        <w:rPr>
          <w:noProof/>
        </w:rPr>
        <w:t>.</w:t>
      </w:r>
      <w:r>
        <w:rPr>
          <w:rStyle w:val="CommentReference"/>
          <w:rFonts w:asciiTheme="minorHAnsi" w:hAnsiTheme="minorHAnsi" w:cstheme="minorBidi"/>
          <w:noProof/>
        </w:rPr>
        <w:t xml:space="preserve"> </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pStyle w:val="ManualHeading2"/>
        <w:rPr>
          <w:rFonts w:eastAsia="Arial Unicode MS"/>
          <w:noProof/>
          <w:u w:color="000000"/>
          <w:bdr w:val="nil"/>
        </w:rPr>
      </w:pPr>
      <w:r>
        <w:rPr>
          <w:noProof/>
        </w:rPr>
        <w:t>SEUT-sopimuksen 178 artikla•</w:t>
      </w:r>
      <w:r>
        <w:rPr>
          <w:noProof/>
        </w:rPr>
        <w:tab/>
        <w:t xml:space="preserve">Toissijaisuusperiaate (jaetun toimivallan osalta) </w:t>
      </w:r>
    </w:p>
    <w:p>
      <w:pPr>
        <w:pBdr>
          <w:top w:val="nil"/>
          <w:left w:val="nil"/>
          <w:bottom w:val="nil"/>
          <w:right w:val="nil"/>
          <w:between w:val="nil"/>
          <w:bar w:val="nil"/>
        </w:pBdr>
        <w:spacing w:before="0" w:after="240"/>
        <w:rPr>
          <w:rFonts w:eastAsia="Arial Unicode MS"/>
          <w:noProof/>
        </w:rPr>
      </w:pPr>
      <w:r>
        <w:rPr>
          <w:noProof/>
        </w:rPr>
        <w:t>Ehdotetulla säädöksellä pyritään varmistamaan kahden sellaisen yhteistyöohjelman jatkuminen, joista säädetään asetuksella (EU) N:o 1299/2013, minkä vuoksi näiden ohjelmien toissijaisuusperiaatteen noudattamista on tarkasteltu jo kyseisen asetuksen hyväksymisen yhteydessä.</w:t>
      </w:r>
    </w:p>
    <w:p>
      <w:pPr>
        <w:pStyle w:val="ManualHeading2"/>
        <w:rPr>
          <w:rFonts w:eastAsia="Arial Unicode MS"/>
          <w:noProof/>
          <w:u w:color="000000"/>
          <w:bdr w:val="nil"/>
        </w:rPr>
      </w:pPr>
      <w:r>
        <w:rPr>
          <w:noProof/>
        </w:rPr>
        <w:lastRenderedPageBreak/>
        <w:t>•</w:t>
      </w:r>
      <w:r>
        <w:rPr>
          <w:noProof/>
        </w:rPr>
        <w:tab/>
        <w:t>Suhteellisuusperiaate</w:t>
      </w:r>
    </w:p>
    <w:p>
      <w:pPr>
        <w:pBdr>
          <w:top w:val="nil"/>
          <w:left w:val="nil"/>
          <w:bottom w:val="nil"/>
          <w:right w:val="nil"/>
          <w:between w:val="nil"/>
          <w:bar w:val="nil"/>
        </w:pBdr>
        <w:spacing w:before="0" w:after="240"/>
        <w:rPr>
          <w:rFonts w:eastAsia="Arial Unicode MS"/>
          <w:noProof/>
        </w:rPr>
      </w:pPr>
      <w:r>
        <w:rPr>
          <w:noProof/>
        </w:rPr>
        <w:t xml:space="preserve">Ehdotuksen katsotaan olevan oikeasuhteinen, koska sillä tehdään tarvittavat muutokset lainsäädäntöön eikä ylitetä sitä, mikä on tarpeen kahden Pohjois-Irlannin aluetta koskevan pohjoisen ja etelän välisen yhteistyöohjelman hallitun jatkumisen kannalta. </w:t>
      </w:r>
    </w:p>
    <w:p>
      <w:pPr>
        <w:pStyle w:val="ManualHeading2"/>
        <w:rPr>
          <w:rFonts w:eastAsia="Arial Unicode MS"/>
          <w:noProof/>
          <w:u w:color="000000"/>
          <w:bdr w:val="nil"/>
        </w:rPr>
      </w:pPr>
      <w:r>
        <w:rPr>
          <w:noProof/>
        </w:rPr>
        <w:t>•</w:t>
      </w:r>
      <w:r>
        <w:rPr>
          <w:noProof/>
        </w:rPr>
        <w:tab/>
        <w:t>Toimintatavan valinta</w:t>
      </w:r>
    </w:p>
    <w:p>
      <w:pPr>
        <w:pBdr>
          <w:top w:val="nil"/>
          <w:left w:val="nil"/>
          <w:bottom w:val="nil"/>
          <w:right w:val="nil"/>
          <w:between w:val="nil"/>
          <w:bar w:val="nil"/>
        </w:pBdr>
        <w:spacing w:before="0" w:after="240"/>
        <w:rPr>
          <w:noProof/>
        </w:rPr>
      </w:pPr>
      <w:r>
        <w:rPr>
          <w:noProof/>
        </w:rPr>
        <w:t>Säädös perustuu asetukseen (EU) N:o 1299/2013, minkä vuoksi asetusehdotus on ainoa soveltuva muoto.</w:t>
      </w:r>
    </w:p>
    <w:p>
      <w:pPr>
        <w:pBdr>
          <w:top w:val="nil"/>
          <w:left w:val="nil"/>
          <w:bottom w:val="nil"/>
          <w:right w:val="nil"/>
          <w:between w:val="nil"/>
          <w:bar w:val="nil"/>
        </w:pBdr>
        <w:spacing w:before="0" w:after="240"/>
        <w:rPr>
          <w:noProof/>
        </w:rPr>
      </w:pPr>
      <w:r>
        <w:rPr>
          <w:noProof/>
        </w:rPr>
        <w:t xml:space="preserve">Tätä asetusta, joka tulee voimaan sitä päivää seuraavana päivänä, jona se on julkaistu </w:t>
      </w:r>
      <w:r>
        <w:rPr>
          <w:i/>
          <w:noProof/>
        </w:rPr>
        <w:t>Euroopan unionin virallisessa lehdessä</w:t>
      </w:r>
      <w:r>
        <w:rPr>
          <w:noProof/>
        </w:rPr>
        <w:t xml:space="preserve">, ryhdytään soveltamaan vain, jos Yhdistyneen kuningaskunnan kanssa Euroopan unionista tehdyn sopimuksen 50 artiklan 2 kohdan mukaisesti tehty erosopimus ei ole tullut voimaan siihen päivään mennessä, jolloin perussopimuksia lakataan soveltamasta Yhdistyneeseen kuningaskuntaan ja Yhdistyneessä kuningaskunnassa. Tämän vuoksi ehdotettu ad hoc </w:t>
      </w:r>
      <w:r>
        <w:rPr>
          <w:noProof/>
        </w:rPr>
        <w:noBreakHyphen/>
        <w:t>säädös on tarkoituksenmukaisempi kuin muutossäädöksenä annettu asetus.</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Sidosryhmien kuuleminen</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Ehdotuksen valmistelu on täytynyt suorittaa kiireellisesti, jotta lainsäätäjät voivat hyväksyä sen ajoissa, minkä vuoksi sidosryhmien kuulemista ei ole voitu toteuttaa. </w:t>
      </w:r>
    </w:p>
    <w:p>
      <w:pPr>
        <w:pStyle w:val="ManualHeading2"/>
        <w:rPr>
          <w:rFonts w:eastAsia="Arial Unicode MS"/>
          <w:noProof/>
          <w:u w:color="000000"/>
          <w:bdr w:val="nil"/>
        </w:rPr>
      </w:pPr>
      <w:r>
        <w:rPr>
          <w:noProof/>
        </w:rPr>
        <w:t>•</w:t>
      </w:r>
      <w:r>
        <w:rPr>
          <w:noProof/>
        </w:rPr>
        <w:tab/>
        <w:t>Vaikutustenarviointi</w:t>
      </w:r>
    </w:p>
    <w:p>
      <w:pPr>
        <w:pBdr>
          <w:top w:val="nil"/>
          <w:left w:val="nil"/>
          <w:bottom w:val="nil"/>
          <w:right w:val="nil"/>
          <w:between w:val="nil"/>
          <w:bar w:val="nil"/>
        </w:pBdr>
        <w:spacing w:before="0" w:after="240"/>
        <w:rPr>
          <w:rFonts w:eastAsia="Arial Unicode MS"/>
          <w:noProof/>
        </w:rPr>
      </w:pPr>
      <w:r>
        <w:rPr>
          <w:noProof/>
          <w:color w:val="000000" w:themeColor="text1"/>
        </w:rPr>
        <w:t xml:space="preserve">Paremman sääntelyn suuntaviivojen mukaisesti vaikutustenarviointia ei toimenpiteen luonteen vuoksi tehty. Käytettävissä ei ole muita, olennaisesti erilaisia toimintapoliittisia vaihtoehtoja. </w:t>
      </w:r>
      <w:r>
        <w:rPr>
          <w:noProof/>
        </w:rPr>
        <w:t>Suunniteltu toimenpide on ainoa mahdollinen toimintavaihtoehto, jolla voidaan varmistaa kahden Irlantia koskevan kahdenvälisen yhteistyöohjelman, eli PEACE IV (Ireland-United Kingdom) ja Yhdistynyt kuningaskunta – Irlanti (Ireland-Northern Ireland-Scotland), hallittu jatkuminen sen jälkeen, kun Yhdistynyt kuningaskunta on eronnut unionista.</w:t>
      </w:r>
    </w:p>
    <w:p>
      <w:pPr>
        <w:pStyle w:val="ManualHeading1"/>
        <w:rPr>
          <w:noProof/>
        </w:rPr>
      </w:pPr>
      <w:r>
        <w:rPr>
          <w:noProof/>
        </w:rPr>
        <w:t>4.</w:t>
      </w:r>
      <w:r>
        <w:rPr>
          <w:noProof/>
        </w:rPr>
        <w:tab/>
        <w:t>TALOUSARVIOVAIKUTUKSET</w:t>
      </w:r>
    </w:p>
    <w:p>
      <w:pPr>
        <w:pBdr>
          <w:top w:val="nil"/>
          <w:left w:val="nil"/>
          <w:bottom w:val="nil"/>
          <w:right w:val="nil"/>
          <w:between w:val="nil"/>
          <w:bar w:val="nil"/>
        </w:pBdr>
        <w:spacing w:before="0" w:after="240"/>
        <w:rPr>
          <w:noProof/>
          <w:color w:val="000000" w:themeColor="text1"/>
        </w:rPr>
      </w:pPr>
      <w:r>
        <w:rPr>
          <w:noProof/>
        </w:rPr>
        <w:t>Ehdotuksen tarkoituksena on varmistaa tilanteessa, jossa erosopimusta ei ratifioida, että kaksi Irlantia koskevaa kahdenvälistä yhteistyöohjelmaa, eli PEACE IV (Ireland-United Kingdom) sekä Yhdistynyt kuningaskunta – Irlanti (Ireland-Northern Ireland-Scotland), jatkuvat ohjelmien rahoituksen tai niille myönnettyjen määrien muuttumatta.</w:t>
      </w:r>
      <w:r>
        <w:rPr>
          <w:noProof/>
          <w:color w:val="000000" w:themeColor="text1"/>
        </w:rPr>
        <w:t xml:space="preserve"> Molemmat ohjelmat rahoitetaan edelleen unionin talousarviosta. Rahoituksen edellytyksenä on mahdollisuus toteuttaa tarvittavaa valvontaa ja tarkastuksia kaikilla osallistuvilla alueilla, ja tämä on vahvistettava komission ja Yhdistyneen kuningaskunnan viranomaisten välisellä sopimuksella.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2018/0432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jolla luodaan edellytykset alueellisten yhteistyöohjelmien PEACE IV (Ireland-United Kingdom) ja Yhdistynyt kuningaskunta – Irlanti (Ireland-Northern Ireland-Scotland) jatkamiselle Yhdistyneen kuningaskunnan erotessa Euroopan unionista</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178 artiklan,</w:t>
      </w:r>
    </w:p>
    <w:p>
      <w:pPr>
        <w:rPr>
          <w:noProof/>
          <w:szCs w:val="24"/>
        </w:rPr>
      </w:pPr>
      <w:r>
        <w:rPr>
          <w:noProof/>
        </w:rPr>
        <w:t xml:space="preserve">ottavat huomioon Euroopan komission ehdotuksen, </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4"/>
      </w:r>
      <w:r>
        <w:rPr>
          <w:noProof/>
        </w:rPr>
        <w:t xml:space="preserve">, </w:t>
      </w:r>
    </w:p>
    <w:p>
      <w:pPr>
        <w:rPr>
          <w:noProof/>
        </w:rPr>
      </w:pPr>
      <w:r>
        <w:rPr>
          <w:noProof/>
        </w:rPr>
        <w:t>ottavat huomioon alueiden komitean lausunnon</w:t>
      </w:r>
      <w:r>
        <w:rPr>
          <w:rStyle w:val="FootnoteReference"/>
          <w:noProof/>
        </w:rPr>
        <w:footnoteReference w:id="5"/>
      </w:r>
      <w:r>
        <w:rPr>
          <w:noProof/>
        </w:rPr>
        <w:t>,</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Yhdistynyt kuningaskunta ilmoitti 29 päivänä maaliskuuta 2017 aikomuksestaan erota unionista Euroopan unionista tehdyn sopimuksen 50 artiklan nojalla. Perussopimuksia lakataan soveltamasta Yhdistyneeseen kuningaskuntaan sinä päivänä, jona erosopimus tulee voimaan, tai, jollei sopimusta ole, kahden vuoden kuluttua ilmoituksesta eli 30 päivänä maaliskuuta 2019, jollei Eurooppa-neuvosto yhteisymmärryksessä Yhdistyneen kuningaskunnan kanssa päätä yksimielisesti pidentää tätä määräaikaa.</w:t>
      </w:r>
      <w:r>
        <w:rPr>
          <w:noProof/>
          <w:sz w:val="23"/>
        </w:rPr>
        <w:t xml:space="preserve"> </w:t>
      </w:r>
    </w:p>
    <w:p>
      <w:pPr>
        <w:pStyle w:val="ManualConsidrant"/>
        <w:rPr>
          <w:noProof/>
        </w:rPr>
      </w:pPr>
      <w:r>
        <w:t>(2)</w:t>
      </w:r>
      <w:r>
        <w:tab/>
      </w:r>
      <w:r>
        <w:rPr>
          <w:noProof/>
        </w:rPr>
        <w:t xml:space="preserve">Eroaminen unionista tapahtuu ohjelmakauden 2014–2020 aikana, jolloin Yhdistynyt kuningaskunta osallistuu viiteentoista Euroopan alueellinen yhteistyö </w:t>
      </w:r>
      <w:r>
        <w:rPr>
          <w:noProof/>
        </w:rPr>
        <w:noBreakHyphen/>
        <w:t xml:space="preserve">tavoitteen mukaiseen ohjelmaan, jäljempänä ’yhteistyöohjelmat’. Kaksi näistä ohjelmista koskee Pohjois-Irlantia, ja niillä tuetaan pitkänperjantain sopimuksen mukaisesti rauhaa ja sovintoa sekä pohjoisen ja etelän välistä yhteistyötä. Unioni aikoo jatkaa näitä ohjelmia siinäkin tapauksessa, että Yhdistynyt kuningaskunta eroaa unionista ilman, että erosopimus on tullut voimaan siihen päivään mennessä, jona perussopimuksia lakataan soveltamasta Yhdistyneeseen kuningaskuntaan ja Yhdistyneessä kuningaskunnassa Euroopan unionista tehdyn sopimuksen 50 artiklan 3 kohdan mukaisesti. Asetuksen soveltamisala olisi siis rajattava näihin kahteen yhteistyöohjelmaan. </w:t>
      </w:r>
    </w:p>
    <w:p>
      <w:pPr>
        <w:pStyle w:val="ManualConsidrant"/>
        <w:rPr>
          <w:noProof/>
        </w:rPr>
      </w:pPr>
      <w:r>
        <w:t>(3)</w:t>
      </w:r>
      <w:r>
        <w:tab/>
      </w:r>
      <w:r>
        <w:rPr>
          <w:noProof/>
        </w:rPr>
        <w:t>Kyseisistä kahdesta yhteistyöohjelmasta säädetään erityisesti Euroopan parlamentin ja neuvoston asetuksella (EU) N:o 1299/2013</w:t>
      </w:r>
      <w:r>
        <w:rPr>
          <w:rStyle w:val="FootnoteReference"/>
          <w:noProof/>
        </w:rPr>
        <w:footnoteReference w:id="6"/>
      </w:r>
      <w:r>
        <w:rPr>
          <w:noProof/>
        </w:rPr>
        <w:t xml:space="preserve">, Euroopan parlamentin ja neuvoston </w:t>
      </w:r>
      <w:r>
        <w:rPr>
          <w:noProof/>
        </w:rPr>
        <w:lastRenderedPageBreak/>
        <w:t>asetuksella (EU) N:o 1303/2013</w:t>
      </w:r>
      <w:r>
        <w:rPr>
          <w:rStyle w:val="FootnoteReference"/>
          <w:noProof/>
        </w:rPr>
        <w:footnoteReference w:id="7"/>
      </w:r>
      <w:r>
        <w:rPr>
          <w:noProof/>
        </w:rPr>
        <w:t xml:space="preserve"> ja Euroopan parlamentin ja neuvoston asetuksella (EU, Euratom) 2018/1046</w:t>
      </w:r>
      <w:r>
        <w:rPr>
          <w:rStyle w:val="FootnoteReference"/>
          <w:noProof/>
        </w:rPr>
        <w:footnoteReference w:id="8"/>
      </w:r>
      <w:r>
        <w:rPr>
          <w:noProof/>
        </w:rPr>
        <w:t>. Tässä asetuksessa olisi vahvistettava säännökset, joilla luodaan edellytykset näiden kahden yhteistyöohjelman jatkamiselle Yhdistyneen kuningaskunnan unionista eroamisen jälkeen mainittujen asetusten mukaisesti.</w:t>
      </w:r>
    </w:p>
    <w:p>
      <w:pPr>
        <w:pStyle w:val="ManualConsidrant"/>
        <w:rPr>
          <w:noProof/>
        </w:rPr>
      </w:pPr>
      <w:r>
        <w:t>(4)</w:t>
      </w:r>
      <w:r>
        <w:tab/>
      </w:r>
      <w:r>
        <w:rPr>
          <w:noProof/>
        </w:rPr>
        <w:t xml:space="preserve">Kahdenvälisten yhteistyöohjelmien PEACE IV (Ireland-United Kingdom) ja Yhdistynyt kuningaskunta – Irlanti (Ireland-Northern Ireland-Scotland) hallintoviranomainen sijaitsee erityisessä EU:n ohjelmista vastaavassa elimessä, jäljempänä ’SEUPB’, joka on perustettu 8 päivänä maaliskuuta 1999 allekirjoitetulla Irlannin hallituksen ja Ison-Britannian ja Pohjois-Irlannin yhdistyneen kuningaskunnan hallituksen välisellä toimeenpanoelimiä koskevalla sopimuksella, jäljempänä ’Yhdistyneen kuningaskunnan ja Irlannin 8 päivänä maaliskuuta 1999 tekemä sopimus’. Kyseiset kaksi yhteistyöohjelmaa koskevat Pohjois-Irlantia, minkä vuoksi niitä olisi jatkettava tarvittavilla lisäsäännöksillä täydennettynä. </w:t>
      </w:r>
    </w:p>
    <w:p>
      <w:pPr>
        <w:pStyle w:val="ManualConsidrant"/>
        <w:rPr>
          <w:noProof/>
        </w:rPr>
      </w:pPr>
      <w:r>
        <w:t>(5)</w:t>
      </w:r>
      <w:r>
        <w:tab/>
      </w:r>
      <w:r>
        <w:rPr>
          <w:noProof/>
        </w:rPr>
        <w:t xml:space="preserve">Ohjelmien jatkuessa olisi selvennettävä, että kyseiset yhteistyöohjelmat voivat kattaa myös niihin osallistuvat Yhdistyneen kuningaskunnan alueet, joiden olisi vastattava NUTS 3 -tason alueita, sanotun kuitenkaan rajoittamatta asetuksen (EU) N:o 1299/2013 20 artiklan 2 kohdan ja 3 kohdan soveltamista.  </w:t>
      </w:r>
    </w:p>
    <w:p>
      <w:pPr>
        <w:pStyle w:val="ManualConsidrant"/>
        <w:rPr>
          <w:noProof/>
        </w:rPr>
      </w:pPr>
      <w:r>
        <w:t>(6)</w:t>
      </w:r>
      <w:r>
        <w:tab/>
      </w:r>
      <w:r>
        <w:rPr>
          <w:noProof/>
        </w:rPr>
        <w:t xml:space="preserve">Ohjelmien jatkuessa EU:n yleisestä talousarviosta rahoitettuina komission ja Yhdistyneen kuningaskunnan viranomaisten välillä olisi tehtävä hallinnollinen sopimus, jolla sallitaan ohjelmien valvonta ja tarkastaminen ja joka on voimassa siitä päivästä alkaen, jona perussopimuksia lakataan soveltamasta Yhdistyneeseen kuningaskuntaan ja Yhdistyneessä kuningaskunnassa. Ellei tarvittavaa valvontaa ja tarkastuksia voida suorittaa, komissiolla olisi oltava mahdollisuus keskeyttää maksuajan kuluminen ja maksut ja soveltaa rahoitusoikaisuja asetuksen (EU) N:o 1303/2013 83, 142, 144 ja 145 artiklassa säädetyllä tavalla. </w:t>
      </w:r>
    </w:p>
    <w:p>
      <w:pPr>
        <w:pStyle w:val="ManualConsidrant"/>
        <w:rPr>
          <w:noProof/>
        </w:rPr>
      </w:pPr>
      <w:r>
        <w:t>(7)</w:t>
      </w:r>
      <w:r>
        <w:tab/>
      </w:r>
      <w:r>
        <w:rPr>
          <w:noProof/>
        </w:rPr>
        <w:t xml:space="preserve">PEACE IV </w:t>
      </w:r>
      <w:r>
        <w:rPr>
          <w:noProof/>
        </w:rPr>
        <w:noBreakHyphen/>
        <w:t xml:space="preserve">ohjelman (Ireland-United Kingdom) hyväksymisestä 30 päivänä marraskuuta 2015 annettu komission päätös C(2015) 8564, sellaisena kuin se on muutettuna 26 päivänä heinäkuuta 2018 annetulla päätöksellä C(2018) 5126, sekä INTERREG VA </w:t>
      </w:r>
      <w:r>
        <w:rPr>
          <w:noProof/>
        </w:rPr>
        <w:noBreakHyphen/>
        <w:t xml:space="preserve">ohjelman hyväksymisestä 12 päivänä helmikuuta 2015 annettu komission päätös C(2015) 890, sellaisena kuin se on muutettuna 10 päivänä maaliskuuta 2016 annetulla päätöksellä C(2016) 1547, muodostavat asetuksen (EU) N:o 1303/2013 76 artiklan mukaisesti jatkossakin varainhoitoasetuksessa tarkoitetun rahoituspäätöksen ja siten kyseisessä asetuksessa tarkoitetun oikeudellisen sitoumuksen. Yhdistynyt kuningaskunta on edelleen vastuussa näihin unionin oikeudellisiin sitoumuksiin liittyvistä taloudellisista velvoitteistaan, jotka se hyväksyi jäsenvaltiona ollessaan.  </w:t>
      </w:r>
    </w:p>
    <w:p>
      <w:pPr>
        <w:pStyle w:val="ManualConsidrant"/>
        <w:rPr>
          <w:noProof/>
        </w:rPr>
      </w:pPr>
      <w:r>
        <w:lastRenderedPageBreak/>
        <w:t>(8)</w:t>
      </w:r>
      <w:r>
        <w:tab/>
      </w:r>
      <w:r>
        <w:rPr>
          <w:noProof/>
        </w:rPr>
        <w:t>Siitä päivästä alkaen, jona perussopimuksia lakataan soveltamasta, Yhdistynyt kuningaskunta lakkaa kuulumasta asetuksen (EU) N:o 1299/2013 20 artiklan 1 kohdassa tarkoitettuun ohjelma-alueen unionissa sijaitsevaan osaan. Tästä syystä säännöksiä, jotka koskevat toimien tukikelpoisuutta sijaintipaikan mukaan, olisi mukautettava.</w:t>
      </w:r>
    </w:p>
    <w:p>
      <w:pPr>
        <w:pStyle w:val="ManualConsidrant"/>
        <w:rPr>
          <w:noProof/>
        </w:rPr>
      </w:pPr>
      <w:r>
        <w:t>(9)</w:t>
      </w:r>
      <w:r>
        <w:tab/>
      </w:r>
      <w:r>
        <w:rPr>
          <w:noProof/>
        </w:rPr>
        <w:t xml:space="preserve">Tässä asetuksessa säädettyjen toimenpiteiden ripeän soveltamisen varmistamiseksi tämän asetuksen olisi tultava voimaan sitä päivää seuraavana päivänä, jona se on julkaistu </w:t>
      </w:r>
      <w:r>
        <w:rPr>
          <w:i/>
          <w:noProof/>
        </w:rPr>
        <w:t>Euroopan unionin virallisessa lehdessä</w:t>
      </w:r>
      <w:r>
        <w:rPr>
          <w:noProof/>
        </w:rPr>
        <w:t>. Tätä asetusta olisi sovellettava vain siinä tapauksessa, että Euroopan unionista tehdyn sopimuksen 50 artiklan 2 kohdan mukaisesti tehty erosopimus ei ole tullut voimaan siihen päivään mennessä, jona perussopimuksia lakataan soveltamasta Yhdistyneeseen kuningaskuntaan ja Yhdistyneessä kuningaskunnassa Euroopan unionista tehdyn sopimuksen 50 artiklan 3 kohdan mukaisesti,</w:t>
      </w:r>
    </w:p>
    <w:p>
      <w:pPr>
        <w:pStyle w:val="Formuledadoption"/>
        <w:rPr>
          <w:noProof/>
        </w:rPr>
      </w:pPr>
      <w:r>
        <w:rPr>
          <w:noProof/>
        </w:rPr>
        <w:t>OVAT HYVÄKSYNEET TÄMÄN ASETUKSEN:</w:t>
      </w:r>
    </w:p>
    <w:p>
      <w:pPr>
        <w:pStyle w:val="Titrearticle"/>
        <w:rPr>
          <w:noProof/>
        </w:rPr>
      </w:pPr>
      <w:r>
        <w:rPr>
          <w:noProof/>
        </w:rPr>
        <w:t>1 artikla</w:t>
      </w:r>
      <w:r>
        <w:rPr>
          <w:noProof/>
        </w:rPr>
        <w:br/>
      </w:r>
      <w:r>
        <w:rPr>
          <w:b/>
          <w:noProof/>
        </w:rPr>
        <w:t>Kohde ja soveltamisala</w:t>
      </w:r>
    </w:p>
    <w:p>
      <w:pPr>
        <w:rPr>
          <w:noProof/>
        </w:rPr>
      </w:pPr>
      <w:r>
        <w:rPr>
          <w:noProof/>
        </w:rPr>
        <w:t xml:space="preserve">Tässä asetuksessa vahvistetaan säännökset, joilla varaudutaan Yhdistyneen kuningaskunnan unionista eroamisen seurauksiin siinä tapauksessa, että Euroopan unionista tehdyn sopimuksen 50 artiklan 2 kohdan mukaisesti tehty erosopimus ei ole tullut voimaan siihen päivään mennessä, jona perussopimuksia lakataan soveltamasta Yhdistyneeseen kuningaskuntaan ja Yhdistyneessä kuningaskunnassa Euroopan unionista tehdyn sopimuksen 50 artiklan 3 kohdan mukaisesti, jotta seuraavia kahta asetuksen (EU) N:o 1299/2013 soveltamisalaan kuuluvaa yhteistyöohjelmaa, jäljempänä ’yhteistyöohjelmat’, voidaan jatkaa siten, että Yhdistynyt kuningaskunta osallistuu niihin edelleen: </w:t>
      </w:r>
    </w:p>
    <w:p>
      <w:pPr>
        <w:pStyle w:val="Point0"/>
        <w:rPr>
          <w:noProof/>
        </w:rPr>
      </w:pPr>
      <w:r>
        <w:rPr>
          <w:noProof/>
        </w:rPr>
        <w:t>1)</w:t>
      </w:r>
      <w:r>
        <w:rPr>
          <w:noProof/>
        </w:rPr>
        <w:tab/>
        <w:t xml:space="preserve">PEACE IV (Ireland-United Kingdom); </w:t>
      </w:r>
    </w:p>
    <w:p>
      <w:pPr>
        <w:pStyle w:val="Point0"/>
        <w:rPr>
          <w:noProof/>
        </w:rPr>
      </w:pPr>
      <w:r>
        <w:rPr>
          <w:noProof/>
        </w:rPr>
        <w:t>2)</w:t>
      </w:r>
      <w:r>
        <w:rPr>
          <w:noProof/>
        </w:rPr>
        <w:tab/>
        <w:t>Yhdistynyt kuningaskunta – Irlanti (Ireland-Northern Ireland-Scotland).</w:t>
      </w:r>
    </w:p>
    <w:p>
      <w:pPr>
        <w:rPr>
          <w:noProof/>
        </w:rPr>
      </w:pPr>
      <w:r>
        <w:rPr>
          <w:noProof/>
        </w:rPr>
        <w:t xml:space="preserve">Asetusta (EU) N:o 1299/2013 sovelletaan edelleen näihin yhteistyöohjelmiin, ellei tämän asetuksen säännöksistä muuta johdu. </w:t>
      </w:r>
    </w:p>
    <w:p>
      <w:pPr>
        <w:pStyle w:val="Titrearticle"/>
        <w:ind w:left="1080"/>
        <w:rPr>
          <w:noProof/>
        </w:rPr>
      </w:pPr>
      <w:r>
        <w:rPr>
          <w:noProof/>
        </w:rPr>
        <w:t xml:space="preserve">2 artikla </w:t>
      </w:r>
      <w:r>
        <w:rPr>
          <w:noProof/>
        </w:rPr>
        <w:br/>
      </w:r>
      <w:r>
        <w:rPr>
          <w:b/>
          <w:noProof/>
        </w:rPr>
        <w:t>Maantieteellinen kattavuus</w:t>
      </w:r>
    </w:p>
    <w:p>
      <w:pPr>
        <w:rPr>
          <w:noProof/>
        </w:rPr>
      </w:pPr>
      <w:r>
        <w:rPr>
          <w:noProof/>
        </w:rPr>
        <w:t xml:space="preserve">Yhteistyöohjelmat voivat kattaa myös niihin osallistuvat Yhdistyneen kuningaskunnan alueet, jotka vastaavat NUTS 3 </w:t>
      </w:r>
      <w:r>
        <w:rPr>
          <w:noProof/>
        </w:rPr>
        <w:noBreakHyphen/>
        <w:t>tason alueita, sanotun kuitenkaan rajoittamatta asetuksen (EU) N:o 1299/2013 20 artiklan 2 kohdan ja 3 kohdan soveltamista.</w:t>
      </w:r>
    </w:p>
    <w:p>
      <w:pPr>
        <w:pStyle w:val="Titrearticle"/>
        <w:rPr>
          <w:noProof/>
        </w:rPr>
      </w:pPr>
      <w:r>
        <w:rPr>
          <w:noProof/>
        </w:rPr>
        <w:t>3 artikla</w:t>
      </w:r>
      <w:r>
        <w:rPr>
          <w:noProof/>
        </w:rPr>
        <w:br/>
      </w:r>
      <w:r>
        <w:rPr>
          <w:b/>
          <w:noProof/>
        </w:rPr>
        <w:t>Ohjelmasta vastaavat viranomaiset</w:t>
      </w:r>
    </w:p>
    <w:p>
      <w:pPr>
        <w:rPr>
          <w:noProof/>
        </w:rPr>
      </w:pPr>
      <w:r>
        <w:rPr>
          <w:noProof/>
        </w:rPr>
        <w:t>Asetuksen (EU) N:o 1299/2013 21 artiklan 1 kohdasta poiketen</w:t>
      </w:r>
    </w:p>
    <w:p>
      <w:pPr>
        <w:pStyle w:val="ListDash"/>
        <w:rPr>
          <w:noProof/>
        </w:rPr>
      </w:pPr>
      <w:r>
        <w:rPr>
          <w:noProof/>
        </w:rPr>
        <w:t xml:space="preserve">PEACE IV </w:t>
      </w:r>
      <w:r>
        <w:rPr>
          <w:noProof/>
        </w:rPr>
        <w:noBreakHyphen/>
        <w:t>ohjelman (Ireland-United Kingdom) sekä Yhdistynyt kuningaskunta – Irlanti -ohjelman (Ireland-Northern Ireland-Scotland) hallintoviranomaisen ja todentamisviranomaisen sijaintipaikkana toimiva erityinen EU:n ohjelmista vastaava elin (SEUPB) jatkaa tehtäviensä hoitamista;</w:t>
      </w:r>
    </w:p>
    <w:p>
      <w:pPr>
        <w:pStyle w:val="ListDash"/>
        <w:spacing w:before="0" w:after="200" w:line="276" w:lineRule="auto"/>
        <w:jc w:val="left"/>
        <w:rPr>
          <w:i/>
          <w:noProof/>
        </w:rPr>
      </w:pPr>
      <w:r>
        <w:rPr>
          <w:noProof/>
        </w:rPr>
        <w:t xml:space="preserve">Pohjois-Irlannin valtiovarainministeriö (Department of Finance) jatkaa näiden ohjelmien tarkastusviranomaisena. </w:t>
      </w:r>
      <w:r>
        <w:rPr>
          <w:noProof/>
        </w:rPr>
        <w:br w:type="page"/>
      </w:r>
    </w:p>
    <w:p>
      <w:pPr>
        <w:pStyle w:val="Titrearticle"/>
        <w:rPr>
          <w:b/>
          <w:i w:val="0"/>
          <w:noProof/>
          <w:szCs w:val="24"/>
        </w:rPr>
      </w:pPr>
      <w:r>
        <w:rPr>
          <w:noProof/>
        </w:rPr>
        <w:lastRenderedPageBreak/>
        <w:t>4 artikla</w:t>
      </w:r>
      <w:r>
        <w:rPr>
          <w:noProof/>
        </w:rPr>
        <w:br/>
      </w:r>
      <w:r>
        <w:rPr>
          <w:b/>
          <w:noProof/>
        </w:rPr>
        <w:t>Komission tarkastuksia koskeva toimivalta</w:t>
      </w:r>
    </w:p>
    <w:p>
      <w:pPr>
        <w:rPr>
          <w:noProof/>
        </w:rPr>
      </w:pPr>
      <w:r>
        <w:rPr>
          <w:noProof/>
        </w:rPr>
        <w:t>Komissio ja Yhdistyneen kuningaskunnan viranomaiset sopivat ohjelmien valvontaa ja tarkastuksia koskevien sääntöjen soveltamisesta. Valvonnan ja tarkastusten on katettava koko yhteistyöohjelmien toteutusaika.</w:t>
      </w:r>
    </w:p>
    <w:p>
      <w:pPr>
        <w:rPr>
          <w:noProof/>
        </w:rPr>
      </w:pPr>
      <w:r>
        <w:rPr>
          <w:noProof/>
        </w:rPr>
        <w:t>Jos tarvittavaa ohjelmien valvontaa ja tarkastuksia ei voida toteuttaa kaikilla kohdealueilla, tämä katsotaan toimenpiteiden kannalta vakavaksi puutteeksi hallinto- ja valvontajärjestelmän toiminnassa asetuksen (EU) N:o 1303/2013 83, 142, 144 ja 145 artiklassa säädetyllä tavalla.</w:t>
      </w:r>
    </w:p>
    <w:p>
      <w:pPr>
        <w:pStyle w:val="Titrearticle"/>
        <w:rPr>
          <w:noProof/>
        </w:rPr>
      </w:pPr>
      <w:r>
        <w:rPr>
          <w:noProof/>
        </w:rPr>
        <w:t>5 artikla</w:t>
      </w:r>
      <w:r>
        <w:rPr>
          <w:noProof/>
        </w:rPr>
        <w:br/>
      </w:r>
      <w:r>
        <w:rPr>
          <w:b/>
          <w:noProof/>
        </w:rPr>
        <w:t>Sijainnin mukaan määräytyvä toimien tukikelpoisuus</w:t>
      </w:r>
    </w:p>
    <w:p>
      <w:pPr>
        <w:rPr>
          <w:noProof/>
        </w:rPr>
      </w:pPr>
      <w:r>
        <w:rPr>
          <w:noProof/>
        </w:rPr>
        <w:t>Asetuksen (EU) N:o 1299/2013 20 artiklan 2 kohdan b alakohdassa vahvistettua enimmäismäärää ei sovelleta yhteistyöohjelmiin.</w:t>
      </w:r>
    </w:p>
    <w:p>
      <w:pPr>
        <w:pStyle w:val="Titrearticle"/>
        <w:rPr>
          <w:noProof/>
        </w:rPr>
      </w:pPr>
      <w:r>
        <w:rPr>
          <w:noProof/>
        </w:rPr>
        <w:t>6 artikla</w:t>
      </w:r>
      <w:r>
        <w:br/>
      </w:r>
      <w:r>
        <w:rPr>
          <w:b/>
          <w:noProof/>
        </w:rPr>
        <w:t>Voimaantulo ja soveltaminen</w:t>
      </w:r>
    </w:p>
    <w:p>
      <w:pPr>
        <w:rPr>
          <w:noProof/>
        </w:rPr>
      </w:pPr>
      <w:r>
        <w:rPr>
          <w:noProof/>
        </w:rPr>
        <w:t xml:space="preserve">Tämä asetus tulee voimaan sitä päivää seuraavana päivänä, jona se on julkaistu </w:t>
      </w:r>
      <w:r>
        <w:rPr>
          <w:i/>
          <w:noProof/>
        </w:rPr>
        <w:t>Euroopan unionin virallisessa lehdessä</w:t>
      </w:r>
      <w:r>
        <w:rPr>
          <w:noProof/>
        </w:rPr>
        <w:t xml:space="preserve">. </w:t>
      </w:r>
    </w:p>
    <w:p>
      <w:pPr>
        <w:keepNext/>
        <w:rPr>
          <w:noProof/>
        </w:rPr>
      </w:pPr>
      <w:r>
        <w:rPr>
          <w:noProof/>
        </w:rPr>
        <w:t>Sitä sovelletaan sitä päivää seuraavasta päivästä, jona perussopimuksia lakataan soveltamasta Yhdistyneeseen kuningaskuntaan ja Yhdistyneessä kuningaskunnassa Euroopan unionista tehdyn sopimuksen 50 artiklan 3 kohdan mukaisesti.</w:t>
      </w:r>
    </w:p>
    <w:p>
      <w:pPr>
        <w:keepNext/>
        <w:rPr>
          <w:noProof/>
        </w:rPr>
      </w:pPr>
      <w:r>
        <w:rPr>
          <w:noProof/>
        </w:rPr>
        <w:t>Tätä asetusta ei kuitenkaan sovelleta, jos Yhdistyneen kuningaskunnan kanssa Euroopan unionista tehdyn sopimuksen 50 artiklan 2 kohdan mukaisesti tehty erosopimus on tullut voimaan kyseiseen päivään mennessä.</w:t>
      </w:r>
    </w:p>
    <w:p>
      <w:pPr>
        <w:pStyle w:val="Applicationdirecte"/>
        <w:rPr>
          <w:noProof/>
        </w:rPr>
      </w:pPr>
      <w:r>
        <w:rPr>
          <w:noProof/>
        </w:rPr>
        <w:t>Tämä asetus on kaikilta osiltaan velvoittava, ja sitä sovelletaan sellaisenaan kaikissa jäsenvaltioissa.</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i w:val="0"/>
          <w:noProof/>
        </w:rPr>
      </w:pPr>
      <w:r>
        <w:rPr>
          <w:noProof/>
        </w:rPr>
        <w:t>Puhemies</w:t>
      </w:r>
      <w:r>
        <w:rPr>
          <w:noProof/>
        </w:rPr>
        <w:tab/>
        <w:t>Puheenjohtaja</w:t>
      </w:r>
    </w:p>
    <w:p>
      <w:pPr>
        <w:pStyle w:val="Personnequisigne"/>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SÄÄDÖSEHDOTUKSEEN LIITTYVÄ RAHOITUSSELVITYS</w:t>
      </w:r>
    </w:p>
    <w:p>
      <w:pPr>
        <w:pStyle w:val="ManualHeading1"/>
        <w:rPr>
          <w:noProof/>
        </w:rPr>
      </w:pPr>
      <w:bookmarkStart w:id="1" w:name="_Toc514938007"/>
      <w:bookmarkStart w:id="2" w:name="_Toc520485025"/>
      <w:r>
        <w:t>1.</w:t>
      </w:r>
      <w:r>
        <w:tab/>
      </w:r>
      <w:r>
        <w:rPr>
          <w:noProof/>
        </w:rPr>
        <w:t>PERUSTIEDOT EHDOTUKSESTA/ALOITTEESTA</w:t>
      </w:r>
      <w:bookmarkEnd w:id="1"/>
      <w:bookmarkEnd w:id="2"/>
      <w:r>
        <w:rPr>
          <w:noProof/>
        </w:rPr>
        <w:t xml:space="preserve"> </w:t>
      </w:r>
    </w:p>
    <w:p>
      <w:pPr>
        <w:pStyle w:val="ManualHeading2"/>
        <w:rPr>
          <w:noProof/>
        </w:rPr>
      </w:pPr>
      <w:bookmarkStart w:id="3" w:name="_Toc514938008"/>
      <w:bookmarkStart w:id="4" w:name="_Toc520485026"/>
      <w:r>
        <w:t>1.1.</w:t>
      </w:r>
      <w:r>
        <w:tab/>
      </w:r>
      <w:r>
        <w:rPr>
          <w:noProof/>
        </w:rPr>
        <w:t>Ehdotuksen/aloitteen nimi</w:t>
      </w:r>
      <w:bookmarkEnd w:id="3"/>
      <w:bookmarkEnd w:id="4"/>
    </w:p>
    <w:p>
      <w:pPr>
        <w:pStyle w:val="ManualHeading2"/>
        <w:rPr>
          <w:i/>
          <w:noProof/>
        </w:rPr>
      </w:pPr>
      <w:bookmarkStart w:id="5" w:name="_Toc514938011"/>
      <w:bookmarkStart w:id="6" w:name="_Toc520485027"/>
      <w:r>
        <w:t>1.2.</w:t>
      </w:r>
      <w:r>
        <w:tab/>
      </w:r>
      <w:r>
        <w:rPr>
          <w:noProof/>
        </w:rPr>
        <w:t>Toimintalohko(t)</w:t>
      </w:r>
      <w:bookmarkEnd w:id="5"/>
      <w:bookmarkEnd w:id="6"/>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Ehdotus Euroopan parlamentin ja neuvoston asetukseksi Euroopan alueellisten yhteistyöohjelmien hallintoa koskevista erityissäännöksistä Yhdistyneen kuningaskunnan erotessa Euroopan unionista.</w:t>
      </w:r>
    </w:p>
    <w:p>
      <w:pPr>
        <w:pStyle w:val="ManualHeading2"/>
        <w:rPr>
          <w:bCs/>
          <w:noProof/>
          <w:szCs w:val="24"/>
        </w:rPr>
      </w:pPr>
      <w:bookmarkStart w:id="7" w:name="_Toc514938025"/>
      <w:bookmarkStart w:id="8" w:name="_Toc520485034"/>
      <w:r>
        <w:t>1.3.</w:t>
      </w:r>
      <w:r>
        <w:tab/>
      </w:r>
      <w:r>
        <w:rPr>
          <w:noProof/>
        </w:rPr>
        <w:t>Ehdotuksen/aloitteen perustelut</w:t>
      </w:r>
      <w:bookmarkEnd w:id="7"/>
      <w:bookmarkEnd w:id="8"/>
      <w:r>
        <w:rPr>
          <w:noProof/>
        </w:rPr>
        <w:t xml:space="preserve"> </w:t>
      </w:r>
    </w:p>
    <w:p>
      <w:pPr>
        <w:pStyle w:val="ManualHeading3"/>
        <w:rPr>
          <w:noProof/>
        </w:rPr>
      </w:pPr>
      <w:bookmarkStart w:id="9" w:name="_Toc514938026"/>
      <w:bookmarkStart w:id="10" w:name="_Toc520485035"/>
      <w:r>
        <w:t>1.3.1.</w:t>
      </w:r>
      <w:r>
        <w:tab/>
      </w:r>
      <w:r>
        <w:rPr>
          <w:noProof/>
        </w:rPr>
        <w:t>Tarpeet, joihin ehdotuksella/aloitteella vastataan lyhyellä tai pitkällä aikavälillä sekä aloitteen yksityiskohtainen toteutusaikataulu</w:t>
      </w:r>
      <w:bookmarkEnd w:id="9"/>
      <w:bookmarkEnd w:id="10"/>
    </w:p>
    <w:p>
      <w:pPr>
        <w:pStyle w:val="Text1"/>
        <w:pBdr>
          <w:top w:val="single" w:sz="4" w:space="1" w:color="auto"/>
          <w:left w:val="single" w:sz="4" w:space="4" w:color="auto"/>
          <w:bottom w:val="single" w:sz="4" w:space="1" w:color="auto"/>
          <w:right w:val="single" w:sz="4" w:space="4" w:color="auto"/>
        </w:pBdr>
        <w:rPr>
          <w:noProof/>
        </w:rPr>
      </w:pPr>
      <w:r>
        <w:rPr>
          <w:noProof/>
        </w:rPr>
        <w:t>Tämä asetus tulee voimaan sitä päivää seuraavana päivänä, jona se on julkaistu Euroopan unionin virallisessa lehdessä.</w:t>
      </w:r>
    </w:p>
    <w:p>
      <w:pPr>
        <w:pStyle w:val="Text1"/>
        <w:pBdr>
          <w:top w:val="single" w:sz="4" w:space="1" w:color="auto"/>
          <w:left w:val="single" w:sz="4" w:space="4" w:color="auto"/>
          <w:bottom w:val="single" w:sz="4" w:space="1" w:color="auto"/>
          <w:right w:val="single" w:sz="4" w:space="4" w:color="auto"/>
        </w:pBdr>
        <w:rPr>
          <w:noProof/>
        </w:rPr>
      </w:pPr>
      <w:r>
        <w:rPr>
          <w:noProof/>
        </w:rPr>
        <w:t>Sitä sovelletaan sitä päivää seuraavasta päivästä, jona perussopimuksia lakataan soveltamasta Yhdistyneeseen kuningaskuntaan ja Yhdistyneessä kuningaskunnassa Euroopan unionista tehdyn sopimuksen 50 artiklan 3 kohdan mukaisesti.</w:t>
      </w:r>
    </w:p>
    <w:p>
      <w:pPr>
        <w:pStyle w:val="Text1"/>
        <w:pBdr>
          <w:top w:val="single" w:sz="4" w:space="1" w:color="auto"/>
          <w:left w:val="single" w:sz="4" w:space="4" w:color="auto"/>
          <w:bottom w:val="single" w:sz="4" w:space="1" w:color="auto"/>
          <w:right w:val="single" w:sz="4" w:space="4" w:color="auto"/>
        </w:pBdr>
        <w:rPr>
          <w:noProof/>
        </w:rPr>
      </w:pPr>
      <w:r>
        <w:rPr>
          <w:noProof/>
        </w:rPr>
        <w:t>Tätä asetusta ei sovelleta, jos Yhdistyneen kuningaskunnan kanssa Euroopan unionista tehdyn sopimuksen 50 artiklan 2 kohdan mukaisesti tehty erosopimus on tullut voimaan kyseiseen päivään mennessä.</w:t>
      </w:r>
    </w:p>
    <w:p>
      <w:pPr>
        <w:pStyle w:val="ManualHeading3"/>
        <w:rPr>
          <w:bCs/>
          <w:noProof/>
          <w:szCs w:val="24"/>
        </w:rPr>
      </w:pPr>
      <w:bookmarkStart w:id="11" w:name="_Toc514938029"/>
      <w:bookmarkStart w:id="12" w:name="_Toc520485036"/>
      <w:r>
        <w:t>1.3.2.</w:t>
      </w:r>
      <w:r>
        <w:tab/>
      </w:r>
      <w:r>
        <w:rPr>
          <w:noProof/>
        </w:rPr>
        <w:t>EU:n osallistumisesta saatava lisäarvo (joka voi olla seurausta eri tekijöistä, kuten koordinoinnin paranemisesta, oikeusvarmuudesta tai toiminnan vaikuttavuuden tai täydentävyyden paranemisesta). EU:n osallistumisesta saatavalla lisäarvolla tarkoitetaan tässä kohdassa arvoa, jonka EU:n osallistuminen tuottaa sen arvon lisäksi, joka olisi saatu aikaan pelkillä jäsenvaltioiden toimilla.</w:t>
      </w:r>
      <w:bookmarkEnd w:id="11"/>
      <w:bookmarkEnd w:id="12"/>
    </w:p>
    <w:p>
      <w:pPr>
        <w:pStyle w:val="Text1"/>
        <w:pBdr>
          <w:top w:val="single" w:sz="4" w:space="1" w:color="auto"/>
          <w:left w:val="single" w:sz="4" w:space="4" w:color="auto"/>
          <w:bottom w:val="single" w:sz="4" w:space="1" w:color="auto"/>
          <w:right w:val="single" w:sz="4" w:space="4" w:color="auto"/>
        </w:pBdr>
        <w:rPr>
          <w:noProof/>
        </w:rPr>
      </w:pPr>
      <w:r>
        <w:t>Ei sovelleta</w:t>
      </w:r>
    </w:p>
    <w:p>
      <w:pPr>
        <w:pStyle w:val="ManualHeading3"/>
        <w:rPr>
          <w:noProof/>
        </w:rPr>
      </w:pPr>
      <w:bookmarkStart w:id="13" w:name="_Toc514938030"/>
      <w:bookmarkStart w:id="14" w:name="_Toc520485037"/>
      <w:r>
        <w:t>1.3.3.</w:t>
      </w:r>
      <w:r>
        <w:tab/>
      </w:r>
      <w:r>
        <w:rPr>
          <w:noProof/>
        </w:rPr>
        <w:t>Vastaavista toimista saadut kokemukset</w:t>
      </w:r>
      <w:bookmarkEnd w:id="13"/>
      <w:bookmarkEnd w:id="14"/>
    </w:p>
    <w:p>
      <w:pPr>
        <w:pStyle w:val="Text1"/>
        <w:pBdr>
          <w:top w:val="single" w:sz="4" w:space="1" w:color="auto"/>
          <w:left w:val="single" w:sz="4" w:space="4" w:color="auto"/>
          <w:bottom w:val="single" w:sz="4" w:space="1" w:color="auto"/>
          <w:right w:val="single" w:sz="4" w:space="4" w:color="auto"/>
        </w:pBdr>
        <w:rPr>
          <w:noProof/>
        </w:rPr>
      </w:pPr>
      <w:r>
        <w:t>Ei sovelleta</w:t>
      </w:r>
    </w:p>
    <w:p>
      <w:pPr>
        <w:pStyle w:val="ManualHeading3"/>
        <w:rPr>
          <w:noProof/>
        </w:rPr>
      </w:pPr>
      <w:bookmarkStart w:id="15" w:name="_Toc514938033"/>
      <w:bookmarkStart w:id="16" w:name="_Toc520485038"/>
      <w:r>
        <w:t>1.3.4.</w:t>
      </w:r>
      <w:r>
        <w:tab/>
      </w:r>
      <w:r>
        <w:rPr>
          <w:noProof/>
        </w:rPr>
        <w:t>Yhteensopivuus monivuotisen rahoituskehyksen kanssa ja mahdolliset synergiaedut suhteessa muihin kyseeseen tuleviin välineisiin</w:t>
      </w:r>
      <w:bookmarkEnd w:id="15"/>
      <w:bookmarkEnd w:id="16"/>
    </w:p>
    <w:p>
      <w:pPr>
        <w:pStyle w:val="Text1"/>
        <w:pBdr>
          <w:top w:val="single" w:sz="4" w:space="1" w:color="auto"/>
          <w:left w:val="single" w:sz="4" w:space="4" w:color="auto"/>
          <w:bottom w:val="single" w:sz="4" w:space="1" w:color="auto"/>
          <w:right w:val="single" w:sz="4" w:space="4" w:color="auto"/>
        </w:pBdr>
        <w:rPr>
          <w:noProof/>
        </w:rPr>
      </w:pPr>
      <w:r>
        <w:rPr>
          <w:noProof/>
        </w:rPr>
        <w:t>Tämä asetus on monivuotisen rahoituskehyksen mukainen. Sillä ei ole rahoitusvaikutuksia.</w:t>
      </w:r>
    </w:p>
    <w:p>
      <w:pPr>
        <w:pStyle w:val="ManualHeading3"/>
        <w:rPr>
          <w:noProof/>
        </w:rPr>
      </w:pPr>
      <w:bookmarkStart w:id="17" w:name="_Toc514938036"/>
      <w:bookmarkStart w:id="18" w:name="_Toc520485039"/>
      <w:r>
        <w:t>1.3.5.</w:t>
      </w:r>
      <w:r>
        <w:tab/>
      </w:r>
      <w:r>
        <w:rPr>
          <w:noProof/>
        </w:rPr>
        <w:t>Arvio käytettävissä olevista rahoitusvaihtoehdoista, mukaan lukien mahdollisuudet määrärahojen uudelleenkohdentamiseen</w:t>
      </w:r>
      <w:bookmarkEnd w:id="17"/>
      <w:bookmarkEnd w:id="18"/>
    </w:p>
    <w:p>
      <w:pPr>
        <w:pStyle w:val="Text1"/>
        <w:pBdr>
          <w:top w:val="single" w:sz="4" w:space="1" w:color="auto"/>
          <w:left w:val="single" w:sz="4" w:space="4" w:color="auto"/>
          <w:bottom w:val="single" w:sz="4" w:space="0" w:color="auto"/>
          <w:right w:val="single" w:sz="4" w:space="4" w:color="auto"/>
        </w:pBdr>
        <w:rPr>
          <w:noProof/>
        </w:rPr>
      </w:pPr>
      <w:r>
        <w:rPr>
          <w:noProof/>
        </w:rPr>
        <w:t>Tällä asetuksella ei ole rahoitusvaikutuksia. Ohjelmille myönnettävä unionin rahoitusosuus rahoitetaan unionin yleisestä talousarviosta.</w:t>
      </w:r>
    </w:p>
    <w:p>
      <w:pPr>
        <w:pStyle w:val="Text1"/>
        <w:rPr>
          <w:noProof/>
        </w:rPr>
      </w:pPr>
    </w:p>
    <w:p>
      <w:pPr>
        <w:pStyle w:val="ManualHeading2"/>
        <w:rPr>
          <w:bCs/>
          <w:noProof/>
          <w:szCs w:val="24"/>
        </w:rPr>
      </w:pPr>
      <w:r>
        <w:rPr>
          <w:noProof/>
        </w:rPr>
        <w:br w:type="page"/>
      </w:r>
      <w:bookmarkStart w:id="19" w:name="_Toc514938039"/>
      <w:bookmarkStart w:id="20" w:name="_Toc520485040"/>
      <w:r>
        <w:lastRenderedPageBreak/>
        <w:t>1.4.</w:t>
      </w:r>
      <w:r>
        <w:tab/>
      </w:r>
      <w:r>
        <w:rPr>
          <w:noProof/>
        </w:rPr>
        <w:t>Ehdotetun toimen/aloitteen kesto ja rahoitusvaikutukset</w:t>
      </w:r>
      <w:bookmarkEnd w:id="19"/>
      <w:bookmarkEnd w:id="20"/>
    </w:p>
    <w:p>
      <w:pPr>
        <w:pStyle w:val="ListDash1"/>
        <w:rPr>
          <w:noProof/>
        </w:rPr>
      </w:pPr>
      <w:r>
        <w:rPr>
          <w:b/>
          <w:noProof/>
        </w:rPr>
        <w:t>X</w:t>
      </w:r>
      <w:r>
        <w:rPr>
          <w:noProof/>
        </w:rPr>
        <w:t xml:space="preserve"> ei rahoitusvaikutuksia</w:t>
      </w:r>
    </w:p>
    <w:p>
      <w:pPr>
        <w:pStyle w:val="ManualHeading2"/>
        <w:rPr>
          <w:bCs/>
          <w:noProof/>
          <w:szCs w:val="24"/>
        </w:rPr>
      </w:pPr>
      <w:bookmarkStart w:id="21" w:name="_Toc514938040"/>
      <w:bookmarkStart w:id="22" w:name="_Toc520485041"/>
      <w:r>
        <w:t>1.5.</w:t>
      </w:r>
      <w:r>
        <w:tab/>
      </w:r>
      <w:r>
        <w:rPr>
          <w:noProof/>
        </w:rPr>
        <w:t>Hallinnointitapa (Hallinnointitavat)</w:t>
      </w:r>
      <w:r>
        <w:rPr>
          <w:rStyle w:val="FootnoteReference"/>
          <w:noProof/>
        </w:rPr>
        <w:footnoteReference w:id="9"/>
      </w:r>
      <w:bookmarkEnd w:id="21"/>
      <w:bookmarkEnd w:id="22"/>
      <w:r>
        <w:rPr>
          <w:rStyle w:val="FootnoteReference"/>
          <w:noProof/>
        </w:rPr>
        <w:t xml:space="preserve"> </w:t>
      </w:r>
    </w:p>
    <w:p>
      <w:pPr>
        <w:pStyle w:val="Text1"/>
        <w:rPr>
          <w:noProof/>
        </w:rPr>
      </w:pPr>
      <w:r>
        <w:rPr>
          <w:noProof/>
        </w:rPr>
        <w:sym w:font="Wingdings" w:char="F0A8"/>
      </w:r>
      <w:r>
        <w:rPr>
          <w:i/>
          <w:noProof/>
        </w:rPr>
        <w:t xml:space="preserve"> </w:t>
      </w:r>
      <w:r>
        <w:rPr>
          <w:b/>
          <w:noProof/>
        </w:rPr>
        <w:t>Suora hallinnointi</w:t>
      </w:r>
      <w:r>
        <w:rPr>
          <w:noProof/>
        </w:rPr>
        <w:t>, jonka komissio toteuttaa käyttämällä</w:t>
      </w:r>
    </w:p>
    <w:p>
      <w:pPr>
        <w:pStyle w:val="ListDash2"/>
        <w:rPr>
          <w:rFonts w:cs="EUAlbertina"/>
          <w:noProof/>
        </w:rPr>
      </w:pPr>
      <w:r>
        <w:rPr>
          <w:noProof/>
        </w:rPr>
        <w:sym w:font="Wingdings" w:char="F0A8"/>
      </w:r>
      <w:r>
        <w:rPr>
          <w:noProof/>
        </w:rPr>
        <w:t xml:space="preserve"> yksiköitään, myös unionin edustustoissa olevaa henkilöstöään </w:t>
      </w:r>
    </w:p>
    <w:p>
      <w:pPr>
        <w:pStyle w:val="ListDash2"/>
        <w:rPr>
          <w:noProof/>
        </w:rPr>
      </w:pPr>
      <w:r>
        <w:rPr>
          <w:noProof/>
        </w:rPr>
        <w:sym w:font="Wingdings" w:char="F0A8"/>
      </w:r>
      <w:r>
        <w:rPr>
          <w:noProof/>
        </w:rPr>
        <w:tab/>
        <w:t xml:space="preserve">toimeenpanovirastoja </w:t>
      </w:r>
    </w:p>
    <w:p>
      <w:pPr>
        <w:pStyle w:val="Text1"/>
        <w:rPr>
          <w:noProof/>
        </w:rPr>
      </w:pPr>
      <w:r>
        <w:rPr>
          <w:b/>
          <w:noProof/>
        </w:rPr>
        <w:t>X</w:t>
      </w:r>
      <w:r>
        <w:rPr>
          <w:b/>
          <w:i/>
          <w:noProof/>
        </w:rPr>
        <w:t xml:space="preserve"> </w:t>
      </w:r>
      <w:r>
        <w:rPr>
          <w:b/>
          <w:noProof/>
        </w:rPr>
        <w:t>hallinnointi yhteistyössä</w:t>
      </w:r>
      <w:r>
        <w:rPr>
          <w:noProof/>
        </w:rPr>
        <w:t xml:space="preserve"> jäsenvaltioiden kanssa </w:t>
      </w:r>
    </w:p>
    <w:p>
      <w:pPr>
        <w:pStyle w:val="Text1"/>
        <w:rPr>
          <w:noProof/>
        </w:rPr>
      </w:pPr>
      <w:r>
        <w:rPr>
          <w:noProof/>
        </w:rPr>
        <w:sym w:font="Wingdings" w:char="F0A8"/>
      </w:r>
      <w:r>
        <w:rPr>
          <w:i/>
          <w:noProof/>
        </w:rPr>
        <w:t xml:space="preserve"> </w:t>
      </w:r>
      <w:r>
        <w:rPr>
          <w:b/>
          <w:noProof/>
        </w:rPr>
        <w:t>Välillinen hallinnointi</w:t>
      </w:r>
      <w:r>
        <w:rPr>
          <w:noProof/>
        </w:rPr>
        <w:t>, jossa täytäntöönpanotehtäviä on siirretty</w:t>
      </w:r>
    </w:p>
    <w:p>
      <w:pPr>
        <w:pStyle w:val="ListDash2"/>
        <w:rPr>
          <w:noProof/>
        </w:rPr>
      </w:pPr>
      <w:r>
        <w:rPr>
          <w:noProof/>
        </w:rPr>
        <w:sym w:font="Wingdings" w:char="F0A8"/>
      </w:r>
      <w:r>
        <w:rPr>
          <w:noProof/>
        </w:rPr>
        <w:t xml:space="preserve"> kolmansille maille tai niiden nimeämille elimille</w:t>
      </w:r>
    </w:p>
    <w:p>
      <w:pPr>
        <w:pStyle w:val="ListDash2"/>
        <w:rPr>
          <w:noProof/>
        </w:rPr>
      </w:pPr>
      <w:r>
        <w:rPr>
          <w:noProof/>
        </w:rPr>
        <w:sym w:font="Wingdings" w:char="F0A8"/>
      </w:r>
      <w:r>
        <w:rPr>
          <w:noProof/>
        </w:rPr>
        <w:t xml:space="preserve"> kansainvälisille järjestöille ja niiden erityisjärjestöille (tarkennettava)</w:t>
      </w:r>
    </w:p>
    <w:p>
      <w:pPr>
        <w:pStyle w:val="ListDash2"/>
        <w:rPr>
          <w:noProof/>
        </w:rPr>
      </w:pPr>
      <w:r>
        <w:rPr>
          <w:noProof/>
        </w:rPr>
        <w:sym w:font="Wingdings" w:char="F0A8"/>
      </w:r>
      <w:r>
        <w:rPr>
          <w:noProof/>
        </w:rPr>
        <w:t xml:space="preserve"> Euroopan investointipankille tai Euroopan investointirahastolle</w:t>
      </w:r>
    </w:p>
    <w:p>
      <w:pPr>
        <w:pStyle w:val="ListDash2"/>
        <w:rPr>
          <w:noProof/>
        </w:rPr>
      </w:pPr>
      <w:r>
        <w:rPr>
          <w:noProof/>
        </w:rPr>
        <w:sym w:font="Wingdings" w:char="F0A8"/>
      </w:r>
      <w:r>
        <w:rPr>
          <w:noProof/>
        </w:rPr>
        <w:t xml:space="preserve"> varainhoitoasetuksen 70 ja 71 artiklassa tarkoitetuille elimille</w:t>
      </w:r>
    </w:p>
    <w:p>
      <w:pPr>
        <w:pStyle w:val="ListDash2"/>
        <w:rPr>
          <w:noProof/>
        </w:rPr>
      </w:pPr>
      <w:r>
        <w:rPr>
          <w:noProof/>
        </w:rPr>
        <w:sym w:font="Wingdings" w:char="F0A8"/>
      </w:r>
      <w:r>
        <w:rPr>
          <w:noProof/>
        </w:rPr>
        <w:t xml:space="preserve"> julkisoikeudellisille yhteisöille</w:t>
      </w:r>
    </w:p>
    <w:p>
      <w:pPr>
        <w:pStyle w:val="ListDash2"/>
        <w:rPr>
          <w:noProof/>
        </w:rPr>
      </w:pPr>
      <w:r>
        <w:rPr>
          <w:noProof/>
        </w:rPr>
        <w:sym w:font="Wingdings" w:char="F0A8"/>
      </w:r>
      <w:r>
        <w:rPr>
          <w:noProof/>
        </w:rPr>
        <w:t xml:space="preserve"> sellaisille julkisen palvelun tehtäviä hoitaville yksityisoikeudellisille elimille, jotka antavat riittävät rahoitustakuut</w:t>
      </w:r>
    </w:p>
    <w:p>
      <w:pPr>
        <w:pStyle w:val="ListDash2"/>
        <w:rPr>
          <w:noProof/>
        </w:rPr>
      </w:pPr>
      <w:r>
        <w:rPr>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pPr>
        <w:pStyle w:val="ListDash2"/>
        <w:rPr>
          <w:noProof/>
        </w:rPr>
      </w:pPr>
      <w:r>
        <w:rPr>
          <w:noProof/>
        </w:rPr>
        <w:sym w:font="Wingdings" w:char="F0A8"/>
      </w:r>
      <w:r>
        <w:rPr>
          <w:noProof/>
        </w:rPr>
        <w:t xml:space="preserve"> henkilöille, joille on annettu tehtäväksi toteuttaa SEU-sopimuksen V osaston mukaisia yhteisen ulko- ja turvallisuuspolitiikan erityistoimia ja jotka nimetään asiaa koskevassa perussäädöksessä.</w:t>
      </w:r>
    </w:p>
    <w:p>
      <w:pPr>
        <w:pStyle w:val="ListDash2"/>
        <w:rPr>
          <w:i/>
          <w:noProof/>
          <w:sz w:val="18"/>
          <w:u w:val="single"/>
        </w:rPr>
      </w:pPr>
      <w:r>
        <w:rPr>
          <w:i/>
          <w:noProof/>
          <w:sz w:val="18"/>
        </w:rPr>
        <w:t>Jos käytetään useampaa kuin yhtä hallinnointitapaa, huomautuksille varatussa kohdassa olisi annettava lisätietoja.</w:t>
      </w:r>
    </w:p>
    <w:p>
      <w:pPr>
        <w:rPr>
          <w:noProof/>
        </w:rPr>
      </w:pPr>
      <w:r>
        <w:rPr>
          <w:noProof/>
        </w:rPr>
        <w:t xml:space="preserve">Huomautukset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r>
        <w:t>Ei ole</w:t>
      </w:r>
    </w:p>
    <w:p>
      <w:pPr>
        <w:pStyle w:val="ManualHeading1"/>
        <w:rPr>
          <w:bCs/>
          <w:noProof/>
          <w:szCs w:val="24"/>
        </w:rPr>
      </w:pPr>
      <w:bookmarkStart w:id="23" w:name="_Toc514938041"/>
      <w:bookmarkStart w:id="24" w:name="_Toc520485042"/>
      <w:r>
        <w:lastRenderedPageBreak/>
        <w:t>2.</w:t>
      </w:r>
      <w:r>
        <w:tab/>
      </w:r>
      <w:r>
        <w:rPr>
          <w:noProof/>
        </w:rPr>
        <w:t>HALLINNOINTI</w:t>
      </w:r>
      <w:bookmarkEnd w:id="23"/>
      <w:bookmarkEnd w:id="24"/>
      <w:r>
        <w:rPr>
          <w:noProof/>
        </w:rPr>
        <w:t xml:space="preserve"> </w:t>
      </w:r>
    </w:p>
    <w:p>
      <w:pPr>
        <w:pStyle w:val="ManualHeading2"/>
        <w:rPr>
          <w:noProof/>
        </w:rPr>
      </w:pPr>
      <w:bookmarkStart w:id="25" w:name="_Toc514938042"/>
      <w:bookmarkStart w:id="26" w:name="_Toc520485043"/>
      <w:r>
        <w:t>2.1.</w:t>
      </w:r>
      <w:r>
        <w:tab/>
      </w:r>
      <w:r>
        <w:rPr>
          <w:noProof/>
        </w:rPr>
        <w:t>Seuranta- ja raportointisäännöt</w:t>
      </w:r>
      <w:bookmarkEnd w:id="25"/>
      <w:bookmarkEnd w:id="26"/>
      <w:r>
        <w:rPr>
          <w:noProof/>
        </w:rPr>
        <w:t xml:space="preserve"> </w:t>
      </w:r>
    </w:p>
    <w:p>
      <w:pPr>
        <w:pStyle w:val="Text1"/>
        <w:rPr>
          <w:i/>
          <w:noProof/>
          <w:sz w:val="20"/>
        </w:rPr>
      </w:pPr>
      <w:r>
        <w:rPr>
          <w:i/>
          <w:noProof/>
          <w:sz w:val="20"/>
        </w:rPr>
        <w:t>Ilmoitetaan sovellettavat aikavälit ja edellytykset.</w:t>
      </w:r>
    </w:p>
    <w:p>
      <w:pPr>
        <w:pStyle w:val="Text1"/>
        <w:pBdr>
          <w:top w:val="single" w:sz="4" w:space="1" w:color="auto"/>
          <w:left w:val="single" w:sz="4" w:space="4" w:color="auto"/>
          <w:bottom w:val="single" w:sz="4" w:space="1" w:color="auto"/>
          <w:right w:val="single" w:sz="4" w:space="4" w:color="auto"/>
        </w:pBdr>
        <w:rPr>
          <w:noProof/>
        </w:rPr>
      </w:pPr>
      <w:r>
        <w:t>Ei sovelleta</w:t>
      </w:r>
    </w:p>
    <w:p>
      <w:pPr>
        <w:pStyle w:val="ManualHeading2"/>
        <w:rPr>
          <w:bCs/>
          <w:noProof/>
          <w:szCs w:val="24"/>
        </w:rPr>
      </w:pPr>
      <w:bookmarkStart w:id="27" w:name="_Toc514938045"/>
      <w:bookmarkStart w:id="28" w:name="_Toc520485044"/>
      <w:r>
        <w:t>2.2.</w:t>
      </w:r>
      <w:r>
        <w:tab/>
      </w:r>
      <w:r>
        <w:rPr>
          <w:noProof/>
        </w:rPr>
        <w:t>Hallinnointi- ja valvontajärjestelmä(t)</w:t>
      </w:r>
      <w:bookmarkEnd w:id="27"/>
      <w:bookmarkEnd w:id="28"/>
      <w:r>
        <w:rPr>
          <w:noProof/>
        </w:rPr>
        <w:t xml:space="preserve"> </w:t>
      </w:r>
    </w:p>
    <w:p>
      <w:pPr>
        <w:pStyle w:val="ManualHeading3"/>
        <w:rPr>
          <w:noProof/>
        </w:rPr>
      </w:pPr>
      <w:bookmarkStart w:id="29" w:name="_Toc514938046"/>
      <w:bookmarkStart w:id="30" w:name="_Toc520485045"/>
      <w:r>
        <w:t>2.2.1.</w:t>
      </w:r>
      <w:r>
        <w:tab/>
      </w:r>
      <w:r>
        <w:rPr>
          <w:noProof/>
        </w:rPr>
        <w:t>Perustelut ehdotetu(i)lle hallinnointitavalle(/-tavoille), rahoituksen toteutusmekanismille(/-mekanismeille), maksujärjestelyille sekä valvontastrategialle</w:t>
      </w:r>
      <w:bookmarkEnd w:id="29"/>
      <w:bookmarkEnd w:id="30"/>
    </w:p>
    <w:p>
      <w:pPr>
        <w:pStyle w:val="Text1"/>
        <w:pBdr>
          <w:top w:val="single" w:sz="4" w:space="1" w:color="auto"/>
          <w:left w:val="single" w:sz="4" w:space="4" w:color="auto"/>
          <w:bottom w:val="single" w:sz="4" w:space="1" w:color="auto"/>
          <w:right w:val="single" w:sz="4" w:space="4" w:color="auto"/>
        </w:pBdr>
        <w:rPr>
          <w:noProof/>
        </w:rPr>
      </w:pPr>
      <w:r>
        <w:t>Ei sovelleta</w:t>
      </w:r>
    </w:p>
    <w:p>
      <w:pPr>
        <w:pStyle w:val="ManualHeading3"/>
        <w:rPr>
          <w:bCs/>
          <w:noProof/>
          <w:szCs w:val="24"/>
        </w:rPr>
      </w:pPr>
      <w:bookmarkStart w:id="31" w:name="_Toc514938047"/>
      <w:bookmarkStart w:id="32" w:name="_Toc520485046"/>
      <w:r>
        <w:t>2.2.2.</w:t>
      </w:r>
      <w:r>
        <w:tab/>
      </w:r>
      <w:r>
        <w:rPr>
          <w:noProof/>
        </w:rPr>
        <w:t>Tiedot todetuista riskeistä ja niiden vähentämiseksi käyttöön otetuista sisäisistä valvontajärjestelmistä</w:t>
      </w:r>
      <w:bookmarkEnd w:id="31"/>
      <w:bookmarkEnd w:id="32"/>
    </w:p>
    <w:p>
      <w:pPr>
        <w:pStyle w:val="Text1"/>
        <w:pBdr>
          <w:top w:val="single" w:sz="4" w:space="1" w:color="auto"/>
          <w:left w:val="single" w:sz="4" w:space="4" w:color="auto"/>
          <w:bottom w:val="single" w:sz="4" w:space="1" w:color="auto"/>
          <w:right w:val="single" w:sz="4" w:space="4" w:color="auto"/>
        </w:pBdr>
        <w:rPr>
          <w:noProof/>
        </w:rPr>
      </w:pPr>
      <w:r>
        <w:t>Ei sovelleta</w:t>
      </w:r>
    </w:p>
    <w:p>
      <w:pPr>
        <w:pStyle w:val="ManualHeading3"/>
        <w:rPr>
          <w:noProof/>
        </w:rPr>
      </w:pPr>
      <w:bookmarkStart w:id="33" w:name="_Toc514938048"/>
      <w:bookmarkStart w:id="34" w:name="_Toc520485047"/>
      <w:r>
        <w:t>2.2.3.</w:t>
      </w:r>
      <w:r>
        <w:tab/>
      </w:r>
      <w:r>
        <w:rPr>
          <w:noProof/>
        </w:rPr>
        <w:t>Valvonnan kustannustehokkuutta (valvontakustannusten suhde hallinnoitujen varojen arvoon) koskevat arviot ja perustelut sekä arviot maksujen suoritusajankohdan ja toimen päättämisajankohdan odotetuista virheriskitasoista</w:t>
      </w:r>
      <w:bookmarkEnd w:id="33"/>
      <w:bookmarkEnd w:id="34"/>
      <w:r>
        <w:rPr>
          <w:noProof/>
        </w:rPr>
        <w:t xml:space="preserve"> </w:t>
      </w:r>
    </w:p>
    <w:p>
      <w:pPr>
        <w:pStyle w:val="Text1"/>
        <w:pBdr>
          <w:top w:val="single" w:sz="4" w:space="1" w:color="auto"/>
          <w:left w:val="single" w:sz="4" w:space="4" w:color="auto"/>
          <w:bottom w:val="single" w:sz="4" w:space="1" w:color="auto"/>
          <w:right w:val="single" w:sz="4" w:space="4" w:color="auto"/>
        </w:pBdr>
      </w:pPr>
      <w:r>
        <w:t>Ei sovelleta</w:t>
      </w:r>
    </w:p>
    <w:p>
      <w:pPr>
        <w:pStyle w:val="ManualHeading2"/>
        <w:rPr>
          <w:bCs/>
          <w:noProof/>
          <w:szCs w:val="24"/>
        </w:rPr>
      </w:pPr>
      <w:bookmarkStart w:id="35" w:name="_Toc514938049"/>
      <w:bookmarkStart w:id="36" w:name="_Toc520485048"/>
      <w:r>
        <w:t>2.3.</w:t>
      </w:r>
      <w:r>
        <w:tab/>
      </w:r>
      <w:r>
        <w:rPr>
          <w:noProof/>
        </w:rPr>
        <w:t>Toimenpiteet petosten ja sääntöjenvastaisuuksien ehkäisemiseksi</w:t>
      </w:r>
      <w:bookmarkEnd w:id="35"/>
      <w:bookmarkEnd w:id="36"/>
      <w:r>
        <w:rPr>
          <w:noProof/>
        </w:rPr>
        <w:t xml:space="preserve"> </w:t>
      </w:r>
    </w:p>
    <w:p>
      <w:pPr>
        <w:pStyle w:val="Text1"/>
        <w:rPr>
          <w:i/>
          <w:noProof/>
          <w:sz w:val="20"/>
        </w:rPr>
      </w:pPr>
      <w:r>
        <w:rPr>
          <w:i/>
          <w:noProof/>
          <w:sz w:val="20"/>
        </w:rPr>
        <w:t>Ilmoitetaan käytössä olevat ja suunnitellut ehkäisy- ja suojatoimenpiteet, esimerkiksi petostentorjuntastrategian pohjalta</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r>
        <w:t>Ei sovelleta</w:t>
      </w:r>
    </w:p>
    <w:p>
      <w:pPr>
        <w:pStyle w:val="ManualHeading1"/>
        <w:rPr>
          <w:bCs/>
          <w:noProof/>
          <w:szCs w:val="24"/>
        </w:rPr>
      </w:pPr>
      <w:bookmarkStart w:id="37" w:name="_Toc514938050"/>
      <w:bookmarkStart w:id="38" w:name="_Toc520485049"/>
      <w:r>
        <w:lastRenderedPageBreak/>
        <w:t>3.</w:t>
      </w:r>
      <w:r>
        <w:tab/>
      </w:r>
      <w:r>
        <w:rPr>
          <w:noProof/>
        </w:rPr>
        <w:t>EHDOTUKSEN/ALOITTEEN ARVIOIDUT RAHOITUSVAIKUTUKSET</w:t>
      </w:r>
      <w:bookmarkEnd w:id="37"/>
      <w:bookmarkEnd w:id="38"/>
      <w:r>
        <w:rPr>
          <w:noProof/>
        </w:rPr>
        <w:t xml:space="preserve"> </w:t>
      </w:r>
    </w:p>
    <w:p>
      <w:pPr>
        <w:pStyle w:val="ManualHeading2"/>
        <w:rPr>
          <w:noProof/>
        </w:rPr>
      </w:pPr>
      <w:bookmarkStart w:id="39" w:name="_Toc514938051"/>
      <w:bookmarkStart w:id="40" w:name="_Toc520485050"/>
      <w:r>
        <w:t>3.1.</w:t>
      </w:r>
      <w:r>
        <w:tab/>
      </w:r>
      <w:r>
        <w:rPr>
          <w:noProof/>
        </w:rPr>
        <w:t>Kyseeseen tulevat monivuotisen rahoituskehyksen otsakkeet ja menopuolen budjettikohdat</w:t>
      </w:r>
      <w:bookmarkEnd w:id="39"/>
      <w:bookmarkEnd w:id="40"/>
      <w:r>
        <w:rPr>
          <w:noProof/>
        </w:rPr>
        <w:t xml:space="preserve"> </w:t>
      </w:r>
    </w:p>
    <w:p>
      <w:pPr>
        <w:pStyle w:val="ListBullet1"/>
        <w:rPr>
          <w:noProof/>
        </w:rPr>
      </w:pPr>
      <w:r>
        <w:rPr>
          <w:noProof/>
        </w:rPr>
        <w:t xml:space="preserve">Talousarviossa jo olevat budjettikohdat </w:t>
      </w:r>
    </w:p>
    <w:p>
      <w:pPr>
        <w:pStyle w:val="Text1"/>
        <w:rPr>
          <w:i/>
          <w:noProof/>
        </w:rPr>
      </w:pPr>
      <w:r>
        <w:rPr>
          <w:i/>
          <w:noProof/>
        </w:rPr>
        <w:t xml:space="preserve">Monivuotisen rahoituskehyksen otsakkeiden ja budjettikohtien mukaisessa </w:t>
      </w:r>
      <w:r>
        <w:rPr>
          <w:i/>
          <w:noProof/>
          <w:u w:val="single"/>
        </w:rPr>
        <w:t>järjestyksessä</w:t>
      </w:r>
      <w:r>
        <w:rPr>
          <w:i/>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Moni</w:t>
            </w:r>
            <w:r>
              <w:rPr>
                <w:noProof/>
                <w:sz w:val="18"/>
              </w:rPr>
              <w:softHyphen/>
              <w:t>vuotisen rahoitus</w:t>
            </w:r>
            <w:r>
              <w:rPr>
                <w:noProof/>
                <w:sz w:val="18"/>
              </w:rPr>
              <w:softHyphen/>
              <w:t>kehyksen otsake</w:t>
            </w:r>
          </w:p>
        </w:tc>
        <w:tc>
          <w:tcPr>
            <w:tcW w:w="3960" w:type="dxa"/>
            <w:vAlign w:val="center"/>
          </w:tcPr>
          <w:p>
            <w:pPr>
              <w:spacing w:before="60" w:after="60"/>
              <w:jc w:val="center"/>
              <w:rPr>
                <w:noProof/>
              </w:rPr>
            </w:pPr>
            <w:r>
              <w:rPr>
                <w:noProof/>
                <w:sz w:val="20"/>
              </w:rPr>
              <w:t>Budjettikohta</w:t>
            </w:r>
          </w:p>
        </w:tc>
        <w:tc>
          <w:tcPr>
            <w:tcW w:w="1080" w:type="dxa"/>
            <w:vAlign w:val="center"/>
          </w:tcPr>
          <w:p>
            <w:pPr>
              <w:spacing w:before="60" w:after="60"/>
              <w:jc w:val="center"/>
              <w:rPr>
                <w:noProof/>
              </w:rPr>
            </w:pPr>
            <w:r>
              <w:rPr>
                <w:noProof/>
                <w:sz w:val="18"/>
              </w:rPr>
              <w:t>Menolaji</w:t>
            </w:r>
            <w:r>
              <w:rPr>
                <w:noProof/>
                <w:sz w:val="22"/>
              </w:rPr>
              <w:br/>
            </w:r>
          </w:p>
        </w:tc>
        <w:tc>
          <w:tcPr>
            <w:tcW w:w="4440" w:type="dxa"/>
            <w:gridSpan w:val="4"/>
            <w:vAlign w:val="center"/>
          </w:tcPr>
          <w:p>
            <w:pPr>
              <w:spacing w:before="60" w:after="60"/>
              <w:jc w:val="center"/>
              <w:rPr>
                <w:noProof/>
              </w:rPr>
            </w:pPr>
            <w:r>
              <w:rPr>
                <w:noProof/>
                <w:sz w:val="20"/>
              </w:rPr>
              <w:t xml:space="preserve">Rahoitusosuudet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Numero </w:t>
            </w:r>
            <w:r>
              <w:rPr>
                <w:noProof/>
                <w:sz w:val="22"/>
              </w:rPr>
              <w:br/>
            </w:r>
          </w:p>
        </w:tc>
        <w:tc>
          <w:tcPr>
            <w:tcW w:w="1080" w:type="dxa"/>
            <w:vAlign w:val="center"/>
          </w:tcPr>
          <w:p>
            <w:pPr>
              <w:jc w:val="center"/>
              <w:rPr>
                <w:noProof/>
              </w:rPr>
            </w:pPr>
            <w:r>
              <w:rPr>
                <w:noProof/>
                <w:sz w:val="18"/>
              </w:rPr>
              <w:t>JM/EI-JM</w:t>
            </w:r>
            <w:r>
              <w:rPr>
                <w:rStyle w:val="FootnoteReference"/>
                <w:noProof/>
                <w:sz w:val="18"/>
              </w:rPr>
              <w:footnoteReference w:id="10"/>
            </w:r>
          </w:p>
        </w:tc>
        <w:tc>
          <w:tcPr>
            <w:tcW w:w="956" w:type="dxa"/>
            <w:vAlign w:val="center"/>
          </w:tcPr>
          <w:p>
            <w:pPr>
              <w:jc w:val="center"/>
              <w:rPr>
                <w:noProof/>
              </w:rPr>
            </w:pPr>
            <w:r>
              <w:rPr>
                <w:noProof/>
                <w:sz w:val="18"/>
              </w:rPr>
              <w:t>EFTA-mailta</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rPr>
            </w:pPr>
            <w:r>
              <w:rPr>
                <w:noProof/>
                <w:sz w:val="18"/>
              </w:rPr>
              <w:t>ehdokas</w:t>
            </w:r>
            <w:r>
              <w:rPr>
                <w:noProof/>
                <w:sz w:val="18"/>
              </w:rPr>
              <w:softHyphen/>
              <w:t>mailta</w:t>
            </w:r>
            <w:r>
              <w:rPr>
                <w:rStyle w:val="FootnoteReference"/>
                <w:noProof/>
                <w:sz w:val="18"/>
              </w:rPr>
              <w:footnoteReference w:id="12"/>
            </w:r>
          </w:p>
          <w:p>
            <w:pPr>
              <w:spacing w:before="0" w:after="0"/>
              <w:jc w:val="center"/>
              <w:rPr>
                <w:noProof/>
                <w:sz w:val="18"/>
              </w:rPr>
            </w:pPr>
          </w:p>
        </w:tc>
        <w:tc>
          <w:tcPr>
            <w:tcW w:w="956" w:type="dxa"/>
            <w:vAlign w:val="center"/>
          </w:tcPr>
          <w:p>
            <w:pPr>
              <w:jc w:val="center"/>
              <w:rPr>
                <w:noProof/>
                <w:sz w:val="18"/>
              </w:rPr>
            </w:pPr>
            <w:r>
              <w:rPr>
                <w:noProof/>
                <w:sz w:val="18"/>
              </w:rPr>
              <w:t>kolman</w:t>
            </w:r>
            <w:r>
              <w:rPr>
                <w:noProof/>
                <w:sz w:val="18"/>
              </w:rPr>
              <w:softHyphen/>
              <w:t>silta mailta</w:t>
            </w:r>
          </w:p>
        </w:tc>
        <w:tc>
          <w:tcPr>
            <w:tcW w:w="1448" w:type="dxa"/>
            <w:vAlign w:val="center"/>
          </w:tcPr>
          <w:p>
            <w:pPr>
              <w:jc w:val="center"/>
              <w:rPr>
                <w:noProof/>
              </w:rPr>
            </w:pPr>
            <w:r>
              <w:rPr>
                <w:noProof/>
                <w:sz w:val="16"/>
              </w:rPr>
              <w:t>varainhoito</w:t>
            </w:r>
            <w:r>
              <w:rPr>
                <w:noProof/>
                <w:sz w:val="16"/>
              </w:rPr>
              <w:softHyphen/>
              <w:t xml:space="preserve">asetuksen 21 artiklan 2 kohdan b alakohdassa tarkoitetut rahoitusosuudet </w:t>
            </w:r>
          </w:p>
        </w:tc>
      </w:tr>
      <w:tr>
        <w:tc>
          <w:tcPr>
            <w:tcW w:w="1080" w:type="dxa"/>
            <w:vAlign w:val="center"/>
          </w:tcPr>
          <w:p>
            <w:pPr>
              <w:jc w:val="center"/>
              <w:rPr>
                <w:noProof/>
                <w:color w:val="0000FF"/>
              </w:rPr>
            </w:pPr>
            <w:r>
              <w:rPr>
                <w:noProof/>
                <w:color w:val="0000FF"/>
              </w:rPr>
              <w:t>13</w:t>
            </w:r>
          </w:p>
        </w:tc>
        <w:tc>
          <w:tcPr>
            <w:tcW w:w="3960" w:type="dxa"/>
            <w:vAlign w:val="center"/>
          </w:tcPr>
          <w:p>
            <w:pPr>
              <w:spacing w:before="60"/>
              <w:rPr>
                <w:noProof/>
                <w:sz w:val="22"/>
              </w:rPr>
            </w:pPr>
          </w:p>
          <w:p>
            <w:pPr>
              <w:spacing w:before="60"/>
              <w:rPr>
                <w:noProof/>
              </w:rPr>
            </w:pPr>
            <w:r>
              <w:rPr>
                <w:noProof/>
                <w:sz w:val="22"/>
              </w:rPr>
              <w:t>13.03.64.01 – Euroopan aluekehitysrahasto (EAKR) – Euroopan alueiden välinen yhteistyö</w:t>
            </w:r>
          </w:p>
          <w:p>
            <w:pPr>
              <w:spacing w:after="60"/>
              <w:rPr>
                <w:noProof/>
              </w:rPr>
            </w:pPr>
          </w:p>
        </w:tc>
        <w:tc>
          <w:tcPr>
            <w:tcW w:w="1080" w:type="dxa"/>
            <w:vAlign w:val="center"/>
          </w:tcPr>
          <w:p>
            <w:pPr>
              <w:jc w:val="center"/>
              <w:rPr>
                <w:noProof/>
                <w:color w:val="0000FF"/>
              </w:rPr>
            </w:pPr>
            <w:r>
              <w:rPr>
                <w:noProof/>
                <w:sz w:val="22"/>
              </w:rPr>
              <w:t>JM</w:t>
            </w:r>
          </w:p>
        </w:tc>
        <w:tc>
          <w:tcPr>
            <w:tcW w:w="956" w:type="dxa"/>
            <w:vAlign w:val="center"/>
          </w:tcPr>
          <w:p>
            <w:pPr>
              <w:jc w:val="center"/>
              <w:rPr>
                <w:noProof/>
                <w:sz w:val="20"/>
                <w:szCs w:val="20"/>
              </w:rPr>
            </w:pPr>
            <w:r>
              <w:rPr>
                <w:noProof/>
                <w:sz w:val="20"/>
              </w:rPr>
              <w:t>EI</w:t>
            </w:r>
          </w:p>
        </w:tc>
        <w:tc>
          <w:tcPr>
            <w:tcW w:w="1080" w:type="dxa"/>
            <w:vAlign w:val="center"/>
          </w:tcPr>
          <w:p>
            <w:pPr>
              <w:jc w:val="center"/>
              <w:rPr>
                <w:noProof/>
                <w:sz w:val="20"/>
                <w:szCs w:val="20"/>
              </w:rPr>
            </w:pPr>
            <w:r>
              <w:rPr>
                <w:noProof/>
                <w:sz w:val="20"/>
              </w:rPr>
              <w:t>EI</w:t>
            </w:r>
          </w:p>
        </w:tc>
        <w:tc>
          <w:tcPr>
            <w:tcW w:w="956" w:type="dxa"/>
            <w:vAlign w:val="center"/>
          </w:tcPr>
          <w:p>
            <w:pPr>
              <w:jc w:val="center"/>
              <w:rPr>
                <w:noProof/>
                <w:sz w:val="20"/>
                <w:szCs w:val="20"/>
              </w:rPr>
            </w:pPr>
            <w:r>
              <w:rPr>
                <w:noProof/>
                <w:sz w:val="20"/>
              </w:rPr>
              <w:t>EI</w:t>
            </w:r>
          </w:p>
        </w:tc>
        <w:tc>
          <w:tcPr>
            <w:tcW w:w="1448" w:type="dxa"/>
            <w:vAlign w:val="center"/>
          </w:tcPr>
          <w:p>
            <w:pPr>
              <w:rPr>
                <w:noProof/>
                <w:sz w:val="20"/>
                <w:szCs w:val="20"/>
              </w:rPr>
            </w:pPr>
            <w:r>
              <w:rPr>
                <w:noProof/>
                <w:sz w:val="20"/>
              </w:rPr>
              <w:t xml:space="preserve">      EI</w:t>
            </w:r>
          </w:p>
        </w:tc>
      </w:tr>
    </w:tbl>
    <w:p>
      <w:pPr>
        <w:pStyle w:val="ManualHeading2"/>
        <w:rPr>
          <w:bCs/>
          <w:noProof/>
          <w:szCs w:val="24"/>
        </w:rPr>
      </w:pPr>
      <w:bookmarkStart w:id="41" w:name="_Toc514938052"/>
      <w:bookmarkStart w:id="42" w:name="_Toc520485051"/>
      <w:r>
        <w:t>3.2.</w:t>
      </w:r>
      <w:r>
        <w:tab/>
      </w:r>
      <w:r>
        <w:rPr>
          <w:noProof/>
        </w:rPr>
        <w:t>Arvioidut vaikutukset määrärahoihin</w:t>
      </w:r>
      <w:bookmarkEnd w:id="41"/>
      <w:bookmarkEnd w:id="42"/>
      <w:r>
        <w:rPr>
          <w:noProof/>
        </w:rPr>
        <w:t xml:space="preserve"> </w:t>
      </w:r>
    </w:p>
    <w:p>
      <w:pPr>
        <w:pStyle w:val="ManualHeading3"/>
        <w:rPr>
          <w:noProof/>
        </w:rPr>
      </w:pPr>
      <w:bookmarkStart w:id="43" w:name="_Toc514938053"/>
      <w:bookmarkStart w:id="44" w:name="_Toc520485052"/>
      <w:r>
        <w:t>3.2.1.</w:t>
      </w:r>
      <w:r>
        <w:tab/>
      </w:r>
      <w:r>
        <w:rPr>
          <w:noProof/>
        </w:rPr>
        <w:t>Yhteenveto arvioiduista vaikutuksista toimintamäärärahoihin</w:t>
      </w:r>
      <w:bookmarkEnd w:id="43"/>
      <w:bookmarkEnd w:id="44"/>
      <w:r>
        <w:rPr>
          <w:noProof/>
        </w:rPr>
        <w:t xml:space="preserve"> </w:t>
      </w:r>
    </w:p>
    <w:p>
      <w:pPr>
        <w:pStyle w:val="ListDash1"/>
        <w:rPr>
          <w:b/>
          <w:noProof/>
        </w:rPr>
      </w:pPr>
      <w:r>
        <w:rPr>
          <w:b/>
          <w:noProof/>
        </w:rPr>
        <w:t>X</w:t>
      </w:r>
      <w:r>
        <w:rPr>
          <w:noProof/>
        </w:rPr>
        <w:tab/>
      </w:r>
      <w:r>
        <w:rPr>
          <w:b/>
          <w:noProof/>
        </w:rPr>
        <w:t xml:space="preserve">Tällä asetuksella ei ole rahoitusvaikutuksia.  </w:t>
      </w:r>
    </w:p>
    <w:p>
      <w:pPr>
        <w:pStyle w:val="Text1"/>
        <w:rPr>
          <w:noProof/>
        </w:rPr>
      </w:pPr>
      <w:r>
        <w:rPr>
          <w:noProof/>
        </w:rPr>
        <w:sym w:font="Wingdings" w:char="F0A8"/>
      </w:r>
      <w:r>
        <w:rPr>
          <w:noProof/>
        </w:rPr>
        <w:tab/>
        <w:t>Ehdotus/aloite edellyttää toimintamäärärahoja seuraavasti:</w:t>
      </w:r>
    </w:p>
    <w:p>
      <w:pPr>
        <w:jc w:val="right"/>
        <w:rPr>
          <w:noProof/>
          <w:sz w:val="18"/>
          <w:szCs w:val="18"/>
        </w:rPr>
      </w:pPr>
      <w:r>
        <w:rPr>
          <w:noProof/>
          <w:sz w:val="18"/>
        </w:rPr>
        <w:t xml:space="preserve">euroa </w:t>
      </w: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lastRenderedPageBreak/>
              <w:t xml:space="preserve">Monivuotisen rahoituskehyksen </w:t>
            </w:r>
            <w:r>
              <w:rPr>
                <w:noProof/>
                <w:sz w:val="22"/>
              </w:rPr>
              <w:br/>
            </w:r>
            <w:r>
              <w:rPr>
                <w:b/>
                <w:noProof/>
                <w:sz w:val="22"/>
              </w:rPr>
              <w:t xml:space="preserve">otsake </w:t>
            </w:r>
          </w:p>
        </w:tc>
        <w:tc>
          <w:tcPr>
            <w:tcW w:w="1080" w:type="dxa"/>
            <w:vAlign w:val="center"/>
          </w:tcPr>
          <w:p>
            <w:pPr>
              <w:spacing w:before="60" w:after="60"/>
              <w:jc w:val="center"/>
              <w:rPr>
                <w:noProof/>
              </w:rPr>
            </w:pPr>
            <w:r>
              <w:rPr>
                <w:noProof/>
                <w:sz w:val="22"/>
              </w:rPr>
              <w:t>13</w:t>
            </w:r>
          </w:p>
        </w:tc>
        <w:tc>
          <w:tcPr>
            <w:tcW w:w="7817" w:type="dxa"/>
            <w:vAlign w:val="center"/>
          </w:tcPr>
          <w:p>
            <w:pPr>
              <w:spacing w:before="60" w:after="60"/>
              <w:rPr>
                <w:noProof/>
              </w:rPr>
            </w:pPr>
          </w:p>
        </w:tc>
      </w:tr>
    </w:tbl>
    <w:p>
      <w:pPr>
        <w:rPr>
          <w:noProof/>
          <w:sz w:val="16"/>
        </w:rPr>
      </w:pPr>
    </w:p>
    <w:tbl>
      <w:tblPr>
        <w:tblW w:w="15952"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252"/>
        <w:gridCol w:w="1116"/>
        <w:gridCol w:w="1010"/>
        <w:gridCol w:w="1134"/>
        <w:gridCol w:w="1418"/>
        <w:gridCol w:w="1559"/>
        <w:gridCol w:w="2409"/>
      </w:tblGrid>
      <w:tr>
        <w:trPr>
          <w:trHeight w:val="1068"/>
        </w:trPr>
        <w:tc>
          <w:tcPr>
            <w:tcW w:w="3960" w:type="dxa"/>
            <w:vAlign w:val="center"/>
          </w:tcPr>
          <w:p>
            <w:pPr>
              <w:rPr>
                <w:noProof/>
              </w:rPr>
            </w:pPr>
          </w:p>
        </w:tc>
        <w:tc>
          <w:tcPr>
            <w:tcW w:w="1560" w:type="dxa"/>
            <w:gridSpan w:val="2"/>
          </w:tcPr>
          <w:p>
            <w:pPr>
              <w:rPr>
                <w:noProof/>
                <w:sz w:val="20"/>
              </w:rPr>
            </w:pPr>
          </w:p>
        </w:tc>
        <w:tc>
          <w:tcPr>
            <w:tcW w:w="534" w:type="dxa"/>
          </w:tcPr>
          <w:p>
            <w:pPr>
              <w:jc w:val="center"/>
              <w:rPr>
                <w:noProof/>
                <w:sz w:val="20"/>
              </w:rPr>
            </w:pPr>
          </w:p>
        </w:tc>
        <w:tc>
          <w:tcPr>
            <w:tcW w:w="1252" w:type="dxa"/>
            <w:vAlign w:val="center"/>
          </w:tcPr>
          <w:p>
            <w:pPr>
              <w:jc w:val="center"/>
              <w:rPr>
                <w:noProof/>
                <w:sz w:val="20"/>
              </w:rPr>
            </w:pPr>
            <w:r>
              <w:rPr>
                <w:noProof/>
                <w:sz w:val="20"/>
              </w:rPr>
              <w:t>2019</w:t>
            </w:r>
          </w:p>
        </w:tc>
        <w:tc>
          <w:tcPr>
            <w:tcW w:w="1116" w:type="dxa"/>
            <w:vAlign w:val="center"/>
          </w:tcPr>
          <w:p>
            <w:pPr>
              <w:jc w:val="center"/>
              <w:rPr>
                <w:noProof/>
                <w:sz w:val="20"/>
              </w:rPr>
            </w:pPr>
            <w:r>
              <w:rPr>
                <w:noProof/>
                <w:sz w:val="20"/>
              </w:rPr>
              <w:t>2020</w:t>
            </w:r>
          </w:p>
        </w:tc>
        <w:tc>
          <w:tcPr>
            <w:tcW w:w="1010" w:type="dxa"/>
            <w:vAlign w:val="center"/>
          </w:tcPr>
          <w:p>
            <w:pPr>
              <w:jc w:val="center"/>
              <w:rPr>
                <w:noProof/>
                <w:sz w:val="20"/>
              </w:rPr>
            </w:pPr>
            <w:r>
              <w:rPr>
                <w:noProof/>
                <w:sz w:val="20"/>
              </w:rPr>
              <w:t>2021</w:t>
            </w:r>
          </w:p>
        </w:tc>
        <w:tc>
          <w:tcPr>
            <w:tcW w:w="1134" w:type="dxa"/>
            <w:vAlign w:val="center"/>
          </w:tcPr>
          <w:p>
            <w:pPr>
              <w:jc w:val="center"/>
              <w:rPr>
                <w:noProof/>
                <w:sz w:val="20"/>
              </w:rPr>
            </w:pPr>
            <w:r>
              <w:rPr>
                <w:noProof/>
                <w:sz w:val="20"/>
              </w:rPr>
              <w:t>2022</w:t>
            </w:r>
          </w:p>
        </w:tc>
        <w:tc>
          <w:tcPr>
            <w:tcW w:w="1418" w:type="dxa"/>
          </w:tcPr>
          <w:p>
            <w:pPr>
              <w:rPr>
                <w:noProof/>
                <w:sz w:val="20"/>
              </w:rPr>
            </w:pPr>
            <w:r>
              <w:rPr>
                <w:noProof/>
                <w:sz w:val="20"/>
              </w:rPr>
              <w:t xml:space="preserve">   </w:t>
            </w:r>
          </w:p>
          <w:p>
            <w:pPr>
              <w:rPr>
                <w:noProof/>
                <w:sz w:val="20"/>
              </w:rPr>
            </w:pPr>
            <w:r>
              <w:rPr>
                <w:noProof/>
                <w:sz w:val="20"/>
              </w:rPr>
              <w:t xml:space="preserve">      2023</w:t>
            </w:r>
          </w:p>
        </w:tc>
        <w:tc>
          <w:tcPr>
            <w:tcW w:w="1559" w:type="dxa"/>
          </w:tcPr>
          <w:p>
            <w:pPr>
              <w:jc w:val="center"/>
              <w:rPr>
                <w:noProof/>
                <w:sz w:val="20"/>
              </w:rPr>
            </w:pPr>
          </w:p>
          <w:p>
            <w:pPr>
              <w:jc w:val="center"/>
              <w:rPr>
                <w:noProof/>
                <w:sz w:val="20"/>
              </w:rPr>
            </w:pPr>
            <w:r>
              <w:rPr>
                <w:noProof/>
                <w:sz w:val="20"/>
              </w:rPr>
              <w:t>Seuraavat vuodet</w:t>
            </w:r>
          </w:p>
        </w:tc>
        <w:tc>
          <w:tcPr>
            <w:tcW w:w="2409" w:type="dxa"/>
            <w:vAlign w:val="center"/>
          </w:tcPr>
          <w:p>
            <w:pPr>
              <w:jc w:val="center"/>
              <w:rPr>
                <w:b/>
                <w:noProof/>
                <w:sz w:val="20"/>
              </w:rPr>
            </w:pPr>
            <w:r>
              <w:rPr>
                <w:b/>
                <w:noProof/>
                <w:sz w:val="20"/>
              </w:rPr>
              <w:t>YHTEENSÄ</w:t>
            </w:r>
          </w:p>
        </w:tc>
      </w:tr>
      <w:tr>
        <w:trPr>
          <w:trHeight w:val="213"/>
        </w:trPr>
        <w:tc>
          <w:tcPr>
            <w:tcW w:w="6054" w:type="dxa"/>
            <w:gridSpan w:val="4"/>
            <w:vAlign w:val="center"/>
          </w:tcPr>
          <w:p>
            <w:pPr>
              <w:spacing w:before="20" w:after="20"/>
              <w:rPr>
                <w:b/>
                <w:noProof/>
                <w:szCs w:val="24"/>
              </w:rPr>
            </w:pPr>
            <w:r>
              <w:rPr>
                <w:noProof/>
                <w:sz w:val="21"/>
              </w:rPr>
              <w:sym w:font="Wingdings" w:char="F09F"/>
            </w:r>
            <w:r>
              <w:rPr>
                <w:noProof/>
                <w:sz w:val="21"/>
              </w:rPr>
              <w:t xml:space="preserve"> </w:t>
            </w:r>
            <w:r>
              <w:rPr>
                <w:b/>
                <w:noProof/>
              </w:rPr>
              <w:t>Toimintamäärärahojen peruuntuminen</w:t>
            </w:r>
          </w:p>
        </w:tc>
        <w:tc>
          <w:tcPr>
            <w:tcW w:w="1252" w:type="dxa"/>
            <w:vAlign w:val="center"/>
          </w:tcPr>
          <w:p>
            <w:pPr>
              <w:rPr>
                <w:noProof/>
                <w:sz w:val="20"/>
              </w:rPr>
            </w:pPr>
          </w:p>
        </w:tc>
        <w:tc>
          <w:tcPr>
            <w:tcW w:w="1116" w:type="dxa"/>
            <w:vAlign w:val="center"/>
          </w:tcPr>
          <w:p>
            <w:pPr>
              <w:rPr>
                <w:noProof/>
                <w:sz w:val="20"/>
              </w:rPr>
            </w:pPr>
          </w:p>
        </w:tc>
        <w:tc>
          <w:tcPr>
            <w:tcW w:w="1010" w:type="dxa"/>
            <w:vAlign w:val="center"/>
          </w:tcPr>
          <w:p>
            <w:pPr>
              <w:rPr>
                <w:noProof/>
                <w:sz w:val="20"/>
              </w:rPr>
            </w:pPr>
          </w:p>
        </w:tc>
        <w:tc>
          <w:tcPr>
            <w:tcW w:w="1134" w:type="dxa"/>
            <w:vAlign w:val="center"/>
          </w:tcPr>
          <w:p>
            <w:pPr>
              <w:rPr>
                <w:noProof/>
                <w:sz w:val="20"/>
              </w:rPr>
            </w:pPr>
          </w:p>
        </w:tc>
        <w:tc>
          <w:tcPr>
            <w:tcW w:w="1418" w:type="dxa"/>
          </w:tcPr>
          <w:p>
            <w:pPr>
              <w:rPr>
                <w:b/>
                <w:noProof/>
                <w:sz w:val="20"/>
              </w:rPr>
            </w:pPr>
          </w:p>
        </w:tc>
        <w:tc>
          <w:tcPr>
            <w:tcW w:w="1559" w:type="dxa"/>
          </w:tcPr>
          <w:p>
            <w:pPr>
              <w:rPr>
                <w:b/>
                <w:noProof/>
                <w:sz w:val="20"/>
              </w:rPr>
            </w:pPr>
          </w:p>
        </w:tc>
        <w:tc>
          <w:tcPr>
            <w:tcW w:w="2409" w:type="dxa"/>
            <w:vAlign w:val="center"/>
          </w:tcPr>
          <w:p>
            <w:pPr>
              <w:rPr>
                <w:b/>
                <w:noProof/>
                <w:sz w:val="20"/>
              </w:rPr>
            </w:pPr>
          </w:p>
        </w:tc>
      </w:tr>
      <w:tr>
        <w:trPr>
          <w:trHeight w:val="509"/>
        </w:trPr>
        <w:tc>
          <w:tcPr>
            <w:tcW w:w="3960" w:type="dxa"/>
            <w:vMerge w:val="restart"/>
            <w:vAlign w:val="center"/>
          </w:tcPr>
          <w:p>
            <w:pPr>
              <w:rPr>
                <w:noProof/>
                <w:sz w:val="20"/>
              </w:rPr>
            </w:pPr>
            <w:r>
              <w:rPr>
                <w:noProof/>
                <w:sz w:val="20"/>
              </w:rPr>
              <w:t>13.03.64.01 – Euroopan aluekehitysrahasto (EAKR) – Euroopan alueiden välinen yhteistyö</w:t>
            </w:r>
          </w:p>
        </w:tc>
        <w:tc>
          <w:tcPr>
            <w:tcW w:w="1440" w:type="dxa"/>
            <w:vAlign w:val="center"/>
          </w:tcPr>
          <w:p>
            <w:pPr>
              <w:spacing w:before="20" w:after="20"/>
              <w:rPr>
                <w:noProof/>
                <w:sz w:val="18"/>
              </w:rPr>
            </w:pPr>
            <w:r>
              <w:rPr>
                <w:noProof/>
                <w:sz w:val="18"/>
              </w:rPr>
              <w:t>Sitoumukset</w:t>
            </w:r>
          </w:p>
        </w:tc>
        <w:tc>
          <w:tcPr>
            <w:tcW w:w="654" w:type="dxa"/>
            <w:gridSpan w:val="2"/>
            <w:vAlign w:val="center"/>
          </w:tcPr>
          <w:p>
            <w:pPr>
              <w:spacing w:before="20" w:after="20"/>
              <w:jc w:val="center"/>
              <w:rPr>
                <w:noProof/>
                <w:sz w:val="14"/>
              </w:rPr>
            </w:pPr>
            <w:r>
              <w:rPr>
                <w:noProof/>
                <w:sz w:val="14"/>
              </w:rPr>
              <w:t>(1a)</w:t>
            </w:r>
          </w:p>
        </w:tc>
        <w:tc>
          <w:tcPr>
            <w:tcW w:w="1252" w:type="dxa"/>
            <w:vAlign w:val="center"/>
          </w:tcPr>
          <w:p>
            <w:pPr>
              <w:spacing w:before="20" w:after="20"/>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tcPr>
          <w:p>
            <w:pPr>
              <w:spacing w:before="20" w:after="20"/>
              <w:jc w:val="right"/>
              <w:rPr>
                <w:b/>
                <w:noProof/>
                <w:sz w:val="20"/>
              </w:rPr>
            </w:pPr>
          </w:p>
        </w:tc>
        <w:tc>
          <w:tcPr>
            <w:tcW w:w="1559" w:type="dxa"/>
          </w:tcPr>
          <w:p>
            <w:pPr>
              <w:spacing w:before="20" w:after="20"/>
              <w:jc w:val="right"/>
              <w:rPr>
                <w:b/>
                <w:noProof/>
                <w:sz w:val="20"/>
              </w:rPr>
            </w:pPr>
          </w:p>
        </w:tc>
        <w:tc>
          <w:tcPr>
            <w:tcW w:w="2409" w:type="dxa"/>
            <w:vAlign w:val="center"/>
          </w:tcPr>
          <w:p>
            <w:pPr>
              <w:spacing w:before="20" w:after="20"/>
              <w:jc w:val="right"/>
              <w:rPr>
                <w:noProof/>
                <w:sz w:val="18"/>
                <w:szCs w:val="18"/>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Maksut</w:t>
            </w:r>
          </w:p>
        </w:tc>
        <w:tc>
          <w:tcPr>
            <w:tcW w:w="654" w:type="dxa"/>
            <w:gridSpan w:val="2"/>
            <w:vAlign w:val="center"/>
          </w:tcPr>
          <w:p>
            <w:pPr>
              <w:spacing w:before="20" w:after="20"/>
              <w:jc w:val="center"/>
              <w:rPr>
                <w:noProof/>
                <w:sz w:val="14"/>
              </w:rPr>
            </w:pPr>
            <w:r>
              <w:rPr>
                <w:noProof/>
                <w:sz w:val="14"/>
              </w:rPr>
              <w:t>(2a)</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highlight w:val="yellow"/>
              </w:rPr>
            </w:pPr>
          </w:p>
        </w:tc>
        <w:tc>
          <w:tcPr>
            <w:tcW w:w="1134" w:type="dxa"/>
            <w:vAlign w:val="center"/>
          </w:tcPr>
          <w:p>
            <w:pPr>
              <w:spacing w:before="20" w:after="20"/>
              <w:jc w:val="right"/>
              <w:rPr>
                <w:noProof/>
                <w:sz w:val="18"/>
                <w:szCs w:val="18"/>
              </w:rPr>
            </w:pPr>
          </w:p>
        </w:tc>
        <w:tc>
          <w:tcPr>
            <w:tcW w:w="1418" w:type="dxa"/>
          </w:tcPr>
          <w:p>
            <w:pPr>
              <w:spacing w:before="20" w:after="20"/>
              <w:jc w:val="right"/>
              <w:rPr>
                <w:noProof/>
                <w:sz w:val="18"/>
                <w:szCs w:val="18"/>
              </w:rPr>
            </w:pPr>
          </w:p>
        </w:tc>
        <w:tc>
          <w:tcPr>
            <w:tcW w:w="1559" w:type="dxa"/>
          </w:tcPr>
          <w:p>
            <w:pPr>
              <w:spacing w:before="20" w:after="20"/>
              <w:jc w:val="right"/>
              <w:rPr>
                <w:noProof/>
                <w:sz w:val="18"/>
                <w:szCs w:val="18"/>
              </w:rPr>
            </w:pPr>
          </w:p>
        </w:tc>
        <w:tc>
          <w:tcPr>
            <w:tcW w:w="2409" w:type="dxa"/>
            <w:vAlign w:val="center"/>
          </w:tcPr>
          <w:p>
            <w:pPr>
              <w:spacing w:before="20" w:after="20"/>
              <w:jc w:val="right"/>
              <w:rPr>
                <w:noProof/>
                <w:sz w:val="18"/>
                <w:szCs w:val="18"/>
              </w:rPr>
            </w:pPr>
          </w:p>
        </w:tc>
      </w:tr>
      <w:tr>
        <w:tc>
          <w:tcPr>
            <w:tcW w:w="3960" w:type="dxa"/>
            <w:vMerge w:val="restart"/>
            <w:vAlign w:val="center"/>
          </w:tcPr>
          <w:p>
            <w:pPr>
              <w:jc w:val="center"/>
              <w:rPr>
                <w:b/>
                <w:noProof/>
              </w:rPr>
            </w:pPr>
            <w:r>
              <w:rPr>
                <w:b/>
                <w:noProof/>
                <w:sz w:val="22"/>
              </w:rPr>
              <w:t>Määrärahat YHTEENSÄ</w:t>
            </w:r>
            <w:r>
              <w:rPr>
                <w:noProof/>
                <w:sz w:val="22"/>
              </w:rPr>
              <w:br/>
            </w:r>
          </w:p>
        </w:tc>
        <w:tc>
          <w:tcPr>
            <w:tcW w:w="1440" w:type="dxa"/>
            <w:vAlign w:val="center"/>
          </w:tcPr>
          <w:p>
            <w:pPr>
              <w:rPr>
                <w:noProof/>
                <w:sz w:val="18"/>
              </w:rPr>
            </w:pPr>
            <w:r>
              <w:rPr>
                <w:noProof/>
                <w:sz w:val="18"/>
              </w:rPr>
              <w:t>Sitoumukset</w:t>
            </w:r>
          </w:p>
        </w:tc>
        <w:tc>
          <w:tcPr>
            <w:tcW w:w="654" w:type="dxa"/>
            <w:gridSpan w:val="2"/>
            <w:vAlign w:val="center"/>
          </w:tcPr>
          <w:p>
            <w:pPr>
              <w:jc w:val="center"/>
              <w:rPr>
                <w:noProof/>
                <w:sz w:val="14"/>
              </w:rPr>
            </w:pPr>
            <w:r>
              <w:rPr>
                <w:noProof/>
                <w:sz w:val="14"/>
              </w:rPr>
              <w:t>=1a+1b +3</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418" w:type="dxa"/>
          </w:tcPr>
          <w:p>
            <w:pPr>
              <w:spacing w:before="20" w:after="20"/>
              <w:jc w:val="right"/>
              <w:rPr>
                <w:b/>
                <w:noProof/>
                <w:sz w:val="18"/>
                <w:szCs w:val="18"/>
              </w:rPr>
            </w:pPr>
          </w:p>
        </w:tc>
        <w:tc>
          <w:tcPr>
            <w:tcW w:w="1559" w:type="dxa"/>
          </w:tcPr>
          <w:p>
            <w:pPr>
              <w:spacing w:before="20" w:after="20"/>
              <w:jc w:val="right"/>
              <w:rPr>
                <w:b/>
                <w:noProof/>
                <w:sz w:val="18"/>
                <w:szCs w:val="18"/>
              </w:rPr>
            </w:pPr>
          </w:p>
        </w:tc>
        <w:tc>
          <w:tcPr>
            <w:tcW w:w="2409" w:type="dxa"/>
            <w:vAlign w:val="center"/>
          </w:tcPr>
          <w:p>
            <w:pPr>
              <w:spacing w:before="20" w:after="20"/>
              <w:jc w:val="right"/>
              <w:rPr>
                <w:b/>
                <w:noProof/>
                <w:sz w:val="18"/>
                <w:szCs w:val="18"/>
              </w:rPr>
            </w:pPr>
          </w:p>
        </w:tc>
      </w:tr>
      <w:tr>
        <w:tc>
          <w:tcPr>
            <w:tcW w:w="3960" w:type="dxa"/>
            <w:vMerge/>
          </w:tcPr>
          <w:p>
            <w:pPr>
              <w:rPr>
                <w:noProof/>
                <w:sz w:val="20"/>
              </w:rPr>
            </w:pPr>
          </w:p>
        </w:tc>
        <w:tc>
          <w:tcPr>
            <w:tcW w:w="1440" w:type="dxa"/>
            <w:vAlign w:val="center"/>
          </w:tcPr>
          <w:p>
            <w:pPr>
              <w:rPr>
                <w:noProof/>
                <w:sz w:val="18"/>
              </w:rPr>
            </w:pPr>
            <w:r>
              <w:rPr>
                <w:noProof/>
                <w:sz w:val="18"/>
              </w:rPr>
              <w:t>Maksut</w:t>
            </w:r>
          </w:p>
        </w:tc>
        <w:tc>
          <w:tcPr>
            <w:tcW w:w="654" w:type="dxa"/>
            <w:gridSpan w:val="2"/>
            <w:vAlign w:val="center"/>
          </w:tcPr>
          <w:p>
            <w:pPr>
              <w:jc w:val="center"/>
              <w:rPr>
                <w:noProof/>
                <w:sz w:val="14"/>
              </w:rPr>
            </w:pPr>
            <w:r>
              <w:rPr>
                <w:noProof/>
                <w:sz w:val="14"/>
              </w:rPr>
              <w:t>=2a+ 2b</w:t>
            </w:r>
          </w:p>
          <w:p>
            <w:pPr>
              <w:jc w:val="center"/>
              <w:rPr>
                <w:noProof/>
                <w:sz w:val="14"/>
              </w:rPr>
            </w:pPr>
            <w:r>
              <w:rPr>
                <w:noProof/>
                <w:sz w:val="14"/>
              </w:rPr>
              <w:t>+3</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010"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418" w:type="dxa"/>
          </w:tcPr>
          <w:p>
            <w:pPr>
              <w:spacing w:before="20" w:after="20"/>
              <w:jc w:val="right"/>
              <w:rPr>
                <w:b/>
                <w:noProof/>
                <w:sz w:val="18"/>
                <w:szCs w:val="18"/>
              </w:rPr>
            </w:pPr>
          </w:p>
        </w:tc>
        <w:tc>
          <w:tcPr>
            <w:tcW w:w="1559" w:type="dxa"/>
          </w:tcPr>
          <w:p>
            <w:pPr>
              <w:spacing w:before="20" w:after="20"/>
              <w:jc w:val="right"/>
              <w:rPr>
                <w:b/>
                <w:noProof/>
                <w:sz w:val="18"/>
                <w:szCs w:val="18"/>
              </w:rPr>
            </w:pPr>
          </w:p>
        </w:tc>
        <w:tc>
          <w:tcPr>
            <w:tcW w:w="2409" w:type="dxa"/>
            <w:vAlign w:val="center"/>
          </w:tcPr>
          <w:p>
            <w:pPr>
              <w:spacing w:before="20" w:after="20"/>
              <w:jc w:val="right"/>
              <w:rPr>
                <w:b/>
                <w:noProof/>
                <w:sz w:val="18"/>
                <w:szCs w:val="18"/>
              </w:rPr>
            </w:pPr>
          </w:p>
        </w:tc>
      </w:tr>
    </w:tbl>
    <w:p>
      <w:pPr>
        <w:rPr>
          <w:noProof/>
        </w:rPr>
      </w:pPr>
      <w:r>
        <w:rPr>
          <w:noProof/>
        </w:rPr>
        <w:br/>
      </w: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252"/>
        <w:gridCol w:w="1116"/>
        <w:gridCol w:w="1152"/>
        <w:gridCol w:w="1134"/>
        <w:gridCol w:w="1134"/>
        <w:gridCol w:w="1134"/>
        <w:gridCol w:w="141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Toimintamäärärahat YHTEENSÄ </w:t>
            </w:r>
          </w:p>
        </w:tc>
        <w:tc>
          <w:tcPr>
            <w:tcW w:w="1440" w:type="dxa"/>
            <w:vAlign w:val="center"/>
          </w:tcPr>
          <w:p>
            <w:pPr>
              <w:spacing w:beforeLines="20" w:before="48" w:afterLines="20" w:after="48"/>
              <w:rPr>
                <w:noProof/>
                <w:sz w:val="18"/>
              </w:rPr>
            </w:pPr>
            <w:r>
              <w:rPr>
                <w:noProof/>
                <w:sz w:val="18"/>
              </w:rPr>
              <w:t>Sitoumukset</w:t>
            </w:r>
          </w:p>
        </w:tc>
        <w:tc>
          <w:tcPr>
            <w:tcW w:w="654" w:type="dxa"/>
            <w:vAlign w:val="center"/>
          </w:tcPr>
          <w:p>
            <w:pPr>
              <w:spacing w:beforeLines="20" w:before="48" w:afterLines="20" w:after="48"/>
              <w:jc w:val="center"/>
              <w:rPr>
                <w:noProof/>
                <w:sz w:val="14"/>
              </w:rPr>
            </w:pPr>
            <w:r>
              <w:rPr>
                <w:noProof/>
                <w:sz w:val="14"/>
              </w:rPr>
              <w:t>(4)</w:t>
            </w:r>
          </w:p>
        </w:tc>
        <w:tc>
          <w:tcPr>
            <w:tcW w:w="1252" w:type="dxa"/>
            <w:vAlign w:val="center"/>
          </w:tcPr>
          <w:p>
            <w:pPr>
              <w:spacing w:before="20" w:after="20"/>
              <w:jc w:val="right"/>
              <w:rPr>
                <w:noProof/>
                <w:sz w:val="20"/>
              </w:rPr>
            </w:pPr>
          </w:p>
        </w:tc>
        <w:tc>
          <w:tcPr>
            <w:tcW w:w="1116" w:type="dxa"/>
            <w:vAlign w:val="center"/>
          </w:tcPr>
          <w:p>
            <w:pPr>
              <w:spacing w:before="20" w:after="20"/>
              <w:jc w:val="right"/>
              <w:rPr>
                <w:noProof/>
                <w:sz w:val="20"/>
              </w:rPr>
            </w:pPr>
          </w:p>
        </w:tc>
        <w:tc>
          <w:tcPr>
            <w:tcW w:w="1152"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Maksut</w:t>
            </w:r>
          </w:p>
        </w:tc>
        <w:tc>
          <w:tcPr>
            <w:tcW w:w="654" w:type="dxa"/>
            <w:vAlign w:val="center"/>
          </w:tcPr>
          <w:p>
            <w:pPr>
              <w:spacing w:beforeLines="20" w:before="48" w:afterLines="20" w:after="48"/>
              <w:jc w:val="center"/>
              <w:rPr>
                <w:noProof/>
                <w:sz w:val="14"/>
              </w:rPr>
            </w:pPr>
            <w:r>
              <w:rPr>
                <w:noProof/>
                <w:sz w:val="14"/>
              </w:rPr>
              <w:t>(5)</w:t>
            </w:r>
          </w:p>
        </w:tc>
        <w:tc>
          <w:tcPr>
            <w:tcW w:w="1252" w:type="dxa"/>
            <w:vAlign w:val="center"/>
          </w:tcPr>
          <w:p>
            <w:pPr>
              <w:spacing w:before="20" w:after="20"/>
              <w:jc w:val="right"/>
              <w:rPr>
                <w:noProof/>
                <w:sz w:val="20"/>
              </w:rPr>
            </w:pPr>
          </w:p>
        </w:tc>
        <w:tc>
          <w:tcPr>
            <w:tcW w:w="1116" w:type="dxa"/>
            <w:vAlign w:val="center"/>
          </w:tcPr>
          <w:p>
            <w:pPr>
              <w:spacing w:before="20" w:after="20"/>
              <w:jc w:val="right"/>
              <w:rPr>
                <w:noProof/>
                <w:sz w:val="20"/>
              </w:rPr>
            </w:pPr>
          </w:p>
        </w:tc>
        <w:tc>
          <w:tcPr>
            <w:tcW w:w="1152"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134" w:type="dxa"/>
            <w:vAlign w:val="center"/>
          </w:tcPr>
          <w:p>
            <w:pPr>
              <w:spacing w:before="20" w:after="20"/>
              <w:jc w:val="right"/>
              <w:rPr>
                <w:noProof/>
                <w:sz w:val="20"/>
              </w:rPr>
            </w:pPr>
          </w:p>
        </w:tc>
        <w:tc>
          <w:tcPr>
            <w:tcW w:w="1418"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Tiettyjen ohjelmien määrärahoista katettavat hallintomäärärahat YHTEENSÄ </w:t>
            </w:r>
          </w:p>
        </w:tc>
        <w:tc>
          <w:tcPr>
            <w:tcW w:w="654" w:type="dxa"/>
            <w:vAlign w:val="center"/>
          </w:tcPr>
          <w:p>
            <w:pPr>
              <w:spacing w:beforeLines="20" w:before="48" w:afterLines="20" w:after="48"/>
              <w:jc w:val="center"/>
              <w:rPr>
                <w:noProof/>
                <w:sz w:val="14"/>
              </w:rPr>
            </w:pPr>
            <w:r>
              <w:rPr>
                <w:noProof/>
                <w:sz w:val="14"/>
              </w:rPr>
              <w:t>(6)</w:t>
            </w:r>
          </w:p>
        </w:tc>
        <w:tc>
          <w:tcPr>
            <w:tcW w:w="1252" w:type="dxa"/>
            <w:vAlign w:val="center"/>
          </w:tcPr>
          <w:p>
            <w:pPr>
              <w:spacing w:before="20" w:after="20"/>
              <w:jc w:val="right"/>
              <w:rPr>
                <w:b/>
                <w:noProof/>
                <w:sz w:val="20"/>
              </w:rPr>
            </w:pPr>
          </w:p>
        </w:tc>
        <w:tc>
          <w:tcPr>
            <w:tcW w:w="1116" w:type="dxa"/>
            <w:vAlign w:val="center"/>
          </w:tcPr>
          <w:p>
            <w:pPr>
              <w:spacing w:before="20" w:after="20"/>
              <w:jc w:val="right"/>
              <w:rPr>
                <w:b/>
                <w:noProof/>
                <w:sz w:val="20"/>
              </w:rPr>
            </w:pPr>
          </w:p>
        </w:tc>
        <w:tc>
          <w:tcPr>
            <w:tcW w:w="1152"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134" w:type="dxa"/>
            <w:vAlign w:val="center"/>
          </w:tcPr>
          <w:p>
            <w:pPr>
              <w:spacing w:before="20" w:after="20"/>
              <w:jc w:val="right"/>
              <w:rPr>
                <w:b/>
                <w:noProof/>
                <w:sz w:val="20"/>
              </w:rPr>
            </w:pPr>
          </w:p>
        </w:tc>
        <w:tc>
          <w:tcPr>
            <w:tcW w:w="1418"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noProof/>
              </w:rPr>
              <w:t xml:space="preserve">Monivuotisen rahoituskehyksen </w:t>
            </w:r>
            <w:r>
              <w:rPr>
                <w:noProof/>
                <w:sz w:val="22"/>
              </w:rPr>
              <w:br/>
            </w:r>
            <w:r>
              <w:rPr>
                <w:b/>
                <w:noProof/>
                <w:sz w:val="22"/>
              </w:rPr>
              <w:t>OTSAKKEESEEN 13</w:t>
            </w:r>
            <w:r>
              <w:rPr>
                <w:noProof/>
                <w:sz w:val="22"/>
              </w:rPr>
              <w:br/>
            </w:r>
            <w:r>
              <w:rPr>
                <w:b/>
                <w:noProof/>
                <w:sz w:val="22"/>
              </w:rPr>
              <w:t>kuuluvat määrärahat YHTEENSÄ</w:t>
            </w:r>
          </w:p>
        </w:tc>
        <w:tc>
          <w:tcPr>
            <w:tcW w:w="1440" w:type="dxa"/>
            <w:vAlign w:val="center"/>
          </w:tcPr>
          <w:p>
            <w:pPr>
              <w:rPr>
                <w:noProof/>
                <w:sz w:val="18"/>
              </w:rPr>
            </w:pPr>
            <w:r>
              <w:rPr>
                <w:noProof/>
                <w:sz w:val="18"/>
              </w:rPr>
              <w:t>Sitoumukset</w:t>
            </w:r>
          </w:p>
        </w:tc>
        <w:tc>
          <w:tcPr>
            <w:tcW w:w="654" w:type="dxa"/>
            <w:vAlign w:val="center"/>
          </w:tcPr>
          <w:p>
            <w:pPr>
              <w:jc w:val="center"/>
              <w:rPr>
                <w:noProof/>
                <w:sz w:val="14"/>
              </w:rPr>
            </w:pPr>
            <w:r>
              <w:rPr>
                <w:noProof/>
                <w:sz w:val="14"/>
              </w:rPr>
              <w:t>=4+ 6</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152"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134" w:type="dxa"/>
          </w:tcPr>
          <w:p>
            <w:pPr>
              <w:spacing w:before="20" w:after="20"/>
              <w:jc w:val="right"/>
              <w:rPr>
                <w:noProof/>
                <w:sz w:val="18"/>
                <w:szCs w:val="18"/>
              </w:rPr>
            </w:pPr>
          </w:p>
        </w:tc>
        <w:tc>
          <w:tcPr>
            <w:tcW w:w="1134" w:type="dxa"/>
          </w:tcPr>
          <w:p>
            <w:pPr>
              <w:spacing w:before="20" w:after="20"/>
              <w:jc w:val="right"/>
              <w:rPr>
                <w:noProof/>
                <w:sz w:val="18"/>
                <w:szCs w:val="18"/>
              </w:rPr>
            </w:pPr>
          </w:p>
        </w:tc>
        <w:tc>
          <w:tcPr>
            <w:tcW w:w="1418" w:type="dxa"/>
            <w:vAlign w:val="center"/>
          </w:tcPr>
          <w:p>
            <w:pPr>
              <w:spacing w:before="20" w:after="20"/>
              <w:jc w:val="right"/>
              <w:rPr>
                <w:b/>
                <w:noProof/>
                <w:sz w:val="18"/>
                <w:szCs w:val="18"/>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Maksut</w:t>
            </w:r>
          </w:p>
        </w:tc>
        <w:tc>
          <w:tcPr>
            <w:tcW w:w="654" w:type="dxa"/>
            <w:vAlign w:val="center"/>
          </w:tcPr>
          <w:p>
            <w:pPr>
              <w:jc w:val="center"/>
              <w:rPr>
                <w:noProof/>
                <w:sz w:val="14"/>
              </w:rPr>
            </w:pPr>
            <w:r>
              <w:rPr>
                <w:noProof/>
                <w:sz w:val="14"/>
              </w:rPr>
              <w:t>=5+ 6</w:t>
            </w:r>
          </w:p>
        </w:tc>
        <w:tc>
          <w:tcPr>
            <w:tcW w:w="1252" w:type="dxa"/>
            <w:vAlign w:val="center"/>
          </w:tcPr>
          <w:p>
            <w:pPr>
              <w:spacing w:before="20" w:after="20"/>
              <w:jc w:val="right"/>
              <w:rPr>
                <w:noProof/>
                <w:sz w:val="18"/>
                <w:szCs w:val="18"/>
              </w:rPr>
            </w:pPr>
          </w:p>
        </w:tc>
        <w:tc>
          <w:tcPr>
            <w:tcW w:w="1116" w:type="dxa"/>
            <w:vAlign w:val="center"/>
          </w:tcPr>
          <w:p>
            <w:pPr>
              <w:spacing w:before="20" w:after="20"/>
              <w:jc w:val="right"/>
              <w:rPr>
                <w:noProof/>
                <w:sz w:val="18"/>
                <w:szCs w:val="18"/>
              </w:rPr>
            </w:pPr>
          </w:p>
        </w:tc>
        <w:tc>
          <w:tcPr>
            <w:tcW w:w="1152" w:type="dxa"/>
            <w:vAlign w:val="center"/>
          </w:tcPr>
          <w:p>
            <w:pPr>
              <w:spacing w:before="20" w:after="20"/>
              <w:jc w:val="right"/>
              <w:rPr>
                <w:noProof/>
                <w:sz w:val="18"/>
                <w:szCs w:val="18"/>
              </w:rPr>
            </w:pPr>
          </w:p>
        </w:tc>
        <w:tc>
          <w:tcPr>
            <w:tcW w:w="1134" w:type="dxa"/>
            <w:vAlign w:val="center"/>
          </w:tcPr>
          <w:p>
            <w:pPr>
              <w:spacing w:before="20" w:after="20"/>
              <w:jc w:val="right"/>
              <w:rPr>
                <w:noProof/>
                <w:sz w:val="18"/>
                <w:szCs w:val="18"/>
              </w:rPr>
            </w:pPr>
          </w:p>
        </w:tc>
        <w:tc>
          <w:tcPr>
            <w:tcW w:w="1134" w:type="dxa"/>
          </w:tcPr>
          <w:p>
            <w:pPr>
              <w:spacing w:before="20" w:after="20"/>
              <w:jc w:val="right"/>
              <w:rPr>
                <w:noProof/>
                <w:sz w:val="18"/>
                <w:szCs w:val="18"/>
              </w:rPr>
            </w:pPr>
          </w:p>
        </w:tc>
        <w:tc>
          <w:tcPr>
            <w:tcW w:w="1134" w:type="dxa"/>
          </w:tcPr>
          <w:p>
            <w:pPr>
              <w:spacing w:before="20" w:after="20"/>
              <w:jc w:val="right"/>
              <w:rPr>
                <w:noProof/>
                <w:sz w:val="18"/>
                <w:szCs w:val="18"/>
              </w:rPr>
            </w:pPr>
          </w:p>
        </w:tc>
        <w:tc>
          <w:tcPr>
            <w:tcW w:w="1418" w:type="dxa"/>
            <w:vAlign w:val="center"/>
          </w:tcPr>
          <w:p>
            <w:pPr>
              <w:spacing w:before="20" w:after="20"/>
              <w:jc w:val="right"/>
              <w:rPr>
                <w:b/>
                <w:noProof/>
                <w:sz w:val="18"/>
                <w:szCs w:val="18"/>
              </w:rPr>
            </w:pPr>
          </w:p>
        </w:tc>
      </w:tr>
    </w:tbl>
    <w:p>
      <w:pPr>
        <w:spacing w:after="40"/>
        <w:rPr>
          <w:b/>
          <w:noProof/>
          <w:sz w:val="22"/>
          <w:u w:val="single"/>
        </w:rPr>
      </w:pPr>
    </w:p>
    <w:p>
      <w:pPr>
        <w:spacing w:after="40"/>
        <w:rPr>
          <w:b/>
          <w:noProof/>
          <w:sz w:val="22"/>
          <w:u w:val="single"/>
        </w:rPr>
      </w:pPr>
      <w:r>
        <w:rPr>
          <w:b/>
          <w:noProof/>
          <w:sz w:val="22"/>
          <w:u w:val="single"/>
        </w:rPr>
        <w:t>Jos ehdotuksella/aloitteella on vaikutuksia useampaan otsakkeeseen, toistetaan edellä oleva osa: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lastRenderedPageBreak/>
              <w:sym w:font="Wingdings" w:char="F09F"/>
            </w:r>
            <w:r>
              <w:rPr>
                <w:noProof/>
                <w:sz w:val="21"/>
              </w:rPr>
              <w:t xml:space="preserve"> Toimintamäärärahat (kaikki otsakkeet) YHTEENSÄ</w:t>
            </w:r>
          </w:p>
        </w:tc>
        <w:tc>
          <w:tcPr>
            <w:tcW w:w="1440" w:type="dxa"/>
            <w:tcBorders>
              <w:top w:val="single" w:sz="4" w:space="0" w:color="auto"/>
            </w:tcBorders>
            <w:vAlign w:val="center"/>
          </w:tcPr>
          <w:p>
            <w:pPr>
              <w:spacing w:beforeLines="20" w:before="48" w:afterLines="20" w:after="48"/>
              <w:rPr>
                <w:noProof/>
                <w:sz w:val="18"/>
              </w:rPr>
            </w:pPr>
            <w:r>
              <w:rPr>
                <w:noProof/>
                <w:sz w:val="18"/>
              </w:rPr>
              <w:t>Sitoumukset</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Maksut</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Tiettyjen ohjelmien määrärahoista katettavat hallintomäärärahat (kaikki otsakkeet) YHTEENSÄ</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noProof/>
                <w:sz w:val="22"/>
              </w:rPr>
              <w:t>Monivuotisen rahoituskehyksen</w:t>
            </w:r>
            <w:r>
              <w:rPr>
                <w:noProof/>
                <w:sz w:val="22"/>
              </w:rPr>
              <w:br/>
            </w:r>
            <w:r>
              <w:rPr>
                <w:b/>
                <w:noProof/>
                <w:sz w:val="22"/>
              </w:rPr>
              <w:t>OTSAKKEISIIN 1–4 kuuluvat</w:t>
            </w:r>
            <w:r>
              <w:rPr>
                <w:noProof/>
                <w:sz w:val="22"/>
              </w:rPr>
              <w:br/>
            </w:r>
            <w:r>
              <w:rPr>
                <w:b/>
                <w:noProof/>
                <w:sz w:val="22"/>
              </w:rPr>
              <w:t>määrärahat YHTEENSÄ</w:t>
            </w:r>
            <w:r>
              <w:rPr>
                <w:noProof/>
                <w:sz w:val="22"/>
              </w:rPr>
              <w:br/>
            </w:r>
            <w:r>
              <w:rPr>
                <w:noProof/>
                <w:sz w:val="20"/>
              </w:rPr>
              <w:t>(Viitemäärä)</w:t>
            </w:r>
          </w:p>
        </w:tc>
        <w:tc>
          <w:tcPr>
            <w:tcW w:w="1440" w:type="dxa"/>
            <w:vAlign w:val="center"/>
          </w:tcPr>
          <w:p>
            <w:pPr>
              <w:rPr>
                <w:noProof/>
                <w:sz w:val="18"/>
              </w:rPr>
            </w:pPr>
            <w:r>
              <w:rPr>
                <w:noProof/>
                <w:sz w:val="18"/>
              </w:rPr>
              <w:t>Sitoumukset</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Maksut</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noProof/>
                <w:sz w:val="20"/>
              </w:rPr>
            </w:pPr>
          </w:p>
        </w:tc>
        <w:tc>
          <w:tcPr>
            <w:tcW w:w="868" w:type="dxa"/>
            <w:tcBorders>
              <w:bottom w:val="single" w:sz="4" w:space="0" w:color="auto"/>
            </w:tcBorders>
            <w:vAlign w:val="center"/>
          </w:tcPr>
          <w:p>
            <w:pPr>
              <w:spacing w:before="20" w:after="20"/>
              <w:jc w:val="right"/>
              <w:rPr>
                <w:b/>
                <w:noProof/>
                <w:sz w:val="20"/>
              </w:rPr>
            </w:pPr>
          </w:p>
        </w:tc>
        <w:tc>
          <w:tcPr>
            <w:tcW w:w="1777" w:type="dxa"/>
            <w:tcBorders>
              <w:bottom w:val="single" w:sz="4" w:space="0" w:color="auto"/>
              <w:right w:val="single" w:sz="4" w:space="0" w:color="auto"/>
            </w:tcBorders>
            <w:vAlign w:val="center"/>
          </w:tcPr>
          <w:p>
            <w:pPr>
              <w:spacing w:before="20" w:after="20"/>
              <w:jc w:val="right"/>
              <w:rPr>
                <w:b/>
                <w:noProof/>
                <w:sz w:val="20"/>
              </w:rPr>
            </w:pP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lastRenderedPageBreak/>
              <w:br w:type="page"/>
            </w:r>
            <w:r>
              <w:rPr>
                <w:b/>
                <w:noProof/>
                <w:sz w:val="22"/>
              </w:rPr>
              <w:t xml:space="preserve">Monivuotisen rahoituskehyksen </w:t>
            </w:r>
            <w:r>
              <w:rPr>
                <w:noProof/>
                <w:sz w:val="22"/>
              </w:rPr>
              <w:br/>
            </w:r>
            <w:r>
              <w:rPr>
                <w:b/>
                <w:noProof/>
                <w:sz w:val="22"/>
              </w:rPr>
              <w:t xml:space="preserve">otsake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”Hallintomenot”</w:t>
            </w:r>
          </w:p>
        </w:tc>
      </w:tr>
    </w:tbl>
    <w:p>
      <w:pPr>
        <w:jc w:val="left"/>
        <w:rPr>
          <w:noProof/>
          <w:sz w:val="20"/>
        </w:rPr>
      </w:pPr>
      <w:r>
        <w:rPr>
          <w:noProof/>
        </w:rPr>
        <w:t xml:space="preserve">Tämän osan täyttämisessä on käytettävä </w:t>
      </w:r>
      <w:hyperlink r:id="rId22">
        <w:r>
          <w:rPr>
            <w:rStyle w:val="Hyperlink"/>
            <w:noProof/>
          </w:rPr>
          <w:t>rahoitusselvityksen liitteessä</w:t>
        </w:r>
      </w:hyperlink>
      <w:r>
        <w:rPr>
          <w:noProof/>
        </w:rPr>
        <w:t xml:space="preserve"> (sisäisten sääntöjen liite V) olevaa hallintomäärärahoja koskevaa selvitystä, joka on laadittava ennen rahoitusselvityksen laatimista. Liite ladataan DECIDE-tietokantaan komission sisäistä lausuntokierrosta varten.</w:t>
      </w:r>
    </w:p>
    <w:p>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Vuosi</w:t>
            </w:r>
            <w:r>
              <w:rPr>
                <w:noProof/>
                <w:sz w:val="22"/>
              </w:rPr>
              <w:br/>
            </w:r>
            <w:r>
              <w:rPr>
                <w:b/>
                <w:noProof/>
                <w:sz w:val="20"/>
              </w:rPr>
              <w:t>N</w:t>
            </w:r>
          </w:p>
        </w:tc>
        <w:tc>
          <w:tcPr>
            <w:tcW w:w="868" w:type="dxa"/>
            <w:vAlign w:val="center"/>
          </w:tcPr>
          <w:p>
            <w:pPr>
              <w:jc w:val="center"/>
              <w:rPr>
                <w:noProof/>
                <w:sz w:val="20"/>
              </w:rPr>
            </w:pPr>
            <w:r>
              <w:rPr>
                <w:noProof/>
                <w:sz w:val="20"/>
              </w:rPr>
              <w:t>Vuosi</w:t>
            </w:r>
            <w:r>
              <w:rPr>
                <w:noProof/>
                <w:sz w:val="22"/>
              </w:rPr>
              <w:br/>
            </w:r>
            <w:r>
              <w:rPr>
                <w:b/>
                <w:noProof/>
                <w:sz w:val="20"/>
              </w:rPr>
              <w:t>N+1</w:t>
            </w:r>
          </w:p>
        </w:tc>
        <w:tc>
          <w:tcPr>
            <w:tcW w:w="868" w:type="dxa"/>
            <w:vAlign w:val="center"/>
          </w:tcPr>
          <w:p>
            <w:pPr>
              <w:jc w:val="center"/>
              <w:rPr>
                <w:noProof/>
                <w:sz w:val="20"/>
              </w:rPr>
            </w:pPr>
            <w:r>
              <w:rPr>
                <w:noProof/>
                <w:sz w:val="20"/>
              </w:rPr>
              <w:t>Vuosi</w:t>
            </w:r>
            <w:r>
              <w:rPr>
                <w:noProof/>
                <w:sz w:val="22"/>
              </w:rPr>
              <w:br/>
            </w:r>
            <w:r>
              <w:rPr>
                <w:b/>
                <w:noProof/>
                <w:sz w:val="20"/>
              </w:rPr>
              <w:t>N+2</w:t>
            </w:r>
          </w:p>
        </w:tc>
        <w:tc>
          <w:tcPr>
            <w:tcW w:w="868" w:type="dxa"/>
            <w:vAlign w:val="center"/>
          </w:tcPr>
          <w:p>
            <w:pPr>
              <w:jc w:val="center"/>
              <w:rPr>
                <w:noProof/>
                <w:sz w:val="20"/>
              </w:rPr>
            </w:pPr>
            <w:r>
              <w:rPr>
                <w:noProof/>
                <w:sz w:val="20"/>
              </w:rPr>
              <w:t>Vuosi</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ja näitä seuraavat vuodet (ilmoitetaan kaikki vuodet, joille ehdotuksen/aloitteen vaikutukset ulottuvat, ks. kohta 1.6) </w:t>
            </w:r>
          </w:p>
        </w:tc>
        <w:tc>
          <w:tcPr>
            <w:tcW w:w="1777" w:type="dxa"/>
            <w:vAlign w:val="center"/>
          </w:tcPr>
          <w:p>
            <w:pPr>
              <w:jc w:val="center"/>
              <w:rPr>
                <w:b/>
                <w:noProof/>
                <w:sz w:val="20"/>
              </w:rPr>
            </w:pPr>
            <w:r>
              <w:rPr>
                <w:b/>
                <w:noProof/>
                <w:sz w:val="20"/>
              </w:rPr>
              <w:t>YHTEENSÄ</w:t>
            </w:r>
          </w:p>
        </w:tc>
      </w:tr>
      <w:tr>
        <w:trPr>
          <w:gridAfter w:val="10"/>
          <w:wAfter w:w="9947" w:type="dxa"/>
        </w:trPr>
        <w:tc>
          <w:tcPr>
            <w:tcW w:w="3960" w:type="dxa"/>
            <w:vAlign w:val="center"/>
          </w:tcPr>
          <w:p>
            <w:pPr>
              <w:spacing w:before="60" w:after="60"/>
              <w:jc w:val="center"/>
              <w:rPr>
                <w:noProof/>
              </w:rPr>
            </w:pPr>
            <w:r>
              <w:rPr>
                <w:noProof/>
                <w:sz w:val="22"/>
              </w:rPr>
              <w:t>Pääosasto: &lt;…….&gt;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Henkilöresurssit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Muut hallintomenot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noProof/>
                <w:sz w:val="22"/>
              </w:rPr>
              <w:t>&lt;….&gt;</w:t>
            </w:r>
            <w:r>
              <w:rPr>
                <w:noProof/>
              </w:rPr>
              <w:t xml:space="preserve"> </w:t>
            </w:r>
            <w:r>
              <w:rPr>
                <w:b/>
                <w:noProof/>
                <w:sz w:val="22"/>
              </w:rPr>
              <w:t>PO YHTEENSÄ</w:t>
            </w:r>
          </w:p>
        </w:tc>
        <w:tc>
          <w:tcPr>
            <w:tcW w:w="2094" w:type="dxa"/>
            <w:gridSpan w:val="2"/>
            <w:vAlign w:val="center"/>
          </w:tcPr>
          <w:p>
            <w:pPr>
              <w:rPr>
                <w:noProof/>
                <w:sz w:val="14"/>
              </w:rPr>
            </w:pPr>
            <w:r>
              <w:rPr>
                <w:noProof/>
                <w:sz w:val="18"/>
              </w:rPr>
              <w:t xml:space="preserve">Määrärahat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noProof/>
              </w:rPr>
              <w:t xml:space="preserve">Monivuotisen rahoituskehyksen </w:t>
            </w:r>
            <w:r>
              <w:rPr>
                <w:noProof/>
                <w:sz w:val="22"/>
              </w:rPr>
              <w:br/>
            </w:r>
            <w:r>
              <w:rPr>
                <w:b/>
                <w:noProof/>
                <w:sz w:val="22"/>
              </w:rPr>
              <w:t>OTSAKKEESEEN 5</w:t>
            </w:r>
            <w:r>
              <w:rPr>
                <w:noProof/>
                <w:sz w:val="22"/>
              </w:rPr>
              <w:br/>
            </w:r>
            <w:r>
              <w:rPr>
                <w:b/>
                <w:noProof/>
                <w:sz w:val="22"/>
              </w:rPr>
              <w:t xml:space="preserve">kuuluvat määrärahat YHTEENSÄ </w:t>
            </w:r>
          </w:p>
        </w:tc>
        <w:tc>
          <w:tcPr>
            <w:tcW w:w="2094" w:type="dxa"/>
            <w:vAlign w:val="center"/>
          </w:tcPr>
          <w:p>
            <w:pPr>
              <w:spacing w:before="40" w:after="40"/>
              <w:rPr>
                <w:noProof/>
              </w:rPr>
            </w:pPr>
            <w:r>
              <w:rPr>
                <w:noProof/>
                <w:sz w:val="18"/>
              </w:rPr>
              <w:t>(Sitoumukset yhteensä = maksut yhteensä)</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milj. euroa (kolmen desimaalin tarkkuudella)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Vuosi</w:t>
            </w:r>
            <w:r>
              <w:rPr>
                <w:noProof/>
                <w:sz w:val="22"/>
              </w:rPr>
              <w:br/>
            </w:r>
            <w:r>
              <w:rPr>
                <w:b/>
                <w:noProof/>
                <w:sz w:val="20"/>
              </w:rPr>
              <w:t>N</w:t>
            </w:r>
            <w:r>
              <w:rPr>
                <w:rStyle w:val="FootnoteReference"/>
                <w:b/>
                <w:noProof/>
                <w:sz w:val="20"/>
              </w:rPr>
              <w:footnoteReference w:id="13"/>
            </w:r>
          </w:p>
        </w:tc>
        <w:tc>
          <w:tcPr>
            <w:tcW w:w="868" w:type="dxa"/>
            <w:vAlign w:val="center"/>
          </w:tcPr>
          <w:p>
            <w:pPr>
              <w:jc w:val="center"/>
              <w:rPr>
                <w:noProof/>
                <w:sz w:val="20"/>
              </w:rPr>
            </w:pPr>
            <w:r>
              <w:rPr>
                <w:noProof/>
                <w:sz w:val="20"/>
              </w:rPr>
              <w:t>Vuosi</w:t>
            </w:r>
            <w:r>
              <w:rPr>
                <w:noProof/>
                <w:sz w:val="22"/>
              </w:rPr>
              <w:br/>
            </w:r>
            <w:r>
              <w:rPr>
                <w:b/>
                <w:noProof/>
                <w:sz w:val="20"/>
              </w:rPr>
              <w:t>N+1</w:t>
            </w:r>
          </w:p>
        </w:tc>
        <w:tc>
          <w:tcPr>
            <w:tcW w:w="868" w:type="dxa"/>
            <w:vAlign w:val="center"/>
          </w:tcPr>
          <w:p>
            <w:pPr>
              <w:jc w:val="center"/>
              <w:rPr>
                <w:noProof/>
                <w:sz w:val="20"/>
              </w:rPr>
            </w:pPr>
            <w:r>
              <w:rPr>
                <w:noProof/>
                <w:sz w:val="20"/>
              </w:rPr>
              <w:t>Vuosi</w:t>
            </w:r>
            <w:r>
              <w:rPr>
                <w:noProof/>
                <w:sz w:val="22"/>
              </w:rPr>
              <w:br/>
            </w:r>
            <w:r>
              <w:rPr>
                <w:b/>
                <w:noProof/>
                <w:sz w:val="20"/>
              </w:rPr>
              <w:t>N+2</w:t>
            </w:r>
          </w:p>
        </w:tc>
        <w:tc>
          <w:tcPr>
            <w:tcW w:w="868" w:type="dxa"/>
            <w:vAlign w:val="center"/>
          </w:tcPr>
          <w:p>
            <w:pPr>
              <w:jc w:val="center"/>
              <w:rPr>
                <w:noProof/>
                <w:sz w:val="20"/>
              </w:rPr>
            </w:pPr>
            <w:r>
              <w:rPr>
                <w:noProof/>
                <w:sz w:val="20"/>
              </w:rPr>
              <w:t>Vuosi</w:t>
            </w:r>
            <w:r>
              <w:rPr>
                <w:noProof/>
                <w:sz w:val="22"/>
              </w:rPr>
              <w:br/>
            </w:r>
            <w:r>
              <w:rPr>
                <w:b/>
                <w:noProof/>
                <w:sz w:val="20"/>
              </w:rPr>
              <w:t>N+3</w:t>
            </w:r>
          </w:p>
        </w:tc>
        <w:tc>
          <w:tcPr>
            <w:tcW w:w="2604" w:type="dxa"/>
            <w:gridSpan w:val="3"/>
            <w:vAlign w:val="center"/>
          </w:tcPr>
          <w:p>
            <w:pPr>
              <w:jc w:val="center"/>
              <w:rPr>
                <w:b/>
                <w:noProof/>
                <w:sz w:val="18"/>
              </w:rPr>
            </w:pPr>
            <w:r>
              <w:rPr>
                <w:noProof/>
                <w:sz w:val="18"/>
              </w:rPr>
              <w:t>ja näitä seuraavat vuodet (ilmoitetaan kaikki vuodet, joille ehdotuksen/aloitteen vaikutukset ulottuvat, ks. kohta 1.6)</w:t>
            </w:r>
          </w:p>
        </w:tc>
        <w:tc>
          <w:tcPr>
            <w:tcW w:w="1777" w:type="dxa"/>
            <w:vAlign w:val="center"/>
          </w:tcPr>
          <w:p>
            <w:pPr>
              <w:jc w:val="center"/>
              <w:rPr>
                <w:b/>
                <w:noProof/>
                <w:sz w:val="20"/>
              </w:rPr>
            </w:pPr>
            <w:r>
              <w:rPr>
                <w:b/>
                <w:noProof/>
                <w:sz w:val="20"/>
              </w:rPr>
              <w:t>YHTEENSÄ</w:t>
            </w:r>
          </w:p>
        </w:tc>
      </w:tr>
      <w:tr>
        <w:tc>
          <w:tcPr>
            <w:tcW w:w="3960" w:type="dxa"/>
            <w:vMerge w:val="restart"/>
            <w:shd w:val="clear" w:color="auto" w:fill="C0C0C0"/>
            <w:vAlign w:val="center"/>
          </w:tcPr>
          <w:p>
            <w:pPr>
              <w:jc w:val="center"/>
              <w:rPr>
                <w:b/>
                <w:noProof/>
              </w:rPr>
            </w:pPr>
            <w:r>
              <w:rPr>
                <w:noProof/>
                <w:sz w:val="22"/>
              </w:rPr>
              <w:t>Monivuotisen rahoituskehyksen</w:t>
            </w:r>
            <w:r>
              <w:rPr>
                <w:noProof/>
                <w:sz w:val="22"/>
              </w:rPr>
              <w:br/>
            </w:r>
            <w:r>
              <w:rPr>
                <w:b/>
                <w:noProof/>
                <w:sz w:val="22"/>
              </w:rPr>
              <w:t>OTSAKKEISIIN 1–5 kuuluvat</w:t>
            </w:r>
            <w:r>
              <w:rPr>
                <w:noProof/>
                <w:sz w:val="22"/>
              </w:rPr>
              <w:br/>
            </w:r>
            <w:r>
              <w:rPr>
                <w:b/>
                <w:noProof/>
                <w:sz w:val="22"/>
              </w:rPr>
              <w:t xml:space="preserve">määrärahat YHTEENSÄ </w:t>
            </w:r>
          </w:p>
        </w:tc>
        <w:tc>
          <w:tcPr>
            <w:tcW w:w="2094" w:type="dxa"/>
            <w:gridSpan w:val="2"/>
            <w:vAlign w:val="center"/>
          </w:tcPr>
          <w:p>
            <w:pPr>
              <w:rPr>
                <w:noProof/>
                <w:sz w:val="14"/>
              </w:rPr>
            </w:pPr>
            <w:r>
              <w:rPr>
                <w:noProof/>
                <w:sz w:val="18"/>
              </w:rPr>
              <w:t>Sitoumukset</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Maksut</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pPr>
    </w:p>
    <w:p>
      <w:pPr>
        <w:pStyle w:val="ManualHeading3"/>
        <w:rPr>
          <w:bCs/>
          <w:noProof/>
          <w:szCs w:val="24"/>
        </w:rPr>
      </w:pPr>
      <w:bookmarkStart w:id="45" w:name="_Toc514938054"/>
      <w:bookmarkStart w:id="46" w:name="_Toc520485053"/>
      <w:r>
        <w:t>3.2.2.</w:t>
      </w:r>
      <w:r>
        <w:tab/>
      </w:r>
      <w:r>
        <w:rPr>
          <w:noProof/>
        </w:rPr>
        <w:t>Arvioidut toimintamäärärahoista rahoitetut tuotokset</w:t>
      </w:r>
      <w:bookmarkEnd w:id="45"/>
      <w:bookmarkEnd w:id="46"/>
      <w:r>
        <w:rPr>
          <w:noProof/>
        </w:rPr>
        <w:t xml:space="preserve"> </w:t>
      </w:r>
    </w:p>
    <w:p>
      <w:pPr>
        <w:jc w:val="right"/>
        <w:rPr>
          <w:noProof/>
          <w:sz w:val="20"/>
        </w:rPr>
      </w:pPr>
      <w:r>
        <w:rPr>
          <w:noProof/>
          <w:sz w:val="20"/>
        </w:rPr>
        <w:t>maksusitoumusmäärärahat, milj. euroa (kolmen desimaalin tarkkuudella)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Tavoitteet ja tuotokset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Vuosi</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Vuosi</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Vuosi</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Vuosi</w:t>
            </w:r>
            <w:r>
              <w:rPr>
                <w:noProof/>
                <w:sz w:val="22"/>
              </w:rPr>
              <w:br/>
            </w:r>
            <w:r>
              <w:rPr>
                <w:b/>
                <w:noProof/>
                <w:sz w:val="18"/>
              </w:rPr>
              <w:t>N+3</w:t>
            </w:r>
          </w:p>
        </w:tc>
        <w:tc>
          <w:tcPr>
            <w:tcW w:w="3600" w:type="dxa"/>
            <w:gridSpan w:val="6"/>
            <w:vAlign w:val="center"/>
          </w:tcPr>
          <w:p>
            <w:pPr>
              <w:jc w:val="center"/>
              <w:rPr>
                <w:noProof/>
                <w:sz w:val="18"/>
                <w:szCs w:val="18"/>
              </w:rPr>
            </w:pPr>
            <w:r>
              <w:rPr>
                <w:noProof/>
                <w:sz w:val="18"/>
              </w:rPr>
              <w:t>ja näitä seuraavat vuodet (ilmoitetaan kaikki vuodet, joille ehdotuksen/aloitteen vaikutukset ulottuvat, ks. kohta 1.6)</w:t>
            </w:r>
          </w:p>
        </w:tc>
        <w:tc>
          <w:tcPr>
            <w:tcW w:w="1620" w:type="dxa"/>
            <w:gridSpan w:val="2"/>
            <w:tcBorders>
              <w:left w:val="nil"/>
              <w:bottom w:val="nil"/>
            </w:tcBorders>
            <w:vAlign w:val="center"/>
          </w:tcPr>
          <w:p>
            <w:pPr>
              <w:ind w:right="-29"/>
              <w:jc w:val="center"/>
              <w:rPr>
                <w:noProof/>
                <w:sz w:val="18"/>
                <w:szCs w:val="18"/>
              </w:rPr>
            </w:pPr>
            <w:r>
              <w:rPr>
                <w:b/>
                <w:noProof/>
                <w:sz w:val="18"/>
              </w:rPr>
              <w:t>YHTEENSÄ</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TUOTOKSET</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Tyyp</w:t>
            </w:r>
            <w:r>
              <w:rPr>
                <w:noProof/>
                <w:sz w:val="18"/>
              </w:rPr>
              <w:softHyphen/>
              <w:t>pi</w:t>
            </w:r>
            <w:r>
              <w:rPr>
                <w:rStyle w:val="FootnoteReference"/>
                <w:noProof/>
                <w:sz w:val="18"/>
              </w:rPr>
              <w:footnoteReference w:id="14"/>
            </w:r>
          </w:p>
          <w:p>
            <w:pPr>
              <w:spacing w:before="0" w:after="0"/>
              <w:jc w:val="center"/>
              <w:rPr>
                <w:noProof/>
                <w:sz w:val="18"/>
                <w:szCs w:val="18"/>
              </w:rPr>
            </w:pPr>
          </w:p>
        </w:tc>
        <w:tc>
          <w:tcPr>
            <w:tcW w:w="701" w:type="dxa"/>
            <w:vAlign w:val="center"/>
          </w:tcPr>
          <w:p>
            <w:pPr>
              <w:jc w:val="center"/>
              <w:rPr>
                <w:noProof/>
                <w:sz w:val="18"/>
                <w:szCs w:val="18"/>
              </w:rPr>
            </w:pPr>
            <w:r>
              <w:rPr>
                <w:noProof/>
                <w:sz w:val="18"/>
              </w:rPr>
              <w:t>Keskimäär. kustan</w:t>
            </w:r>
            <w:r>
              <w:rPr>
                <w:noProof/>
                <w:sz w:val="18"/>
              </w:rPr>
              <w:softHyphen/>
              <w:t>nukset</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w:t>
            </w:r>
            <w:r>
              <w:rPr>
                <w:noProof/>
                <w:sz w:val="18"/>
              </w:rPr>
              <w:softHyphen/>
              <w:t>nus</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Lukumäärä</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Kus</w:t>
            </w:r>
            <w:r>
              <w:rPr>
                <w:noProof/>
                <w:sz w:val="18"/>
              </w:rPr>
              <w:softHyphen/>
              <w:t>tannus</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Luku</w:t>
            </w:r>
            <w:r>
              <w:rPr>
                <w:noProof/>
                <w:sz w:val="18"/>
              </w:rPr>
              <w:softHyphen/>
              <w:t>määrä yh</w:t>
            </w:r>
            <w:r>
              <w:rPr>
                <w:noProof/>
                <w:sz w:val="18"/>
              </w:rPr>
              <w:softHyphen/>
              <w:t>teensä</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Kustan</w:t>
            </w:r>
            <w:r>
              <w:rPr>
                <w:noProof/>
                <w:sz w:val="18"/>
              </w:rPr>
              <w:softHyphen/>
              <w:t>nukset yhteensä</w:t>
            </w:r>
          </w:p>
        </w:tc>
      </w:tr>
      <w:tr>
        <w:trPr>
          <w:jc w:val="center"/>
        </w:trPr>
        <w:tc>
          <w:tcPr>
            <w:tcW w:w="2844" w:type="dxa"/>
            <w:gridSpan w:val="3"/>
            <w:vAlign w:val="center"/>
          </w:tcPr>
          <w:p>
            <w:pPr>
              <w:spacing w:before="60" w:after="60"/>
              <w:ind w:right="-29"/>
              <w:jc w:val="center"/>
              <w:rPr>
                <w:noProof/>
                <w:sz w:val="18"/>
                <w:szCs w:val="18"/>
              </w:rPr>
            </w:pPr>
            <w:r>
              <w:rPr>
                <w:noProof/>
                <w:sz w:val="18"/>
              </w:rPr>
              <w:t>ERITYISTAVOITE 1 ...</w:t>
            </w:r>
            <w:r>
              <w:rPr>
                <w:rStyle w:val="FootnoteReference"/>
                <w:noProof/>
                <w:sz w:val="18"/>
              </w:rPr>
              <w:footnoteReference w:id="15"/>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tuotos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tuotos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tuotos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Välisumma erityistavoite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ERITYISTAVOITE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tuotos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Välisumma erityistavoite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KAIKKI YHTEENSÄ</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headerReference w:type="default" r:id="rId23"/>
          <w:footerReference w:type="default" r:id="rId24"/>
          <w:headerReference w:type="first" r:id="rId25"/>
          <w:footerReference w:type="first" r:id="rId26"/>
          <w:pgSz w:w="16840" w:h="11907" w:orient="landscape" w:code="9"/>
          <w:pgMar w:top="1134" w:right="1418" w:bottom="567" w:left="1418" w:header="709" w:footer="709" w:gutter="0"/>
          <w:cols w:space="708"/>
          <w:docGrid w:linePitch="360"/>
        </w:sectPr>
      </w:pPr>
    </w:p>
    <w:p>
      <w:pPr>
        <w:pStyle w:val="ManualHeading3"/>
        <w:rPr>
          <w:bCs/>
          <w:noProof/>
          <w:szCs w:val="24"/>
        </w:rPr>
      </w:pPr>
      <w:bookmarkStart w:id="47" w:name="_Toc514938055"/>
      <w:bookmarkStart w:id="48" w:name="_Toc520485054"/>
      <w:r>
        <w:t>3.2.3.</w:t>
      </w:r>
      <w:r>
        <w:tab/>
      </w:r>
      <w:r>
        <w:rPr>
          <w:noProof/>
        </w:rPr>
        <w:t>Yhteenveto arvioiduista vaikutuksista hallintomäärärahoihin</w:t>
      </w:r>
      <w:bookmarkEnd w:id="47"/>
      <w:bookmarkEnd w:id="48"/>
      <w:r>
        <w:rPr>
          <w:noProof/>
        </w:rPr>
        <w:t xml:space="preserve"> </w:t>
      </w:r>
    </w:p>
    <w:p>
      <w:pPr>
        <w:pStyle w:val="ListDash1"/>
        <w:rPr>
          <w:noProof/>
        </w:rPr>
      </w:pPr>
      <w:r>
        <w:rPr>
          <w:noProof/>
        </w:rPr>
        <w:sym w:font="Wingdings" w:char="F0A8"/>
      </w:r>
      <w:r>
        <w:rPr>
          <w:noProof/>
        </w:rPr>
        <w:tab/>
        <w:t xml:space="preserve">Ehdotus/aloite ei edellytä hallintomäärärahoja. </w:t>
      </w:r>
    </w:p>
    <w:p>
      <w:pPr>
        <w:pStyle w:val="ListDash1"/>
        <w:rPr>
          <w:noProof/>
        </w:rPr>
      </w:pPr>
      <w:r>
        <w:rPr>
          <w:noProof/>
        </w:rPr>
        <w:sym w:font="Wingdings" w:char="F0A8"/>
      </w:r>
      <w:r>
        <w:rPr>
          <w:noProof/>
        </w:rPr>
        <w:tab/>
        <w:t>Ehdotus/aloite edellyttää hallintomäärärahoja seuraavasti:</w:t>
      </w:r>
    </w:p>
    <w:p>
      <w:pPr>
        <w:jc w:val="right"/>
        <w:rPr>
          <w:noProof/>
          <w:sz w:val="20"/>
        </w:rPr>
      </w:pPr>
      <w:r>
        <w:rPr>
          <w:noProof/>
          <w:sz w:val="20"/>
        </w:rPr>
        <w:t>milj. euroa (kolmen desimaalin tarkkuudella)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Vuosi</w:t>
            </w:r>
            <w:r>
              <w:rPr>
                <w:noProof/>
                <w:sz w:val="22"/>
              </w:rPr>
              <w:br/>
            </w:r>
            <w:r>
              <w:rPr>
                <w:b/>
                <w:noProof/>
                <w:sz w:val="16"/>
              </w:rPr>
              <w:t xml:space="preserve">N </w:t>
            </w:r>
            <w:r>
              <w:rPr>
                <w:rStyle w:val="FootnoteReference"/>
                <w:b/>
                <w:noProof/>
                <w:sz w:val="16"/>
              </w:rPr>
              <w:footnoteReference w:id="16"/>
            </w:r>
          </w:p>
        </w:tc>
        <w:tc>
          <w:tcPr>
            <w:tcW w:w="1080" w:type="dxa"/>
            <w:vAlign w:val="center"/>
          </w:tcPr>
          <w:p>
            <w:pPr>
              <w:spacing w:before="60" w:after="60" w:line="200" w:lineRule="exact"/>
              <w:jc w:val="center"/>
              <w:rPr>
                <w:noProof/>
                <w:sz w:val="16"/>
                <w:szCs w:val="16"/>
              </w:rPr>
            </w:pPr>
            <w:r>
              <w:rPr>
                <w:noProof/>
                <w:sz w:val="16"/>
              </w:rPr>
              <w:t>Vuosi</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Vuosi</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Vuosi</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ja näitä seuraavat vuodet (ilmoitetaan kaikki vuodet, joille ehdotuksen/aloitteen vaikutukset ulottuvat, ks. kohta 1.6)</w:t>
            </w:r>
          </w:p>
        </w:tc>
        <w:tc>
          <w:tcPr>
            <w:tcW w:w="1080" w:type="dxa"/>
            <w:vAlign w:val="center"/>
          </w:tcPr>
          <w:p>
            <w:pPr>
              <w:spacing w:before="60" w:after="60" w:line="200" w:lineRule="exact"/>
              <w:jc w:val="center"/>
              <w:rPr>
                <w:b/>
                <w:noProof/>
                <w:sz w:val="16"/>
                <w:szCs w:val="16"/>
              </w:rPr>
            </w:pPr>
            <w:r>
              <w:rPr>
                <w:b/>
                <w:noProof/>
                <w:sz w:val="16"/>
              </w:rPr>
              <w:t>YHTEEN</w:t>
            </w:r>
            <w:r>
              <w:rPr>
                <w:b/>
                <w:noProof/>
                <w:sz w:val="16"/>
              </w:rPr>
              <w:softHyphen/>
              <w:t>SÄ</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Monivuotisen rahoituskehyksen </w:t>
            </w:r>
            <w:r>
              <w:rPr>
                <w:noProof/>
                <w:sz w:val="22"/>
              </w:rPr>
              <w:br/>
            </w:r>
            <w:r>
              <w:rPr>
                <w:b/>
                <w:noProof/>
                <w:sz w:val="16"/>
              </w:rPr>
              <w:t>OTSAKE 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Henkilöresurssit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Muut hallintomenot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Monivuotisen rahoituskehyksen</w:t>
            </w:r>
            <w:r>
              <w:rPr>
                <w:noProof/>
                <w:sz w:val="22"/>
              </w:rPr>
              <w:br/>
            </w:r>
            <w:r>
              <w:rPr>
                <w:b/>
                <w:noProof/>
                <w:sz w:val="16"/>
              </w:rPr>
              <w:t xml:space="preserve">OTSAKE 5, välisumma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Monivuotisen rahoituskehyksen</w:t>
            </w:r>
            <w:r>
              <w:rPr>
                <w:noProof/>
                <w:sz w:val="22"/>
              </w:rPr>
              <w:br/>
            </w:r>
            <w:r>
              <w:rPr>
                <w:b/>
                <w:noProof/>
                <w:sz w:val="16"/>
              </w:rPr>
              <w:t>OTSAKKEESEEN 5</w:t>
            </w:r>
            <w:r>
              <w:rPr>
                <w:rStyle w:val="FootnoteReference"/>
                <w:b/>
                <w:noProof/>
                <w:sz w:val="16"/>
              </w:rPr>
              <w:footnoteReference w:id="17"/>
            </w:r>
            <w:r>
              <w:rPr>
                <w:b/>
                <w:noProof/>
                <w:sz w:val="16"/>
              </w:rPr>
              <w:t xml:space="preserve"> sisältymättömät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Henkilöresurssit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Muut hallintomenot</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Monivuotisen</w:t>
            </w:r>
            <w:r>
              <w:rPr>
                <w:noProof/>
                <w:sz w:val="22"/>
              </w:rPr>
              <w:br/>
            </w:r>
            <w:r>
              <w:rPr>
                <w:b/>
                <w:noProof/>
                <w:sz w:val="16"/>
              </w:rPr>
              <w:t>rahoituskehyksen OTSAKKEESEEN 5</w:t>
            </w:r>
            <w:r>
              <w:rPr>
                <w:noProof/>
                <w:sz w:val="22"/>
              </w:rPr>
              <w:br/>
            </w:r>
            <w:r>
              <w:rPr>
                <w:b/>
                <w:noProof/>
                <w:sz w:val="16"/>
              </w:rPr>
              <w:t xml:space="preserve">sisältymättömät, välisumma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YHTEENSÄ</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Henkilöresursseja ja muita hallintomenoja koskeva määrärahatarve katetaan toimen hallinnointiin jo osoitetuilla pääosaston määrärahoilla ja/tai pääosastossa toteutettujen määrärahasiirtojen avulla sekä tarvittaessa sellaisilla lisäresursseilla, jotka voidaan myöntää toimea hallinnoivalle pääosastolle vuotuisessa määrärahojen jakomenettelyssä talousarvion puitteissa.</w:t>
      </w:r>
    </w:p>
    <w:p>
      <w:pPr>
        <w:rPr>
          <w:noProof/>
          <w:sz w:val="18"/>
        </w:rPr>
        <w:sectPr>
          <w:headerReference w:type="default" r:id="rId27"/>
          <w:footerReference w:type="default" r:id="rId28"/>
          <w:headerReference w:type="first" r:id="rId29"/>
          <w:footerReference w:type="first" r:id="rId30"/>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Henkilöresurssien arvioitu tarve </w:t>
      </w:r>
    </w:p>
    <w:p>
      <w:pPr>
        <w:pStyle w:val="ListDash1"/>
        <w:rPr>
          <w:noProof/>
        </w:rPr>
      </w:pPr>
      <w:r>
        <w:rPr>
          <w:noProof/>
        </w:rPr>
        <w:sym w:font="Wingdings" w:char="F0A8"/>
      </w:r>
      <w:r>
        <w:rPr>
          <w:noProof/>
        </w:rPr>
        <w:tab/>
        <w:t xml:space="preserve">Ehdotus/aloite ei edellytä henkilöresursseja. </w:t>
      </w:r>
    </w:p>
    <w:p>
      <w:pPr>
        <w:pStyle w:val="ListDash1"/>
        <w:rPr>
          <w:noProof/>
        </w:rPr>
      </w:pPr>
      <w:r>
        <w:rPr>
          <w:noProof/>
        </w:rPr>
        <w:sym w:font="Wingdings" w:char="F0A8"/>
      </w:r>
      <w:r>
        <w:rPr>
          <w:noProof/>
        </w:rPr>
        <w:tab/>
        <w:t>Ehdotus/aloite edellyttää henkilöresursseja seuraavasti:</w:t>
      </w:r>
    </w:p>
    <w:p>
      <w:pPr>
        <w:spacing w:after="60"/>
        <w:jc w:val="right"/>
        <w:rPr>
          <w:i/>
          <w:noProof/>
          <w:sz w:val="20"/>
        </w:rPr>
      </w:pPr>
      <w:r>
        <w:rPr>
          <w:i/>
          <w:noProof/>
          <w:sz w:val="20"/>
        </w:rPr>
        <w:t>Arvio kokoaikaiseksi henkilöstöksi muutettuna</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Vuosi</w:t>
            </w:r>
            <w:r>
              <w:rPr>
                <w:noProof/>
                <w:sz w:val="22"/>
              </w:rPr>
              <w:br/>
            </w:r>
            <w:r>
              <w:rPr>
                <w:b/>
                <w:noProof/>
                <w:sz w:val="16"/>
              </w:rPr>
              <w:t>N</w:t>
            </w:r>
          </w:p>
        </w:tc>
        <w:tc>
          <w:tcPr>
            <w:tcW w:w="600" w:type="dxa"/>
            <w:shd w:val="clear" w:color="auto" w:fill="auto"/>
            <w:vAlign w:val="center"/>
          </w:tcPr>
          <w:p>
            <w:pPr>
              <w:spacing w:before="20" w:after="20"/>
              <w:jc w:val="center"/>
              <w:rPr>
                <w:noProof/>
                <w:sz w:val="16"/>
                <w:szCs w:val="16"/>
              </w:rPr>
            </w:pPr>
            <w:r>
              <w:rPr>
                <w:noProof/>
                <w:sz w:val="16"/>
              </w:rPr>
              <w:t>Vuosi</w:t>
            </w:r>
            <w:r>
              <w:rPr>
                <w:noProof/>
                <w:sz w:val="22"/>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rPr>
              <w:t xml:space="preserve">Vuosi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Vuosi </w:t>
            </w:r>
            <w:r>
              <w:rPr>
                <w:b/>
                <w:noProof/>
                <w:sz w:val="16"/>
              </w:rPr>
              <w:t>N+3</w:t>
            </w:r>
          </w:p>
        </w:tc>
        <w:tc>
          <w:tcPr>
            <w:tcW w:w="600" w:type="dxa"/>
            <w:gridSpan w:val="3"/>
            <w:shd w:val="clear" w:color="auto" w:fill="auto"/>
            <w:vAlign w:val="center"/>
          </w:tcPr>
          <w:p>
            <w:pPr>
              <w:jc w:val="center"/>
              <w:rPr>
                <w:b/>
                <w:noProof/>
                <w:sz w:val="16"/>
                <w:szCs w:val="16"/>
              </w:rPr>
            </w:pPr>
            <w:r>
              <w:rPr>
                <w:noProof/>
                <w:sz w:val="16"/>
              </w:rPr>
              <w:t>ja näitä seuraavat vuodet (ilmoitetaan kaikki vuodet, joille ehdotuksen/aloitteen vaikutukset ulottuvat, ks. kohta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Henkilöstötaulukkoon sisältyvät virat/toimet (virkamiehet ja väliaikaiset toimihenkilöt)</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(päätoimipaikka ja komission edustustot EU:ssa)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(EU:n ulkopuoliset edustustot)</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(epäsuora tutkimustoiminta)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(suora tutkimustoiminta)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Ulkopuolinen henkilöstö (kokoaikaiseksi muutettuna)</w:t>
            </w:r>
            <w:r>
              <w:rPr>
                <w:rStyle w:val="FootnoteReference"/>
                <w:b/>
                <w:noProof/>
                <w:sz w:val="16"/>
              </w:rPr>
              <w:footnoteReference w:id="18"/>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(kokonaismäärärahoista katettavat sopimussuhteiset toimihenkilöt, kansalliset asiantuntijat ja vuokrahenkilöstö)</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(sopimussuhteiset ja paikalliset toimihenkilöt, kansalliset asiantuntijat, vuokrahenkilöstö ja nuoremmat asiantuntijat EU:n ulkopuolisissa edustustoissa)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9"/>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päätoimipaikassa</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EU:n ulkopuolisissa edustustoissa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02/12/22 (epäsuora tutkimustoiminta: sopimussuhteiset toimihenkilöt, kansalliset asiantuntijat ja vuokrahenkilöstö)</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(suora tutkimustoiminta: sopimussuhteiset toimihenkilöt, kansalliset asiantuntijat ja vuokrahenkilöstö)</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Muu budjettikohta (mikä?)</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YHTEENSÄ</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viittaa kyseessä olevaan toimintalohkoon eli talousarvion osastoon.</w:t>
      </w:r>
    </w:p>
    <w:p>
      <w:pPr>
        <w:pStyle w:val="Text1"/>
        <w:rPr>
          <w:noProof/>
          <w:sz w:val="18"/>
          <w:szCs w:val="18"/>
        </w:rPr>
      </w:pPr>
      <w:r>
        <w:rPr>
          <w:noProof/>
          <w:sz w:val="18"/>
        </w:rPr>
        <w:t>Henkilöresurssien tarve katetaan toimen hallinnointiin jo osoitetulla pääosaston henkilöstöllä ja/tai pääosastossa toteutettujen henkilöstön uudelleenjärjestelyjen tuloksena saadulla henkilöstöllä sekä tarvittaessa sellaisilla lisäresursseilla, jotka toimea hallinnoiva pääosasto voi saada käyttöönsä vuotuisessa määrärahojen jakomenettelyssä talousarvion puitteissa.</w:t>
      </w:r>
    </w:p>
    <w:p>
      <w:pPr>
        <w:rPr>
          <w:noProof/>
          <w:sz w:val="20"/>
        </w:rPr>
      </w:pPr>
      <w:r>
        <w:rPr>
          <w:noProof/>
          <w:sz w:val="20"/>
        </w:rPr>
        <w:t>Kuvaus henkilöstön tehtävistä:</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Virkamiehet ja väliaikaiset toimihenkilöt</w:t>
            </w:r>
          </w:p>
        </w:tc>
        <w:tc>
          <w:tcPr>
            <w:tcW w:w="7200" w:type="dxa"/>
          </w:tcPr>
          <w:p>
            <w:pPr>
              <w:rPr>
                <w:noProof/>
                <w:sz w:val="20"/>
              </w:rPr>
            </w:pPr>
          </w:p>
        </w:tc>
      </w:tr>
      <w:tr>
        <w:tc>
          <w:tcPr>
            <w:tcW w:w="3240" w:type="dxa"/>
          </w:tcPr>
          <w:p>
            <w:pPr>
              <w:spacing w:before="60" w:after="60"/>
              <w:rPr>
                <w:noProof/>
                <w:sz w:val="20"/>
              </w:rPr>
            </w:pPr>
            <w:r>
              <w:rPr>
                <w:noProof/>
                <w:sz w:val="20"/>
              </w:rPr>
              <w:t>Ulkopuolinen henkilöstö</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bookmarkStart w:id="49" w:name="_Toc514938056"/>
      <w:bookmarkStart w:id="50" w:name="_Toc520485055"/>
      <w:r>
        <w:t>3.2.4.</w:t>
      </w:r>
      <w:r>
        <w:tab/>
      </w:r>
      <w:r>
        <w:rPr>
          <w:noProof/>
        </w:rPr>
        <w:t>Yhteensopivuus nykyisen monivuotisen rahoituskehyksen kanssa</w:t>
      </w:r>
      <w:bookmarkEnd w:id="49"/>
      <w:bookmarkEnd w:id="50"/>
      <w:r>
        <w:rPr>
          <w:noProof/>
        </w:rPr>
        <w:t xml:space="preserve"> </w:t>
      </w:r>
    </w:p>
    <w:p>
      <w:pPr>
        <w:pStyle w:val="Text1"/>
        <w:rPr>
          <w:noProof/>
        </w:rPr>
      </w:pPr>
      <w:r>
        <w:rPr>
          <w:noProof/>
        </w:rPr>
        <w:t>Ehdotus/aloite</w:t>
      </w:r>
    </w:p>
    <w:p>
      <w:pPr>
        <w:pStyle w:val="ListDash1"/>
        <w:rPr>
          <w:noProof/>
        </w:rPr>
      </w:pPr>
      <w:r>
        <w:rPr>
          <w:b/>
          <w:noProof/>
        </w:rPr>
        <w:t>X</w:t>
      </w:r>
      <w:r>
        <w:rPr>
          <w:noProof/>
        </w:rPr>
        <w:tab/>
        <w:t>voidaan rahoittaa kokonaan monivuotisen rahoituskehyksen kyseisen otsakkeen sisällä.</w:t>
      </w:r>
    </w:p>
    <w:p>
      <w:pPr>
        <w:pStyle w:val="ListDash1"/>
        <w:rPr>
          <w:noProof/>
        </w:rPr>
      </w:pPr>
      <w:r>
        <w:rPr>
          <w:noProof/>
        </w:rPr>
        <w:sym w:font="Wingdings" w:char="F0A8"/>
      </w:r>
      <w:r>
        <w:rPr>
          <w:noProof/>
        </w:rPr>
        <w:tab/>
        <w:t>edellyttää monivuotisen rahoituskehyksen kyseiseen otsakkeeseen sisältyvän kohdentamattoman liikkumavaran ja/tai monivuotista rahoituskehystä koskevassa asetuksessa määriteltyjen erityisvälineiden käyttöä.</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Selvitys tarvittavista toimenpiteistä, mainittava myös kyseeseen tulevat rahoituskehyksen otsakkeet, budjettikohdat ja määrät sekä ehdotetut välineet.</w:t>
      </w:r>
    </w:p>
    <w:p>
      <w:pPr>
        <w:pStyle w:val="ListDash1"/>
        <w:rPr>
          <w:noProof/>
        </w:rPr>
      </w:pPr>
      <w:r>
        <w:rPr>
          <w:noProof/>
        </w:rPr>
        <w:sym w:font="Wingdings" w:char="F0A8"/>
      </w:r>
      <w:r>
        <w:rPr>
          <w:noProof/>
        </w:rPr>
        <w:tab/>
        <w:t>edellyttää monivuotisen rahoituskehyksen tarkistamista.</w:t>
      </w:r>
    </w:p>
    <w:p>
      <w:pPr>
        <w:pStyle w:val="Text1"/>
        <w:pBdr>
          <w:top w:val="single" w:sz="4" w:space="1" w:color="auto"/>
          <w:left w:val="single" w:sz="4" w:space="4" w:color="auto"/>
          <w:bottom w:val="single" w:sz="4" w:space="3" w:color="auto"/>
          <w:right w:val="single" w:sz="4" w:space="4" w:color="auto"/>
        </w:pBdr>
        <w:rPr>
          <w:noProof/>
          <w:sz w:val="20"/>
        </w:rPr>
      </w:pPr>
      <w:r>
        <w:rPr>
          <w:noProof/>
          <w:sz w:val="20"/>
        </w:rPr>
        <w:t>Selvitys tarvittavista toimenpiteistä, mainittava myös kyseeseen tulevat rahoituskehyksen otsakkeet, budjettikohdat ja määrät.</w:t>
      </w:r>
    </w:p>
    <w:p>
      <w:pPr>
        <w:pStyle w:val="ManualHeading3"/>
        <w:rPr>
          <w:bCs/>
          <w:noProof/>
          <w:szCs w:val="24"/>
        </w:rPr>
      </w:pPr>
      <w:bookmarkStart w:id="51" w:name="_Toc514938058"/>
      <w:bookmarkStart w:id="52" w:name="_Toc520485056"/>
      <w:r>
        <w:t>3.2.5.</w:t>
      </w:r>
      <w:r>
        <w:tab/>
      </w:r>
      <w:r>
        <w:rPr>
          <w:noProof/>
        </w:rPr>
        <w:t>Ulkopuolisten tahojen rahoitusosuudet</w:t>
      </w:r>
      <w:bookmarkEnd w:id="51"/>
      <w:bookmarkEnd w:id="52"/>
      <w:r>
        <w:rPr>
          <w:noProof/>
        </w:rPr>
        <w:t xml:space="preserve"> </w:t>
      </w:r>
    </w:p>
    <w:p>
      <w:pPr>
        <w:pStyle w:val="Text1"/>
        <w:rPr>
          <w:noProof/>
        </w:rPr>
      </w:pPr>
      <w:r>
        <w:rPr>
          <w:noProof/>
        </w:rPr>
        <w:t>Ehdotuksen/aloitteen</w:t>
      </w:r>
    </w:p>
    <w:p>
      <w:pPr>
        <w:pStyle w:val="ListDash1"/>
        <w:rPr>
          <w:noProof/>
        </w:rPr>
      </w:pPr>
      <w:r>
        <w:rPr>
          <w:b/>
          <w:noProof/>
        </w:rPr>
        <w:t xml:space="preserve">X </w:t>
      </w:r>
      <w:r>
        <w:rPr>
          <w:noProof/>
        </w:rPr>
        <w:t>rahoittamiseen ei osallistu ulkopuolisia tahoja</w:t>
      </w:r>
    </w:p>
    <w:p>
      <w:pPr>
        <w:pStyle w:val="ListDash1"/>
        <w:rPr>
          <w:noProof/>
        </w:rPr>
      </w:pPr>
      <w:r>
        <w:rPr>
          <w:noProof/>
        </w:rPr>
        <w:tab/>
        <w:t>rahoittamiseen osallistuu ulkopuolisia tahoja seuraavasti (arvio):</w:t>
      </w:r>
    </w:p>
    <w:p>
      <w:pPr>
        <w:jc w:val="right"/>
        <w:rPr>
          <w:noProof/>
          <w:sz w:val="20"/>
        </w:rPr>
      </w:pPr>
      <w:r>
        <w:rPr>
          <w:noProof/>
          <w:sz w:val="20"/>
        </w:rPr>
        <w:t xml:space="preserve">Määrärahat euroina </w:t>
      </w:r>
    </w:p>
    <w:p>
      <w:pPr>
        <w:jc w:val="right"/>
        <w:rPr>
          <w:noProof/>
          <w:sz w:val="20"/>
        </w:rPr>
      </w:pPr>
    </w:p>
    <w:p>
      <w:pPr>
        <w:rPr>
          <w:noProof/>
        </w:rPr>
      </w:pPr>
      <w:r>
        <w:rPr>
          <w:noProof/>
        </w:rPr>
        <w:br/>
      </w:r>
    </w:p>
    <w:p>
      <w:pPr>
        <w:pStyle w:val="ManualHeading2"/>
        <w:rPr>
          <w:bCs/>
          <w:noProof/>
          <w:szCs w:val="24"/>
        </w:rPr>
      </w:pPr>
      <w:r>
        <w:rPr>
          <w:noProof/>
        </w:rPr>
        <w:br w:type="page"/>
      </w:r>
      <w:bookmarkStart w:id="53" w:name="_Toc514938059"/>
      <w:bookmarkStart w:id="54" w:name="_Toc520485057"/>
      <w:r>
        <w:t>3.3.</w:t>
      </w:r>
      <w:r>
        <w:tab/>
      </w:r>
      <w:r>
        <w:rPr>
          <w:noProof/>
        </w:rPr>
        <w:t>Arvioidut vaikutukset tuloihin</w:t>
      </w:r>
      <w:bookmarkEnd w:id="53"/>
      <w:bookmarkEnd w:id="54"/>
      <w:r>
        <w:rPr>
          <w:noProof/>
        </w:rPr>
        <w:t xml:space="preserve"> </w:t>
      </w:r>
    </w:p>
    <w:p>
      <w:pPr>
        <w:pStyle w:val="ListDash1"/>
        <w:rPr>
          <w:noProof/>
        </w:rPr>
      </w:pPr>
      <w:r>
        <w:rPr>
          <w:b/>
          <w:noProof/>
        </w:rPr>
        <w:t>X</w:t>
      </w:r>
      <w:r>
        <w:rPr>
          <w:noProof/>
        </w:rPr>
        <w:tab/>
        <w:t xml:space="preserve">Ehdotuksella/aloitteella ei ole vaikutuksia tuloihin. </w:t>
      </w:r>
    </w:p>
    <w:p>
      <w:pPr>
        <w:pStyle w:val="ListDash1"/>
        <w:rPr>
          <w:noProof/>
        </w:rPr>
      </w:pPr>
      <w:r>
        <w:rPr>
          <w:noProof/>
        </w:rPr>
        <w:tab/>
        <w:t>Ehdotuksella/aloitteella on vaikutuksia tuloihin seuraavasti:</w:t>
      </w:r>
    </w:p>
    <w:p>
      <w:pPr>
        <w:pStyle w:val="Tiret2"/>
        <w:numPr>
          <w:ilvl w:val="0"/>
          <w:numId w:val="16"/>
        </w:numPr>
        <w:rPr>
          <w:noProof/>
        </w:rPr>
      </w:pPr>
      <w:r>
        <w:rPr>
          <w:noProof/>
        </w:rPr>
        <w:sym w:font="Wingdings" w:char="F0A8"/>
      </w:r>
      <w:r>
        <w:rPr>
          <w:noProof/>
        </w:rPr>
        <w:tab/>
        <w:t xml:space="preserve">vaikutukset omiin varoihin </w:t>
      </w:r>
    </w:p>
    <w:p>
      <w:pPr>
        <w:pStyle w:val="Tiret2"/>
        <w:rPr>
          <w:noProof/>
        </w:rPr>
      </w:pPr>
      <w:r>
        <w:rPr>
          <w:noProof/>
        </w:rPr>
        <w:sym w:font="Wingdings" w:char="F0A8"/>
      </w:r>
      <w:r>
        <w:rPr>
          <w:noProof/>
        </w:rPr>
        <w:tab/>
        <w:t>vaikutukset muihin tuloihin</w:t>
      </w:r>
    </w:p>
    <w:p>
      <w:pPr>
        <w:pStyle w:val="Tiret2"/>
        <w:rPr>
          <w:noProof/>
        </w:rPr>
      </w:pPr>
      <w:r>
        <w:rPr>
          <w:noProof/>
        </w:rPr>
        <w:t>tulot on kohdennettu menopuolen budjettikohtiin X</w:t>
      </w:r>
      <w:r>
        <w:rPr>
          <w:noProof/>
        </w:rPr>
        <w:tab/>
      </w:r>
    </w:p>
    <w:p>
      <w:pPr>
        <w:pStyle w:val="ListNumberLevel3"/>
        <w:tabs>
          <w:tab w:val="clear" w:pos="2126"/>
        </w:tabs>
        <w:ind w:firstLine="0"/>
        <w:rPr>
          <w:noProof/>
        </w:rPr>
      </w:pPr>
    </w:p>
    <w:p>
      <w:pPr>
        <w:ind w:left="4320"/>
        <w:rPr>
          <w:i/>
          <w:noProof/>
          <w:sz w:val="20"/>
        </w:rPr>
      </w:pPr>
      <w:r>
        <w:rPr>
          <w:noProof/>
        </w:rPr>
        <w:t xml:space="preserve">     euroa </w:t>
      </w:r>
    </w:p>
    <w:p>
      <w:pPr>
        <w:pStyle w:val="Text1"/>
        <w:rPr>
          <w:noProof/>
          <w:sz w:val="20"/>
        </w:rPr>
      </w:pPr>
      <w:r>
        <w:rPr>
          <w:noProof/>
        </w:rPr>
        <w:br/>
      </w:r>
    </w:p>
    <w:p>
      <w:pPr>
        <w:pStyle w:val="Text1"/>
        <w:rPr>
          <w:noProof/>
          <w:sz w:val="20"/>
        </w:rPr>
      </w:pPr>
      <w:r>
        <w:rPr>
          <w:noProof/>
          <w:sz w:val="20"/>
        </w:rPr>
        <w:t>Vastaava(t) menopuolen budjettikohta (budjettikohdat) käyttötarkoitukseensa sidottujen tulojen tapauksessa:</w:t>
      </w:r>
    </w:p>
    <w:p>
      <w:pPr>
        <w:pStyle w:val="Text1"/>
        <w:pBdr>
          <w:top w:val="single" w:sz="4" w:space="1" w:color="auto"/>
          <w:left w:val="single" w:sz="4" w:space="4" w:color="auto"/>
          <w:bottom w:val="single" w:sz="4" w:space="1" w:color="auto"/>
          <w:right w:val="single" w:sz="4" w:space="4" w:color="auto"/>
        </w:pBdr>
        <w:rPr>
          <w:noProof/>
        </w:rPr>
      </w:pPr>
      <w:r>
        <w:t>Ei sovelleta</w:t>
      </w:r>
    </w:p>
    <w:p>
      <w:pPr>
        <w:pStyle w:val="Text1"/>
        <w:rPr>
          <w:noProof/>
        </w:rPr>
      </w:pPr>
      <w:r>
        <w:rPr>
          <w:noProof/>
          <w:sz w:val="20"/>
        </w:rPr>
        <w:t>Muita huomautuksia (esim. tuloihin kohdistuvan vaikutuksen laskentamenetelmä/-kaava tai muita lisätietoja).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pPr>
      <w:r>
        <w:rPr>
          <w:rStyle w:val="FootnoteReference"/>
        </w:rPr>
        <w:footnoteRef/>
      </w:r>
      <w:r>
        <w:tab/>
        <w:t>COM(2018) 880 final, 13.11.2018.</w:t>
      </w:r>
    </w:p>
  </w:footnote>
  <w:footnote w:id="3">
    <w:p>
      <w:pPr>
        <w:pStyle w:val="FootnoteText"/>
      </w:pPr>
      <w:r>
        <w:rPr>
          <w:rStyle w:val="FootnoteReference"/>
        </w:rPr>
        <w:footnoteRef/>
      </w:r>
      <w:r>
        <w:tab/>
        <w:t>Mallina toiminut ehdotus Euroopan parlamentin ja neuvoston asetukseksi asetuksen (EU) N:o 1316/2013 muuttamisesta siltä osin kuin on kyse Yhdistyneen kuningaskunnan eroamisesta unionista, COM(2018) 568, 1.8.2018.</w:t>
      </w:r>
    </w:p>
  </w:footnote>
  <w:footnote w:id="4">
    <w:p>
      <w:pPr>
        <w:pStyle w:val="FootnoteText"/>
      </w:pPr>
      <w:r>
        <w:rPr>
          <w:rStyle w:val="FootnoteReference"/>
        </w:rPr>
        <w:footnoteRef/>
      </w:r>
      <w:r>
        <w:tab/>
        <w:t>EUVL C , , s. .</w:t>
      </w:r>
    </w:p>
  </w:footnote>
  <w:footnote w:id="5">
    <w:p>
      <w:pPr>
        <w:pStyle w:val="FootnoteText"/>
      </w:pPr>
      <w:r>
        <w:rPr>
          <w:rStyle w:val="FootnoteReference"/>
        </w:rPr>
        <w:footnoteRef/>
      </w:r>
      <w:r>
        <w:tab/>
        <w:t>EUVL C , , s. .</w:t>
      </w:r>
    </w:p>
  </w:footnote>
  <w:footnote w:id="6">
    <w:p>
      <w:pPr>
        <w:pStyle w:val="FootnoteText"/>
      </w:pPr>
      <w:r>
        <w:rPr>
          <w:rStyle w:val="FootnoteReference"/>
        </w:rPr>
        <w:footnoteRef/>
      </w:r>
      <w:r>
        <w:tab/>
        <w:t>Euroopan parlamentin ja neuvoston asetus (EU) N:o 1299/2013, annettu 17 päivänä joulukuuta 2013, Euroopan alueellinen yhteistyö -tavoitteen tukemista Euroopan aluekehitysrahastosta koskevista erityissäännöksistä (EUVL L 347, 20.12.2013, s. 259).</w:t>
      </w:r>
    </w:p>
  </w:footnote>
  <w:footnote w:id="7">
    <w:p>
      <w:pPr>
        <w:pStyle w:val="FootnoteText"/>
      </w:pPr>
      <w:r>
        <w:rPr>
          <w:rStyle w:val="FootnoteReference"/>
        </w:rPr>
        <w:footnoteRef/>
      </w:r>
      <w:r>
        <w:tab/>
        <w:t>Euroopan parlamentin ja neuvoston asetus (EU) N:o 1303/2013, annettu 17 päivänä joulukuuta 2013, Euroopan aluekehitysrahastoa, Euroopan sosiaalirahastoa, koheesiorahastoa, Euroopan maaseudun kehittämisen maatalousrahastoa ja Euroopan meri- ja kalatalousrahastoa koskevista yhteisistä säännöksistä sekä Euroopan aluekehitysrahastoa, Euroopan sosiaalirahastoa, koheesiorahastoa ja Euroopan meri- ja kalatalousrahastoa koskevista yleisistä säännöksistä sekä neuvoston asetuksen (EY) N:o 1083/2006 kumoamisesta (EUVL L 347, 20.12.2013, s. 320).</w:t>
      </w:r>
    </w:p>
  </w:footnote>
  <w:footnote w:id="8">
    <w:p>
      <w:pPr>
        <w:pStyle w:val="FootnoteText"/>
      </w:pPr>
      <w:r>
        <w:rPr>
          <w:rStyle w:val="FootnoteReference"/>
        </w:rPr>
        <w:footnoteRef/>
      </w:r>
      <w:r>
        <w:tab/>
        <w:t>Euroopan parlamentin ja neuvoston asetus (EU, Euratom) 2018/1046, annettu 18 päivänä heinäkuuta 2018, unionin yleiseen talousarvioon sovellettavista varainhoitosäännöistä, asetusten (EU) N:o 1296/2013, (EU) N:o 1301/2013, (EU) N:o 1303/2013, (EU) N:o 1304/2013, (EU) N:o 1309/2013, (EU) N:o 1316/2013, (EU) N:o 223/2014, (EU) N:o 283/2014 ja päätöksen N:o 541/2014/EU muuttamisesta sekä asetuksen (EU, Euratom) N:o 966/2012 kumoamisesta (EUVL L 193, 30.7.2018, s. 1).</w:t>
      </w:r>
    </w:p>
  </w:footnote>
  <w:footnote w:id="9">
    <w:p>
      <w:pPr>
        <w:pStyle w:val="FootnoteText"/>
        <w:jc w:val="left"/>
        <w:rPr>
          <w:szCs w:val="24"/>
        </w:rPr>
      </w:pPr>
      <w:r>
        <w:rPr>
          <w:rStyle w:val="FootnoteReference"/>
        </w:rPr>
        <w:footnoteRef/>
      </w:r>
      <w:r>
        <w:tab/>
        <w:t xml:space="preserve">Kuvaukset eri hallinnointitavoista ja viittaukset varainhoitoasetukseen ovat saatavilla budjettipääosaston verkkosivuilla osoitteessa </w:t>
      </w:r>
      <w:hyperlink r:id="rId2">
        <w:r>
          <w:rPr>
            <w:rStyle w:val="Hyperlink"/>
          </w:rPr>
          <w:t>https://myintracomm.ec.europa.eu/budgweb/EN/man/budgmanag/Pages/budgmanag.aspx</w:t>
        </w:r>
      </w:hyperlink>
      <w:r>
        <w:t xml:space="preserve"> </w:t>
      </w:r>
    </w:p>
  </w:footnote>
  <w:footnote w:id="10">
    <w:p>
      <w:pPr>
        <w:pStyle w:val="FootnoteText"/>
        <w:rPr>
          <w:szCs w:val="24"/>
        </w:rPr>
      </w:pPr>
      <w:r>
        <w:rPr>
          <w:rStyle w:val="FootnoteReference"/>
        </w:rPr>
        <w:footnoteRef/>
      </w:r>
      <w:r>
        <w:tab/>
        <w:t>JM = jaksotetut määrärahat; EI-JM = jaksottamattomat määrärahat.</w:t>
      </w:r>
    </w:p>
  </w:footnote>
  <w:footnote w:id="11">
    <w:p>
      <w:pPr>
        <w:pStyle w:val="FootnoteText"/>
        <w:rPr>
          <w:szCs w:val="24"/>
        </w:rPr>
      </w:pPr>
      <w:r>
        <w:rPr>
          <w:rStyle w:val="FootnoteReference"/>
        </w:rPr>
        <w:footnoteRef/>
      </w:r>
      <w:r>
        <w:tab/>
        <w:t xml:space="preserve">EFTA: Euroopan vapaakauppaliitto. </w:t>
      </w:r>
    </w:p>
  </w:footnote>
  <w:footnote w:id="12">
    <w:p>
      <w:pPr>
        <w:pStyle w:val="FootnoteText"/>
        <w:rPr>
          <w:szCs w:val="24"/>
        </w:rPr>
      </w:pPr>
      <w:r>
        <w:rPr>
          <w:rStyle w:val="FootnoteReference"/>
        </w:rPr>
        <w:footnoteRef/>
      </w:r>
      <w:r>
        <w:tab/>
        <w:t>Ehdokasmaat ja soveltuvin osin Länsi-Balkanin mahdolliset ehdokasmaat.</w:t>
      </w:r>
    </w:p>
  </w:footnote>
  <w:footnote w:id="13">
    <w:p>
      <w:pPr>
        <w:pStyle w:val="FootnoteText"/>
        <w:rPr>
          <w:szCs w:val="24"/>
        </w:rPr>
      </w:pPr>
      <w:r>
        <w:rPr>
          <w:rStyle w:val="FootnoteReference"/>
        </w:rPr>
        <w:footnoteRef/>
      </w:r>
      <w:r>
        <w:tab/>
      </w:r>
      <w:r>
        <w:rPr>
          <w:sz w:val="18"/>
        </w:rPr>
        <w:t>Vuosi N on ehdotuksen/aloitteen toteutuksen aloitusvuosi. ”N” korvataan oletetulla ensimmäisellä toteutusvuodella (esimerkiksi: 2021). Seuraavat vuodet täydennetään vastaavasti.</w:t>
      </w:r>
    </w:p>
  </w:footnote>
  <w:footnote w:id="14">
    <w:p>
      <w:pPr>
        <w:pStyle w:val="FootnoteText"/>
        <w:rPr>
          <w:szCs w:val="24"/>
        </w:rPr>
      </w:pPr>
      <w:r>
        <w:rPr>
          <w:rStyle w:val="FootnoteReference"/>
        </w:rPr>
        <w:footnoteRef/>
      </w:r>
      <w:r>
        <w:tab/>
        <w:t>Tuotokset ovat tuloksena olevia tuotteita ja palveluita (esim. rahoitettujen opiskelijavaihtojen määrä tai rakennetut tiekilometrit).</w:t>
      </w:r>
    </w:p>
  </w:footnote>
  <w:footnote w:id="15">
    <w:p>
      <w:pPr>
        <w:pStyle w:val="FootnoteText"/>
        <w:rPr>
          <w:szCs w:val="24"/>
        </w:rPr>
      </w:pPr>
      <w:r>
        <w:rPr>
          <w:rStyle w:val="FootnoteReference"/>
        </w:rPr>
        <w:footnoteRef/>
      </w:r>
      <w:r>
        <w:tab/>
        <w:t xml:space="preserve">Kuten kuvattu kohdassa 1.4.2 ”Erityistavoitteet”. </w:t>
      </w:r>
    </w:p>
  </w:footnote>
  <w:footnote w:id="16">
    <w:p>
      <w:pPr>
        <w:pStyle w:val="FootnoteText"/>
        <w:rPr>
          <w:sz w:val="18"/>
          <w:szCs w:val="18"/>
        </w:rPr>
      </w:pPr>
      <w:r>
        <w:rPr>
          <w:rStyle w:val="FootnoteReference"/>
        </w:rPr>
        <w:footnoteRef/>
      </w:r>
      <w:r>
        <w:tab/>
      </w:r>
      <w:r>
        <w:rPr>
          <w:sz w:val="18"/>
        </w:rPr>
        <w:t>Vuosi N on ehdotuksen/aloitteen toteutuksen aloitusvuosi. ”N” korvataan oletetulla ensimmäisellä toteutusvuodella (esimerkiksi: 2021). Seuraavat vuodet täydennetään vastaavasti.</w:t>
      </w:r>
    </w:p>
  </w:footnote>
  <w:footnote w:id="17">
    <w:p>
      <w:pPr>
        <w:pStyle w:val="FootnoteText"/>
        <w:rPr>
          <w:szCs w:val="24"/>
        </w:rPr>
      </w:pPr>
      <w:r>
        <w:rPr>
          <w:rStyle w:val="FootnoteReference"/>
        </w:rPr>
        <w:footnoteRef/>
      </w:r>
      <w:r>
        <w:tab/>
      </w:r>
      <w:r>
        <w:rPr>
          <w:sz w:val="18"/>
        </w:rPr>
        <w:t>Tekninen ja/tai hallinnollinen apu sekä EU:n ohjelmien ja/tai toimien toteuttamiseen liittyvät tukimenot (entiset BA-budjettikohdat), epäsuora ja suora tutkimustoiminta.</w:t>
      </w:r>
    </w:p>
  </w:footnote>
  <w:footnote w:id="18">
    <w:p>
      <w:pPr>
        <w:pStyle w:val="FootnoteText"/>
        <w:rPr>
          <w:szCs w:val="24"/>
        </w:rPr>
      </w:pPr>
      <w:r>
        <w:rPr>
          <w:rStyle w:val="FootnoteReference"/>
        </w:rPr>
        <w:footnoteRef/>
      </w:r>
      <w:r>
        <w:tab/>
        <w:t xml:space="preserve">AC = sopimussuhteiset toimihenkilöt; AL = paikalliset toimihenkilöt; END = kansalliset asiantuntijat; INT = vuokrahenkilöstö; JPD = nuoremmat asiantuntijat EU:n ulkopuolisissa edustustoissa </w:t>
      </w:r>
    </w:p>
  </w:footnote>
  <w:footnote w:id="19">
    <w:p>
      <w:pPr>
        <w:pStyle w:val="FootnoteText"/>
        <w:rPr>
          <w:szCs w:val="24"/>
        </w:rPr>
      </w:pPr>
      <w:r>
        <w:rPr>
          <w:rStyle w:val="FootnoteReference"/>
        </w:rPr>
        <w:footnoteRef/>
      </w:r>
      <w:r>
        <w:tab/>
        <w:t>Toimintamäärärahoista katettavan ulkopuolisen henkilöstön enimmäismäärä (entiset BA-budjettikohdat).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F40EE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E426808"/>
    <w:lvl w:ilvl="0">
      <w:start w:val="1"/>
      <w:numFmt w:val="decimal"/>
      <w:pStyle w:val="ListNumber3"/>
      <w:lvlText w:val="%1."/>
      <w:lvlJc w:val="left"/>
      <w:pPr>
        <w:tabs>
          <w:tab w:val="num" w:pos="926"/>
        </w:tabs>
        <w:ind w:left="926" w:hanging="360"/>
      </w:pPr>
    </w:lvl>
  </w:abstractNum>
  <w:abstractNum w:abstractNumId="2">
    <w:nsid w:val="FFFFFF7F"/>
    <w:multiLevelType w:val="singleLevel"/>
    <w:tmpl w:val="AD16A6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804D4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8633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BC462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78C8196"/>
    <w:lvl w:ilvl="0">
      <w:start w:val="1"/>
      <w:numFmt w:val="decimal"/>
      <w:pStyle w:val="ListNumber"/>
      <w:lvlText w:val="%1."/>
      <w:lvlJc w:val="left"/>
      <w:pPr>
        <w:tabs>
          <w:tab w:val="num" w:pos="360"/>
        </w:tabs>
        <w:ind w:left="360" w:hanging="360"/>
      </w:pPr>
    </w:lvl>
  </w:abstractNum>
  <w:abstractNum w:abstractNumId="7">
    <w:nsid w:val="FFFFFF89"/>
    <w:multiLevelType w:val="singleLevel"/>
    <w:tmpl w:val="503453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num>
  <w:num w:numId="11">
    <w:abstractNumId w:val="13"/>
  </w:num>
  <w:num w:numId="12">
    <w:abstractNumId w:val="18"/>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num>
  <w:num w:numId="17">
    <w:abstractNumId w:val="22"/>
  </w:num>
  <w:num w:numId="18">
    <w:abstractNumId w:val="14"/>
  </w:num>
  <w:num w:numId="19">
    <w:abstractNumId w:val="24"/>
  </w:num>
  <w:num w:numId="20">
    <w:abstractNumId w:val="12"/>
  </w:num>
  <w:num w:numId="21">
    <w:abstractNumId w:val="15"/>
  </w:num>
  <w:num w:numId="22">
    <w:abstractNumId w:val="10"/>
  </w:num>
  <w:num w:numId="23">
    <w:abstractNumId w:val="23"/>
  </w:num>
  <w:num w:numId="24">
    <w:abstractNumId w:val="9"/>
  </w:num>
  <w:num w:numId="25">
    <w:abstractNumId w:val="16"/>
  </w:num>
  <w:num w:numId="26">
    <w:abstractNumId w:val="20"/>
  </w:num>
  <w:num w:numId="27">
    <w:abstractNumId w:val="21"/>
  </w:num>
  <w:num w:numId="28">
    <w:abstractNumId w:val="11"/>
  </w:num>
  <w:num w:numId="29">
    <w:abstractNumId w:val="19"/>
  </w:num>
  <w:num w:numId="30">
    <w:abstractNumId w:val="25"/>
  </w:num>
  <w:num w:numId="31">
    <w:abstractNumId w:val="22"/>
  </w:num>
  <w:num w:numId="32">
    <w:abstractNumId w:val="14"/>
  </w:num>
  <w:num w:numId="33">
    <w:abstractNumId w:val="24"/>
  </w:num>
  <w:num w:numId="34">
    <w:abstractNumId w:val="12"/>
  </w:num>
  <w:num w:numId="35">
    <w:abstractNumId w:val="15"/>
  </w:num>
  <w:num w:numId="36">
    <w:abstractNumId w:val="10"/>
  </w:num>
  <w:num w:numId="37">
    <w:abstractNumId w:val="23"/>
  </w:num>
  <w:num w:numId="38">
    <w:abstractNumId w:val="9"/>
  </w:num>
  <w:num w:numId="39">
    <w:abstractNumId w:val="16"/>
  </w:num>
  <w:num w:numId="40">
    <w:abstractNumId w:val="20"/>
  </w:num>
  <w:num w:numId="41">
    <w:abstractNumId w:val="21"/>
  </w:num>
  <w:num w:numId="42">
    <w:abstractNumId w:val="11"/>
  </w:num>
  <w:num w:numId="43">
    <w:abstractNumId w:val="19"/>
  </w:num>
  <w:num w:numId="44">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21 10:10:0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C0FCC00-BC3E-40E4-8650-AEBBD7F62015"/>
    <w:docVar w:name="LW_COVERPAGE_TYPE" w:val="1"/>
    <w:docVar w:name="LW_CROSSREFERENCE" w:val="&lt;UNUSED&gt;"/>
    <w:docVar w:name="LW_DocType" w:val="COM"/>
    <w:docVar w:name="LW_EMISSION" w:val="19.12.2018"/>
    <w:docVar w:name="LW_EMISSION_ISODATE" w:val="2018-12-19"/>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432"/>
    <w:docVar w:name="LW_REF.II.NEW.CP_YEAR" w:val="2018"/>
    <w:docVar w:name="LW_REF.INST.NEW" w:val="COM"/>
    <w:docVar w:name="LW_REF.INST.NEW_ADOPTED" w:val="final"/>
    <w:docVar w:name="LW_REF.INST.NEW_TEXT" w:val="(2018) 8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jolla luodaan edellytykset alueellisten yhteistyöohjelmien PEACE IV (Ireland-United Kingdom) ja Yhdistynyt kuningaskunta \u8211? Irlanti (Ireland-Northern Ireland-Scotland) jatkamiselle Yhdistyneen kuningaskunnan erotessa Euroopan unionista"/>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fi-FI"/>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i-F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10"/>
      </w:numPr>
    </w:pPr>
  </w:style>
  <w:style w:type="paragraph" w:customStyle="1" w:styleId="ListDash">
    <w:name w:val="List Dash"/>
    <w:basedOn w:val="Normal"/>
    <w:pPr>
      <w:numPr>
        <w:numId w:val="11"/>
      </w:numPr>
    </w:pPr>
  </w:style>
  <w:style w:type="paragraph" w:customStyle="1" w:styleId="ListDash1">
    <w:name w:val="List Dash 1"/>
    <w:basedOn w:val="Normal"/>
    <w:pPr>
      <w:numPr>
        <w:numId w:val="12"/>
      </w:numPr>
    </w:pPr>
  </w:style>
  <w:style w:type="paragraph" w:customStyle="1" w:styleId="ListDash2">
    <w:name w:val="List Dash 2"/>
    <w:basedOn w:val="Normal"/>
    <w:pPr>
      <w:numPr>
        <w:numId w:val="13"/>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fi-FI"/>
    </w:rPr>
  </w:style>
  <w:style w:type="character" w:customStyle="1" w:styleId="FooterCoverPageChar">
    <w:name w:val="Footer Cover Page Char"/>
    <w:basedOn w:val="TOCHeadingChar"/>
    <w:link w:val="FooterCoverPage"/>
    <w:rPr>
      <w:rFonts w:ascii="Times New Roman" w:hAnsi="Times New Roman" w:cs="Times New Roman"/>
      <w:b w:val="0"/>
      <w:sz w:val="24"/>
      <w:lang w:val="fi-FI"/>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rFonts w:ascii="Times New Roman" w:hAnsi="Times New Roman" w:cs="Times New Roman"/>
      <w:b w:val="0"/>
      <w:sz w:val="24"/>
      <w:lang w:val="fi-FI" w:eastAsia="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160" w:line="259" w:lineRule="auto"/>
      <w:ind w:left="720"/>
      <w:contextualSpacing/>
      <w:jc w:val="left"/>
    </w:pPr>
    <w:rPr>
      <w:rFonts w:asciiTheme="minorHAnsi" w:hAnsiTheme="minorHAnsi" w:cstheme="minorBidi"/>
      <w:sz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fi-FI"/>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i-F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10"/>
      </w:numPr>
    </w:pPr>
  </w:style>
  <w:style w:type="paragraph" w:customStyle="1" w:styleId="ListDash">
    <w:name w:val="List Dash"/>
    <w:basedOn w:val="Normal"/>
    <w:pPr>
      <w:numPr>
        <w:numId w:val="11"/>
      </w:numPr>
    </w:pPr>
  </w:style>
  <w:style w:type="paragraph" w:customStyle="1" w:styleId="ListDash1">
    <w:name w:val="List Dash 1"/>
    <w:basedOn w:val="Normal"/>
    <w:pPr>
      <w:numPr>
        <w:numId w:val="12"/>
      </w:numPr>
    </w:pPr>
  </w:style>
  <w:style w:type="paragraph" w:customStyle="1" w:styleId="ListDash2">
    <w:name w:val="List Dash 2"/>
    <w:basedOn w:val="Normal"/>
    <w:pPr>
      <w:numPr>
        <w:numId w:val="13"/>
      </w:numPr>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fi-FI"/>
    </w:rPr>
  </w:style>
  <w:style w:type="character" w:customStyle="1" w:styleId="FooterCoverPageChar">
    <w:name w:val="Footer Cover Page Char"/>
    <w:basedOn w:val="TOCHeadingChar"/>
    <w:link w:val="FooterCoverPage"/>
    <w:rPr>
      <w:rFonts w:ascii="Times New Roman" w:hAnsi="Times New Roman" w:cs="Times New Roman"/>
      <w:b w:val="0"/>
      <w:sz w:val="24"/>
      <w:lang w:val="fi-FI"/>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TOCHeadingChar"/>
    <w:link w:val="HeaderCoverPage"/>
    <w:rPr>
      <w:rFonts w:ascii="Times New Roman" w:hAnsi="Times New Roman" w:cs="Times New Roman"/>
      <w:b w:val="0"/>
      <w:sz w:val="24"/>
      <w:lang w:val="fi-FI" w:eastAsia="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35442">
      <w:bodyDiv w:val="1"/>
      <w:marLeft w:val="0"/>
      <w:marRight w:val="0"/>
      <w:marTop w:val="0"/>
      <w:marBottom w:val="0"/>
      <w:divBdr>
        <w:top w:val="none" w:sz="0" w:space="0" w:color="auto"/>
        <w:left w:val="none" w:sz="0" w:space="0" w:color="auto"/>
        <w:bottom w:val="none" w:sz="0" w:space="0" w:color="auto"/>
        <w:right w:val="none" w:sz="0" w:space="0" w:color="auto"/>
      </w:divBdr>
    </w:div>
    <w:div w:id="909922137">
      <w:bodyDiv w:val="1"/>
      <w:marLeft w:val="0"/>
      <w:marRight w:val="0"/>
      <w:marTop w:val="0"/>
      <w:marBottom w:val="0"/>
      <w:divBdr>
        <w:top w:val="none" w:sz="0" w:space="0" w:color="auto"/>
        <w:left w:val="none" w:sz="0" w:space="0" w:color="auto"/>
        <w:bottom w:val="none" w:sz="0" w:space="0" w:color="auto"/>
        <w:right w:val="none" w:sz="0" w:space="0" w:color="auto"/>
      </w:divBdr>
    </w:div>
    <w:div w:id="1107970632">
      <w:bodyDiv w:val="1"/>
      <w:marLeft w:val="0"/>
      <w:marRight w:val="0"/>
      <w:marTop w:val="0"/>
      <w:marBottom w:val="0"/>
      <w:divBdr>
        <w:top w:val="none" w:sz="0" w:space="0" w:color="auto"/>
        <w:left w:val="none" w:sz="0" w:space="0" w:color="auto"/>
        <w:bottom w:val="none" w:sz="0" w:space="0" w:color="auto"/>
        <w:right w:val="none" w:sz="0" w:space="0" w:color="auto"/>
      </w:divBdr>
    </w:div>
    <w:div w:id="1344938254">
      <w:bodyDiv w:val="1"/>
      <w:marLeft w:val="0"/>
      <w:marRight w:val="0"/>
      <w:marTop w:val="0"/>
      <w:marBottom w:val="0"/>
      <w:divBdr>
        <w:top w:val="none" w:sz="0" w:space="0" w:color="auto"/>
        <w:left w:val="none" w:sz="0" w:space="0" w:color="auto"/>
        <w:bottom w:val="none" w:sz="0" w:space="0" w:color="auto"/>
        <w:right w:val="none" w:sz="0" w:space="0" w:color="auto"/>
      </w:divBdr>
    </w:div>
    <w:div w:id="1599363576">
      <w:bodyDiv w:val="1"/>
      <w:marLeft w:val="0"/>
      <w:marRight w:val="0"/>
      <w:marTop w:val="0"/>
      <w:marBottom w:val="0"/>
      <w:divBdr>
        <w:top w:val="none" w:sz="0" w:space="0" w:color="auto"/>
        <w:left w:val="none" w:sz="0" w:space="0" w:color="auto"/>
        <w:bottom w:val="none" w:sz="0" w:space="0" w:color="auto"/>
        <w:right w:val="none" w:sz="0" w:space="0" w:color="auto"/>
      </w:divBdr>
    </w:div>
    <w:div w:id="1819226502">
      <w:bodyDiv w:val="1"/>
      <w:marLeft w:val="0"/>
      <w:marRight w:val="0"/>
      <w:marTop w:val="0"/>
      <w:marBottom w:val="0"/>
      <w:divBdr>
        <w:top w:val="none" w:sz="0" w:space="0" w:color="auto"/>
        <w:left w:val="none" w:sz="0" w:space="0" w:color="auto"/>
        <w:bottom w:val="none" w:sz="0" w:space="0" w:color="auto"/>
        <w:right w:val="none" w:sz="0" w:space="0" w:color="auto"/>
      </w:divBdr>
    </w:div>
    <w:div w:id="204088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myintracomm.ec.europa.eu/budgweb/EN/leg/internal/Documents/2016-5-legislative-financial-statement-ann-en.docx" TargetMode="External"/><Relationship Id="rId27" Type="http://schemas.openxmlformats.org/officeDocument/2006/relationships/header" Target="header6.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0B0AC-03B6-4A47-A2F9-041C46CC9DCE}">
  <ds:schemaRefs>
    <ds:schemaRef ds:uri="http://schemas.microsoft.com/sharepoint/v3/contenttype/forms"/>
  </ds:schemaRefs>
</ds:datastoreItem>
</file>

<file path=customXml/itemProps2.xml><?xml version="1.0" encoding="utf-8"?>
<ds:datastoreItem xmlns:ds="http://schemas.openxmlformats.org/officeDocument/2006/customXml" ds:itemID="{5E7B865B-36F0-4138-B199-ECE1D0A637C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173920-bf43-43cc-9123-1897e847dfc2"/>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71AF0D82-652B-49F8-AE82-E378CACF6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AE0B0-F058-49FE-8663-1102E71390BC}">
  <ds:schemaRefs>
    <ds:schemaRef ds:uri="office.server.policy"/>
  </ds:schemaRefs>
</ds:datastoreItem>
</file>

<file path=customXml/itemProps5.xml><?xml version="1.0" encoding="utf-8"?>
<ds:datastoreItem xmlns:ds="http://schemas.openxmlformats.org/officeDocument/2006/customXml" ds:itemID="{01BE7125-0808-4D50-83E4-D2940266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15</Pages>
  <Words>2802</Words>
  <Characters>23987</Characters>
  <Application>Microsoft Office Word</Application>
  <DocSecurity>0</DocSecurity>
  <Lines>1199</Lines>
  <Paragraphs>382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2018-12-20T12:37:00Z</dcterms:created>
  <dcterms:modified xsi:type="dcterms:W3CDTF">2018-12-21T09:10:00Z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Green (DQC version 03)</vt:lpwstr>
  </property>
</Properties>
</file>