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391233A-3ADB-48C1-A308-A9D1F6DA6693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hija parti minn pakkett ta’ leġiżlazzjoni dwar it-trażmissjoni u l-iskambju obbligatorji ta’ informazzjoni dwar il-pagamenti relatati mal-VAT. Il-kuntest tal-pakkett sħiħ huwa spjegat b’mod komprensiv fil-memorandum ta’ spjegazzjoni tal-proposta għal Direttiva tal-Kunsill li temenda d-Direttiva 2006/112/KE fir-rigward tal-introduzzjoni ta’ ċerti rekwiżiti għall-fornituri ta’ servizzi ta’ pagament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għal emenda tar-Regolament (UE) Nru 904/2010 dwar il-kooperazzjoni amministrattiva u l-ġlieda kontra l-frodi fil-qasam tat-taxxa fuq il-valur miżjud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hija parti importanti mill-pakkett. Dan għaliex il-proposta tistabbilixxi regoli għall-Istati Membri biex dawn jiġbru b’mod armonizzat ir-rekords magħmula disponibbli elettronikament mill-fornituri tas-servizzi ta’ pagament skont l-Artikolu 243(b) tad-Direttiva tal-VAT. Barra minn hekk, il-proposta tistabbilixxi sistema elettronika ċentrali ġdida għall-ħażna tal-informazzjoni dwar il-pagament u għall-ipproċessar ulterjuri ta’ din l-informazzjoni minn uffiċjali ta’ kontra l-frodi fl-Istati Membri fil-qafas tal-Eurofisc. Il-Eurofisc huwa n-netwerk għall-iskambju multilaterali ta’ sinjali ta' twissija bikrija fil-ġlieda kontra l-frodi tal-VAT, stabbilit skont il-Kapitolu X tar-Regolament (UE) Nru 904/2010.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għal din l-inizjattiva hija l-Artikolu 113 tat-Trattat dwar il-Funzjonament tal-Unjoni Ewropea (it-TFUE). Dan l-Artikolu jipprevedi li l-Kunsill, li jaġixxi unanimament skond il-proċedura leġiżlattiva speċjali, għandu jadotta dispożizzjonijiet għall-armonizzazzjoni tar-regoli tal-Istati Membri fil-qasam tat-tassazzjoni indiretta sal-punt li din l-armonizzazzjoni tkun neċessarja sabiex tiżgura l-istabbiliment u l-funzjonament tas-suq uniku u tevita d-distorsjonijiet tal-kompetizzjoni.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l-inizjattiva hija konsistenti mal-prinċipju tas-sussidjarjetà, peress li l-problema ewlenija inkwistjoni, il-frodi tal-VAT fil-kummerċ elettroniku, hija komuni għall-Istati Membri kollha u hija aggravata mill-insuffiċjenza tal-għodod disponibbli għall-awtoritajiet tat-taxxa. L-Istati Membri waħedhom mhumiex kapaċi jiksbu mingħand partijiet terzi, bħalma huma l-fornituri tas-servizzi ta' pagament l-informazzjoni meħtieġa biex jiġu kkontrollati l-fornimenti transfruntiera ta’ oġġetti u servizzi tal-VAT, jiġi żgurat li r-regoli dwar il-VAT tal-kummerċ elettroniku huma applikati tajjeb u biex tiġi indirizzata l-frodi tal-VAT fil-kummerċ elettroniku.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B’mod partikolari, l-għan tal-iskambju ta’ informazzjoni dwar pagamenti transfruntiera sabiex tiġi miġġielda l-frodi tal-VAT fil-kummerċ elettroniku ma jistax jintlaħaq mill-Istati Membri waħedhom (peress li ma għandhomx il-bażi ġuridika biex jiġbru informazzjoni f’ġurisdizzjoni oħra) mhux bl-interkonnessjoni ta’ sistemi elettroniċi nazzjonali permezz ta’ interfaċċa elettronika. Fil-fatt, sistema bħal din ma tkunx kapaċi taggrega informazzjoni dwar il-pagamenti mingħand fornituri differenti tas-servizzi ta' pagament dwar pagamenti tal-istess prenditur u tirrikonoxxi rekords doppji tal-istess pagamenti. Sistema bħal din lanqas ma tkun tista’ tipprovdi ħarsa ġenerali sħiħa lejn il-pagamenti riċevuti mill-prendituri fl-Unjoni.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Sistema Ewropea ċentrali għall-ġbir u l-iskambju ta’ </w:t>
      </w:r>
      <w:r>
        <w:rPr>
          <w:i/>
          <w:noProof/>
        </w:rPr>
        <w:t>data</w:t>
      </w:r>
      <w:r>
        <w:rPr>
          <w:noProof/>
        </w:rPr>
        <w:t xml:space="preserve"> dwar il-pagamenti hija l-aktar mod effettiv biex l-awtoritajiet tat-taxxa jingħataw viżjoni kompluta biex jikkontrollaw il-konformità mar-regoli tal-VAT dwar il-kummerċ elettroniku u biex jiġġieldu kontra l-frodi tal-VAT. Kwalunkwe inizjattiva biex jiġu introdotti għodod ġodda għall-kooperazzjoni li jindirizzaw il-problema teħtieġ proposta mill-Kummissjoni għal emenda tar-Regolament tal-Kunsill (UE) Nru 904/2010.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L-inizjattiva ma tmurx lil hinn minn dak li huwa meħtieġ biex jintlaħaq l-għan tal-ġlieda kontra l-frodi tal-VAT fil-kummerċ elettroniku. B’mod partikolari, f'termini ta’ protezzjoni tad-data, l-ipproċessar ta’ informazzjoni dwar il-pagamenti huwa konformi mal-prinċipji tan-neċessità (l-informazzjoni meħtieġa biex jinkiseb l-għan tal-ġlieda kontra l-frodi tal-VAT fil-kummerċ elettroniku biss tiġi pproċessata) u tal-proporzjonalità (it-tip ta’ informazzjoni u l-mod kif inhi pproċessata mill-esperti ta’ kontra l-frodi tal-awtoritajiet tat-taxxa ma jaqbżux il-limiti ta’ x’inhu xieraq biex jintlaħaq l-għan tal-ġlieda kontra l-frodi tal-VAT fil-kummerċ elettroniku), u huwa konformi mar-Regolament Ġeneral dwar il-Protezzjoni tad-Data</w:t>
      </w:r>
      <w:r>
        <w:rPr>
          <w:rStyle w:val="FootnoteReference"/>
          <w:noProof/>
        </w:rPr>
        <w:footnoteReference w:id="4"/>
      </w:r>
      <w:r>
        <w:rPr>
          <w:noProof/>
        </w:rPr>
        <w:t>, mar-Regolament (UE) 2018/1725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mal-Karta tad-Drittijiet Fundamentali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Is-salvagwardji stabbiliti skont ir-Regolament (UE) Nru 904/2010 u l-qafas Ewropew dwar il-protezzjoni tad-</w:t>
      </w:r>
      <w:r>
        <w:rPr>
          <w:i/>
          <w:noProof/>
        </w:rPr>
        <w:t>data</w:t>
      </w:r>
      <w:r>
        <w:rPr>
          <w:noProof/>
        </w:rPr>
        <w:t xml:space="preserve"> se japplikaw għall-iskambju ta’ informazzjoni dwar il-pagamenti taħt din il-proposta. Għall-evalwazzjoni tal-prinċipji tan-neċessità u tal-proporzjonalità, għandu jkun innotat l-ewwel nett li l-ġbir, l-iskambju u l-analiżi tal-informazzjoni dwar il-VAT għandhom bħala għan il-ġlieda kontra l-frodi tal-VAT fil-kummerċ elettroniku. Dan huwa ddokumentat tajjeb mill-konsultazzjoni mal-partijiet ikkonċernati, fejn l-awtoritajiet tat-taxxa saħqu fuq il-ħtieġa ta’ informazzjoni dwar il-pagamenti biex il-ġlieda kontra l-frodi tal-VAT fil-kummerċ elettroniku tkun waħda effettiva. Dawk li wieġbu għall-konsultazzjonijiet pubbliċi (l-individwi u n-negozji) ikkonfermaw ukoll li l-informazzjoni dwar il-pagamenti hija meħtieġa biex tgħin lill-awtoritajiet tat-taxxa jiġġieldu l-frodi tal-VAT fil-kummerċ elettroniku (sakemm l-informazzjoni dwar il-konsumaturi tinżamm kunfidenzjali). Barra minn hekk, l-informazzjoni relatata mal-frodi tal-VAT potenzjali fil-kummerċ elettroniku biss tintbagħat lill-awtoritajiet tat-taxxa u tiġi skambjata bejniethom. Dan ifisser li tiġi skambjata biss l-informazzjoni meħtieġa għall-identifikazzjoni ta’ frodaturi potenzjali stabbiliti barra l-Istat Membru ta’ konsum (jiġifieri mhi se tiġi skambjata l-ebda informazzjoni dwar pagamenti domestiċi). Din l-informazzjoni tkun tinkludi n-numru ta’ tranżazzjonijiet tal-pagamenti magħmula, id-data tat-tranżazzjonijiet tal-pagamenti, u l-informazzjoni dwar fejn — fil-prinċipju — għandu jkun il-post tat-tassazzjoni. Mhux neċessarju li tiġi skambjata informazzjoni li tidentifika persuni li jagħmlu pagamenti online (jiġifieri l-konsumaturi), apparti mill-informazzjoni dwar l-oriġini tal-pagament (eż. il-post tal-bank użat biex sar il-pagament, li huwa meħtieġ biex jiġi stabbilit il-post tat-tassazzjoni). Għaldaqstant, ma jkunx possibbli li tintuża informazzjoni dwar il-pagamenti biex jiġu mmonitorjati d-drawwiet ta’ xiri tal-konsumaturi.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Tiġi stabbilita sistema elettronika ċentrali ta’ informazzjoni dwar il-pagamenti (is-“CESOP”). Din tippermetti lill-Istati Membri jibagħtu informazzjoni dwar il-pagamenti li jaħżnu fil-livell nazzjonali, biex tgħin fil-ġlieda effettiva kontra l-frodi tal-VAT fil-kummerċ elettroniku. Is-CESOP tkun tista’ tiġbor l-informazzjoni kollha dwar il-pagamenti tal-VAT skont kull prenditur mibgħuta mill-Istati Membri, u tippermetti l-ħolqien ta’ ħarsa ġenerali sħiħa tal-pagamenti riċevuti mill-prendituri (jiġifieri n-negozji) mingħand il-pagaturi (jiġifieri l-konsumaturi li jixtru online) fl-UE. Is-CESOP tirrikonoxxi kwalunkwe reġistrazzjoni multipla tal-istess tranżazzjoni ta’ pagament, tnaddaf l-informazzjoni riċevuta mill-Istati Membri (jiġifieri tneħħi d-duplikati, tikkoreġi jew tirrapporta l-iżbalji, eċċ.), tippermetti lill-uffiċjali ta’ kollegament tal-Eurofisc jikkontroverifikaw id-</w:t>
      </w:r>
      <w:r>
        <w:rPr>
          <w:i/>
          <w:noProof/>
        </w:rPr>
        <w:t>data</w:t>
      </w:r>
      <w:r>
        <w:rPr>
          <w:noProof/>
        </w:rPr>
        <w:t xml:space="preserve"> dwar il-pagamenti mal-informazzjoni dwar il-VAT skambjata skont ir-Regolament (UE) Nru 904/2010, u żżomm l-informazzjoni biss għall-perjodu meħtieġ biex l-awtoritajiet tat-taxxa jwettqu kontrolli tal-VAT. Is-CESOP tkun aċċessibbli biss għall-uffiċjali ta’ kollegament tal-Eurofisc mill-Istati Membri, u l-uniku skop li għalih is-CESOP tippermetti inkjesti jkun ta’ investigazzjonijiet dwar frodi tal-VAT suspettata jew misjuba.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F’termini ta’ ħażna, is-CESOP tiżgura l-livell xieraq ta’ sigurtà b’konformità mar-regoli li jirregolaw l-ipproċessar ta’ informazzjoni personali mill-Istituzzjonijiet tal-Unjoni.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L-iskambju ta’ informazzjoni bejn l-awtoritajiet tat-taxxa jseħħ esklussivament fin-netwerk tal-Eurofisc. Is-sistema elettronika ċentrali se tkun aċċessibbli biss għall-uffiċjali ta' kollegament tal-Eurofisc. L-aċċess għas-CESOP ikun irregolat bl-użu ta’ identifikatur tal-utent, u s-sistema żżomm traċċa ta’ kwalunkwe aċċess. Barra minn hekk, l-informazzjoni tinżamm fuq is-CESOP għal sentejn biss biex l-Istati Membri jkollhom perjodu raġonevoli ta’ żmien biex iwettqu l-awditi tal-VAT. Wara sentejn, l-informazzjoni titħassar.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Is-sistema mhux se jkollha interfaċċa mal-internet, peress li l-fornituri tas-servizzi ta' pagament se jgħaddu l-informazzjoni tagħhom lill-awtoritajiet nazzjonali. L-iskambji ta’ informazzjoni fost l-awtoritajiet tat-taxxa nazzjonali jseħħ permezz ta’ netwerk komuni ta' komunikazzjoni sigur, li jappoġġa kwalunkwe skambju ta’ informazzjoni bejn l-awtoritajiet tat-taxxa u tad-dwana, u jipprovdi l-karatteristiċi ta’ sigurtà kollha meħtieġa (inkluż il-kriptaġġ tal-informazzjoni).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Il-ġlieda kontra l-frodi tal-VAT hija objettiv importanti ta’ interess pubbliku ġenerali tal-Unjoni u tal-Istati Membri, kif imsemmi fl-Artikolu 23(1)(e) tar-Regolament Ġenerali dwar il-Protezzjoni tad-Data u fl-Artikolu 20(1)(b) tar-Regolament (UE) 2018/1725. Sabiex jiġi salvagwardjat dak l-objettiv importanti u l-effettività tal-awtoritajiet tat-taxxa fl-insegwiment ta’ dak l-objettiv, ir-restrizzjonijiet stipulati fl-Artikolu 55(5) tar-Regolament (UE) Nru 904/2010 se japplikaw għas-CESOP.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Peress li din il-proposta temenda r-Regolament (UE) Nru 904/2010, irid ikun regolament ukoll.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 TAL-IMPATT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appoġġata minn evalwazzjoni tar-Regolament (UE) Nru 904/2010, b’mod partikolari t-taqsimiet tagħha li jiffukaw fuq l-użu tagħha fil-qasam tal-frodi tal-VAT fil-kummerċ elettroniku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Ir-riżultat tal-evalwazzjoni </w:t>
      </w:r>
      <w:r>
        <w:rPr>
          <w:i/>
          <w:noProof/>
        </w:rPr>
        <w:t>ex post</w:t>
      </w:r>
      <w:r>
        <w:rPr>
          <w:noProof/>
        </w:rPr>
        <w:t xml:space="preserve"> huwa spjegat fil-memorandum ta’ spjegazzjoni tal-proposta għall-emenda tad-Direttiva tal-VAT.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L-implikazzjonijiet baġitarji huma spjegati fid-dettall fil-memorandum ta’ spjegazzjoni tal-proposta għal Direttiva tal-Kunsill li temenda d-Direttiva 2006/112/KE fir-rigward tal-introduzzjoni ta’ ċerti rekwiżiti għall-fornituri ta’ servizzi ta’ pagament.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Ir-rapporti tal-Eurofisc u l-istatistika annwali tal-Istati Membri huma ppreżentati u diskussi fil-Kumitat Permanenti dwar il-Kooperazzjoni Amministrattiva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skont l-Artikolu 49 tar-Regolament (UE) Nru 904/2010. Il-Kumitat Permanenti huwa ppresedut mill-Kummissjoni Ewropea. Barra minn hekk, il-Kummissjoni se tipprova tikseb kwalunkwe informazzjoni rilevanti dwar il-funzjonament tas-sistema l-ġdida u dwar il-frodi mingħand l-Istati Membri. Meta jkun rilevanti, se tiġi żgurata koordinazzjoni fil-Kumitat Fiscalis (dan il-kumitat għadu ma twaqqafx taħt il-programm Fiscalis il-ġdid</w:t>
      </w:r>
      <w:r>
        <w:rPr>
          <w:rStyle w:val="FootnoteReference"/>
          <w:noProof/>
        </w:rPr>
        <w:footnoteReference w:id="9"/>
      </w:r>
      <w:r>
        <w:rPr>
          <w:noProof/>
        </w:rPr>
        <w:t>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 (UE) Nru 904/2010 u d-Direttiva 2006/112/KE diġà jistipulaw regoli għall-evalwazzjonijiet u r-rapportar mill-Kummissjoni, minn żmien għal żmien. Għaldaqstant, b’konformità ma’ dawn l-obbligi eżistenti, kull ħames snin, il-Kummissjoni se tirrapporta lill-Parlament Ewropew u lill-Kunsill dwar il-funzjonament tal-għodda ta’ kooperazzjoni amministrattiva l-ġdida, skont l-Artikolu 59 tar-Regolament (UE) Nru 904/2010.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kull erba’ snin il-Kummissjoni se tirrapporta lill-Parlament Ewropew u lill-Kunsill dwar it-tħaddim tal-obbligi l-ġodda tal-VAT imposti fuq il-fornituri tas-servizzi ta' pagament skont l-Artikolu 404 tad-Direttiva 2006/112/KE. Il-Kummissjoni se tiżgura li ż-żewġ rapporti jkunu kkoordinati u bbażati fuq l-istess sejbiet.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rPr>
          <w:rFonts w:eastAsia="Arial Unicode MS"/>
          <w:noProof/>
        </w:rPr>
      </w:pPr>
      <w:r>
        <w:rPr>
          <w:noProof/>
        </w:rPr>
        <w:t>Fl-Artikolu 2, ġew miżjuda definizzjonijiet ġodda li jallinjaw l-iskambju ta’ informazzjoni dwar il-pagamenti mat-terminoloġija użata fid-Direttiva (UE) 2015/2366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(il-PSD2) dwar is-servizzi ta’ pagament fis-suq intern.</w:t>
      </w:r>
    </w:p>
    <w:p>
      <w:pPr>
        <w:rPr>
          <w:rFonts w:eastAsia="Arial Unicode MS"/>
          <w:noProof/>
        </w:rPr>
      </w:pPr>
      <w:r>
        <w:rPr>
          <w:noProof/>
        </w:rPr>
        <w:t>It-Taqsima 2 se tiġi miżjuda mal-Kapitolu V sabiex tiġi introdotta sistema elettronika ċentrali ġdida ta’ informazzjoni dwar il-pagamenti (is-CESOP) li se tiġi żviluppata mill-Kummissjoni. Barra minn hekk, se jiżdied l-obbligu għall-Istati Membri biex dawn jiġbru r-rekords magħmula disponibbli elettronikament mill-fornituri tas-servizzi ta’ pagament skont l-Artikolu 243(b) tad-Direttiva tal-VAT. Sabiex il-piż amministrattiv tal-fornituri tas-servizzi ta' pagament jinżamm baxx kemm jista’ jkun, skont l-Artikolu 24b(2)(b) se jkollu jiġi adottat format elettroniku komuni għall-ġbir ta’ dawn ir-rekords permezz ta’ atti ta’ implimentazzjoni. L-awtoritajiet kompetenti (skont it-tifsira tar-Regolament (UE) Nru 904/2010) tal-Istati Membri se jkollhom jibagħtu lis-CESOP l-informazzjoni li jiġbru mingħand il-fornituri tas-servizzi ta' pagament stabbiliti fl-Istat Membru tagħhom kull tliet xhur. L-Istati Membri jistgħu jaħtru kwalunkwe dipartiment nazzjonali tal-awtorità tat-taxxa sabiex jiġbor l-informazzjoni dwar il-pagamenti mingħand il-fornituri tas-servizzi ta' pagament skont l-Artikolu 24b(1) u (2) propost. Madankollu, l-awtorità kompetenti biss, skont it-tifsira tar-Regolament (UE) Nru 904/2010 tista’ tibgħat l-informazzjoni lis-CESOP (l-Artikolu 24b(3)).</w:t>
      </w:r>
    </w:p>
    <w:p>
      <w:pPr>
        <w:rPr>
          <w:rFonts w:eastAsia="Arial Unicode MS"/>
          <w:noProof/>
        </w:rPr>
      </w:pPr>
      <w:r>
        <w:rPr>
          <w:noProof/>
        </w:rPr>
        <w:t>Is-CESOP se tikkoreġi żbalji formali fl-informazzjoni trażmessa (tindif) u tiġbor l-informazzjoni ġenerali dwar il-pagamenti trasferita mill-awtoritajiet kompetenti tal-Istati Membri għal kull prenditur (riċevitur tal-fondi). Imbagħad is-CESOP se tanalizza l-informazzjoni (eż. tqabbel l-informazzjoni dwar il-pagamenti mal-informazzjoni dwar il-VAT disponibbli għall-uffiċjali tal-Eurofisc) u se tippermetti lill-uffiċjali ta’ kollegament tal-Eurofisc tal-Istati Membri jkollhom ħarsa ġenerali kompluta tal-pagamenti li jirċievu prendituri partikolari. B’mod partikolari l-uffiċjali ta’ kollegament tal-Eurofisc se jkunu jistgħu jaraw il-pagamenti riċevuti minn prenditur partikolari jaqbżux l-EUR 10 000 fl-Istati Membri kollha. Il-limitu massimu ta’ EUR 10 000 fuq il-provvisti intra-UE ġie introdott mid-Direttiva dwar il-VAT fil-kummerċ elettroniku mill-2021</w:t>
      </w:r>
      <w:r>
        <w:rPr>
          <w:rStyle w:val="FootnoteReference"/>
          <w:noProof/>
        </w:rPr>
        <w:footnoteReference w:id="11"/>
      </w:r>
      <w:r>
        <w:rPr>
          <w:noProof/>
        </w:rPr>
        <w:t>. Meta jinqabeż il-fatturat intra-UE annwali totali ta’ fornitur partikolari, il-post ta’ forniment ikun fl-Istati Membri ta’ konsum.</w:t>
      </w:r>
    </w:p>
    <w:p>
      <w:pPr>
        <w:rPr>
          <w:rFonts w:eastAsia="Arial Unicode MS"/>
          <w:noProof/>
        </w:rPr>
      </w:pPr>
      <w:r>
        <w:rPr>
          <w:noProof/>
        </w:rPr>
        <w:t>Il-perjodu ta’ ħażna tal-informazzjoni fis-CESOP se jkun ta’ sentejn. Dan il-perjodu ta’ żamma huwa proporzjonat, meta wieħed iqis il-bilanċ ġust bejn il-ħtieġa tal-awtoritajiet tat-taxxa li jiġġieldu kontra l-frodi tal-VAT fil-kummerċ elettroniku, il-volum għoli ta’ informazzjoni li trid tinħażen fis-CESOP u s-sensittività tal-informazzjoni dwar il-pagamenti maħżuna fis-sistema.</w:t>
      </w:r>
    </w:p>
    <w:p>
      <w:pPr>
        <w:rPr>
          <w:rFonts w:eastAsia="Arial Unicode MS"/>
          <w:noProof/>
        </w:rPr>
      </w:pPr>
      <w:r>
        <w:rPr>
          <w:noProof/>
        </w:rPr>
        <w:t>L-informazzjoni dwar il-pagamenti li jkunu deħlin tippermetti lill-Istati Membri jidentifikaw lil dawk il-fornituri domestiċi li jkunu qed ibiegħu oġġetti u servizzi barra l-pajjiż mingħajr ma jissodisfaw l-obbligi tal-VAT tagħhom. L-informazzjoni dwar il-pagamenti li jkunu ħerġin se tippermetti l-identifikazzjoni ta’ fornituri stabbiliti barra l-pajjiż (jew fi Stat Membru ieħor jew barra mill-Unjoni) li għandhom iħallsu l-VAT fi Stat Membru partikolari.</w:t>
      </w:r>
    </w:p>
    <w:p>
      <w:pPr>
        <w:rPr>
          <w:rFonts w:eastAsia="Arial Unicode MS"/>
          <w:noProof/>
        </w:rPr>
      </w:pPr>
      <w:r>
        <w:rPr>
          <w:noProof/>
        </w:rPr>
        <w:t>Se jkunu meħtieġa tal-inqas tliet snin biex titwaqqaf is-CESOP. Matul dan iż-żmien, il-Kummissjoni u l-Istati Membri fil-Kumitat Permanenti dwar il-Kooperazzjoni Amministrattiva se jkollhom jaħdmu fuq għadd ta’ dettalji tekniċi elenkati fl-Artikolu 24e. Dan l-Artikolu jagħti lill-Kummissjoni s-setgħa li tadotta Regolament ta' implimentazzjoni li jkun jinkludi miżuri tekniċi għall-istabbiliment, iż-żamma u l-ġestjoni tas-sistema, fost l-oħrajn. Għall-fini ta’ dan l-artikolu, iż-żamma tas-sistema għandha tinftiehem bħala li tirrigwarda r-rekwiżiti tekniċi u ta’ prestazzjoni (rilevanti l-aktar għal finijiet ta’ IT) biex titwaqqaf is-sistema, biex jiġi żgurat ix-xogħol ta’ manutenzjoni, biex jitwaqqfu standards għall-interoperabbiltà mal-Istati Membri u miżuri simili oħrajn. Il-ġestjoni hija proċess ta’ negozju relatat mal-monitoraġġ tal-prestazzjoni u taċ-ċiklu tal-ħajja tas-sistema. Pereżempju, il-Kummissjoni tista’ tiddeċiedi li taġġorna s-sistema, iċċaqlaqha, tiġġenera rapporti ta’ prestazzjoni, tikkontrolla l-aċċessi, eċċ.</w:t>
      </w:r>
    </w:p>
    <w:p>
      <w:pPr>
        <w:rPr>
          <w:rFonts w:eastAsia="Arial Unicode MS"/>
          <w:noProof/>
        </w:rPr>
      </w:pPr>
      <w:r>
        <w:rPr>
          <w:noProof/>
        </w:rPr>
        <w:t>Il-Kummissjoni tħallas l-ispejjeż għall-iżvilupp u ż-żamma tas-CESOP kif ukoll l-ispejjeż taż-żamma tal-konnessjoni bejn is-CESOP u s-sistemi nazzjonali tal-Istati Membri, filwaqt li l-Istati Membri jħallsu l-ispejjeż tal-iżviluppi kollha meħtieġa għas-sistema elettronika nazzjonali tagħhom. Aktar dettalji jinsabu fl-iskeda finanzjarja u fit-Taqsima 4 tal-memorandum ta’ spjegazzjoni tal-proposta għal Direttiva tal-Kunsill li temenda d-Direttiva 2006/112/KE fir-rigward ta’ ċerti obbligi ta’ taxxa fuq il-valur miżjud għal ċerti persuni taxxabbli, bħala parti minn dan il-pakkett.</w:t>
      </w:r>
    </w:p>
    <w:p>
      <w:pPr>
        <w:rPr>
          <w:rFonts w:eastAsia="Arial Unicode MS"/>
          <w:noProof/>
        </w:rPr>
      </w:pPr>
      <w:r>
        <w:rPr>
          <w:noProof/>
        </w:rPr>
        <w:t>Minħabba dawn l-investimenti u l-ispejjeż operattivi, u peress li s-sistema se tintuża minn uffiċjali ta’ kollegament tal-Eurofisc, qed jiddaħħal subparagrafu ieħor fl-Artikolu 37 li jintroduċi obbligu ġdid ta’ rapportar fir-rapport annwali tal-Eurofisc għall-Istati Membri u għall-Kummissjoni sabiex jiġi evalwat jekk is-sistema twassalx għal aktar VAT ivvalutata u miġbura jew għal kontrolli speċifiċi tal-VAT.</w:t>
      </w:r>
    </w:p>
    <w:p>
      <w:pPr>
        <w:rPr>
          <w:rFonts w:eastAsia="Arial Unicode MS"/>
          <w:noProof/>
        </w:rPr>
      </w:pPr>
      <w:r>
        <w:rPr>
          <w:noProof/>
        </w:rPr>
        <w:t>Il-paragrafu 1a ġdid tal-Artikolu 55 jiċċara li l-informazzjoni tal-pagamenti ma tistax tintuża mill-Istati Membri sabiex jistabbilixxu l-bażi tal-valutazzjoni, jiġbru l-VAT, jew jagħmlu kontrolli tal-VAT amministrattivi sakemm l-informazzjoni tal-pagamenti ma tkunx ġiet kontroverifikata ma’ informazzjoni oħra għad-dispożizzjoni tal-awtoritajiet tat-taxxa. Finalment, ir-restrizzjonijiet għall-obbligazzjonijiet u d-drittijiet tal-protezzjoni tad-</w:t>
      </w:r>
      <w:r>
        <w:rPr>
          <w:i/>
          <w:noProof/>
        </w:rPr>
        <w:t>data</w:t>
      </w:r>
      <w:r>
        <w:rPr>
          <w:noProof/>
        </w:rPr>
        <w:t xml:space="preserve"> skont l-Artikolu 55(5) tar-Regolament (UE) Nru 904/2010 se japplikaw għas-CESOP</w:t>
      </w:r>
    </w:p>
    <w:p>
      <w:pPr>
        <w:rPr>
          <w:rFonts w:eastAsia="Arial Unicode MS"/>
          <w:noProof/>
        </w:rPr>
      </w:pPr>
      <w:r>
        <w:rPr>
          <w:noProof/>
        </w:rPr>
        <w:t>Dawn ir-restrizzjonijiet huma meħtieġa sabiex jiġi evitat sforz sproporzjonat mill-Istati Membri u l-Kummissjoni li jagħmel impossibbli l-kompitu legali (i) tal-awtoritajiet tat-taxxa li janalizzaw u jipproċessaw l-informazzjoni sabiex jiġġieldu l-frodi tal-VAT fil-kummerċ elettroniku, u (ii) tal-Kummissjoni li tmexxi s-sistema.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2018/0413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jemenda r-Regolament (UE) Nru 904/2010 dwar miżuri biex tissaħħaħ il-kooperazzjoni amministrattiva għall-ġlieda kontra l-frodi tal-VAT 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113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1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 l-opinjoni tal-Kumitat Ekonomiku u Soċjali Ewropew</w:t>
      </w:r>
      <w:r>
        <w:rPr>
          <w:rStyle w:val="FootnoteReference"/>
          <w:noProof/>
        </w:rPr>
        <w:footnoteReference w:id="13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tal-Kunsill (UE) Nru 904/2010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</w:t>
      </w:r>
      <w:r>
        <w:rPr>
          <w:i/>
          <w:noProof/>
        </w:rPr>
        <w:t>inter alia</w:t>
      </w:r>
      <w:r>
        <w:rPr>
          <w:noProof/>
        </w:rPr>
        <w:t xml:space="preserve"> jistabbilixxi regoli dwar il-ħażna u l-iskambju ta’ informazzjoni speċifika permezz ta’ mezzi elettroniċi.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L-iżvilupp tal-kummerċ elettroniku jiffaċilita l-provvista transfruntiera ta’ oġġetti u servizzi lil konsumaturi finali fl-Istati Membri. F’dan il-kuntest provvista transfruntiera tirreferi għal sitwazzjonijiet fejn il-VAT hija dovuta fi Stat Membru u l-fornitur huwa stabbilit fi Stat Membru ieħor, jew f’pajjiż terz jew territorju terz. Madankollu, negozji frawdolenti, stabbiliti kemm fi Stat Membru jew f’pajjiż terzi jew f’territorju terz, jisfruttaw l-opportunitajiet tal-kummerċ elettroniku biex jiksbu vantaġġi tas-suq inġusti billi jaħarbu mill-obbligi tal-VAT tagħhom. Fejn japplika l-prinċipju tat-tassazzjoni fid-destinazzjoni, peress li l-konsumaturi ma għandhom l-ebda obbligu ta’ kontabilità. l-Istati Membri tal-konsum jeħtieġu għodod xierqa sabiex jidentifikaw u jikkontrollaw lil dawn in-negozji frawdolenti.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Il-kooperazzjoni tradizzjonali biex tingħeleb il-frodi tal-VAT issir bejn l-awtoritajiet tat-taxxa tal-Istati Membri u hija bbażata fuq ir-rekords tan-negozji direttament involuti fit-tranżazzjoni taxxabbli. Fil-provvisti transfruntiera min-negozju lill-konsumatur, li huma tipiċi f'dan il-qasam ta’ kummerċ elettroniku, din l-informazzjoni tista’ ma tkunx direttament disponibbli u għalhekk l-awtoritajiet tat-taxxa jenħtieġu għodod ġodda sabiex jindirizzaw b’mod effettiv il-frodi tal-VAT fil-kummerċ elettroniku.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Fil-maġġoranza tax-xiri transfruntier li jsir online mill-konsumaturi Ewropej, il-pagamenti jsiru permezz ta’ fornituri tas-servizzi ta’ pagament. Biex ikun jista’ jagħmel it-tranżazzjoni ta’ pagament, fornitur tas-servizzi ta’ pagament ikollu informazzjoni speċifika sabiex jidentifika lir-riċevitur jew il-prenditur ta’ dak il-pagament transfruntier flimkien mad-dettalji tal-ammont u d-data tat-tranżazzjoni tal-pagament u l-Istat Membru minn fejn oriġina l-pagament. Din l-informazzjoni hija meħtieġa biex l-awtoritajiet tat-taxxa jkunu jistgħu jwettqu l-kompiti bażiċi tagħhom biex jidentifikaw negozji frawdolenti u biex jiddeterminaw l-obbligazzjonijiet tal-VAT b’rabta ma’ fornimenti transfruntiera minn negozji lill-konsumaturi. Għaldaqstant huwa meħtieġ u proporzjonat li l-informazzjoni rilevanti dwar il-VAT, miżmuma mill-fornitur tas-servizzi ta’ pagament, titqiegħed għad-dispożizzjoni tal-awtoritajiet tat-taxxa tal-Istati Membri u li l-Istati Membri jiskambjaw din l-informazzjoni sabiex jidentifikaw u jiġġieldu l-frodi tal-VAT fil-kummerċ elettroniku.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Għaldaqstant, hija miżura meħtieġa u propozjonata li l-awtoritajiet tat-taxxa jingħataw l-għodod sabiex jaċċessaw u jiskambjaw din l-informazzjoni rilevanti dwar il-VAT b’rabta mal-pagamenti transfruntiera, sabiex jiġġieldu b’mod effettiv il-frodi tal-VAT fil-kummerċ elettroniku.  Dawn l-għodod huma essenzjali peress li l-awtoritajiet tat-taxxa jeħtieġu din l-informazzjoni għall-finijiet ta’ kontroll tal-VAT, biex jipproteġu d-dħul pubbliku iżda wkoll lin-negozji leġittimi fl-Istati Membri li min-naħa tagħhom jipproteġu l-impjiegi u liċ-ċittadini Ewropej.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Huwa importanti li l-ipproċessar u l-iskambju ta’ informazzjoni bejn l-Istati Membri, relatati ma’ tranżazzjonijiet ta’ pagamenti, jenħtieġ li jkunu proporzjonati għall-għan tal-ġlieda kontra l-frodi tal-VAT fil-kummerċ elettroniku. Għaldaqstant, jenħtieġ li l-awtoritajiet tat-taxxa tal-Istati Membri ma jiġbrux u ma jiskambjawx bejniethom informazzjoni dwar il-konsumaturi jew il-pagaturi li x’aktarx ma tkunx relatata ma’ attivitajiet ekonomiċi.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L-obbligi taż-żamma ta’ reġistri tal-fornituri ta’ servizzi ta’ pagament fid-Direttiva 2006/112/KE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jeżiġu li l-awtoritajiet kompetenti nazzjonali jiġbru, jiskambjaw u janalizzaw l-informazzjoni relatata mat-tranżazzjonijiet tal-pagamenti.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Sistema ta’ informazzjoni elettronika ċentrali “CESOP” fejn l-Istati Membri jittrażmettu informazzjoni dwar il-pagamenti li huma jaħżnu fil-livell nazzjonali, tilħaq l-għan tal-ġlieda kontra l-frodi tal-VAT fil-kummerċ elettroniku b’mod aktar effettiv. Jenħtieġ li din is-sistema tiġbor, fir-rigward ta’ prendituri individwali, l-informazzjoni kollha rilevanti dwar il-VAT rigward it-tranżazzjonijiet ta’ pagamenti trażmessi mill-Istati Membri u jenħtieġ li tipprovdi ħarsa ġenerali sħiħa tal-pagamenti li jirċievu l-prendituri mingħand pagaturi li jinsabu fl-Istati Membri. Barra minn hekk, din is-sistema ta’ informazzjoni jenħtieġ li tirrikonoxxi rekords multipli mill-istess tranżazzjonijiet ta’ pagamenti, tnaddaf l-informazzjoni riċevuta mingħand l-Istati Membri (eż. tneħħi l-informazzjoni doppja, tikkoreġi l-iżbalji fid-</w:t>
      </w:r>
      <w:r>
        <w:rPr>
          <w:i/>
          <w:noProof/>
        </w:rPr>
        <w:t>data</w:t>
      </w:r>
      <w:r>
        <w:rPr>
          <w:noProof/>
        </w:rPr>
        <w:t>, eċċ.) u tippermetti lill-uffiċjali ta’ kollegament tal-Eurofisc tal-Istati Membri jikkontroverifikaw id-</w:t>
      </w:r>
      <w:r>
        <w:rPr>
          <w:i/>
          <w:noProof/>
        </w:rPr>
        <w:t>data</w:t>
      </w:r>
      <w:r>
        <w:rPr>
          <w:noProof/>
        </w:rPr>
        <w:t xml:space="preserve"> dwar il-pagamenti mal-informazzjoni li jkollhom dwar il-VAT u jwettqu inkjesti għall-finijiet ta’ investigazzjoni ta’ suspetti ta’ frodi tal-VAT jew ta’ identifikazzjoni ta’ frodi tal-VAT.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It-tassazzjoni hija għan importanti ta’ interess pubbliku ġenerali tal-Unjoni u tal-Istati Membri u dan ġie rikonoxxut b’rabta mar-restrizzjonijiet li jistgħu jkunu imposti fuq l-obbligi u d-drittijiet skont ir-Regolament (UE) 2016/679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u fir-rigward tal-protezzjoni tal-informazzjoni skont il-Regolament (UE) 2018/1725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>. Il-limitazzjonijiet b’rabta mad-drittijiet tal-protezzjoni tad-</w:t>
      </w:r>
      <w:r>
        <w:rPr>
          <w:i/>
          <w:noProof/>
        </w:rPr>
        <w:t>data</w:t>
      </w:r>
      <w:r>
        <w:rPr>
          <w:noProof/>
        </w:rPr>
        <w:t xml:space="preserve"> huma meħtieġa minħabba n-natura u l-volum ta’ dik l-informazzjoni li toriġina mingħand il-fornituri tas-servizzi ta’ pagament u jenħtieġ li jkunu bbażati fuq il-kundizzjonijiet speċifiċi u definiti minn qabel u d-dettalji stipulati fl-Artikoli 243b sa 243d tad-Direttiva 2006/112/KE.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Għaldaqstant, hemm bżonn li jiġu applikati restrizzjonijiet għad-drittijiet tas-suġġett tad-</w:t>
      </w:r>
      <w:r>
        <w:rPr>
          <w:i/>
          <w:noProof/>
        </w:rPr>
        <w:t>data</w:t>
      </w:r>
      <w:r>
        <w:rPr>
          <w:noProof/>
        </w:rPr>
        <w:t xml:space="preserve"> skont l-Artikolu 55(5) tar-Regolament (UE) Nru 904/2010. Fil-fatt, l-applikazzjoni sħiħa tad-drittijiet u l-obbligi tas-suġġetti tad-</w:t>
      </w:r>
      <w:r>
        <w:rPr>
          <w:i/>
          <w:noProof/>
        </w:rPr>
        <w:t>data</w:t>
      </w:r>
      <w:r>
        <w:rPr>
          <w:noProof/>
        </w:rPr>
        <w:t xml:space="preserve"> timmina serjament l-effettività tal-ġlieda kontra l-frodi tal-VAT fil-kummerċ elettroniku u tista’ tippermetti lis-suġġetti tad-</w:t>
      </w:r>
      <w:r>
        <w:rPr>
          <w:i/>
          <w:noProof/>
        </w:rPr>
        <w:t>data</w:t>
      </w:r>
      <w:r>
        <w:rPr>
          <w:noProof/>
        </w:rPr>
        <w:t xml:space="preserve"> jostakolaw l-analiżi u l-investigazzjonijiet li jkunu għaddejja minħabba l-volum enormi ta’ informazzjoni mibgħuta mill-fornituri tas-servizzi ta’ pagament u l-possibbiltà tal-proliferazzjoni ta’ talbiet mingħand is-suġġetti tad-</w:t>
      </w:r>
      <w:r>
        <w:rPr>
          <w:i/>
          <w:noProof/>
        </w:rPr>
        <w:t>data</w:t>
      </w:r>
      <w:r>
        <w:rPr>
          <w:noProof/>
        </w:rPr>
        <w:t xml:space="preserve"> lill-Istati Membri, lill-Kummissjoni Ewropea jew lit-tnejn li huma. Dan jimpedixxi l-effettività tas-sistema u l-kapaċità tal-awtoritajiet tat-taxxa li jsegwu l-għan ta’ dan ir-Regolament billi jipperikola l-inkjesti, l-analiżijiet, l-investigazzjonijiet u l-proċeduri mwettqa skont dan ir-Regolament. Għaldaqstant, l-għan tal-ġlieda kontra l-frodi tal-VAT ma jistax jintlaħaq b’mezzi oħrajn inqas restrittivi u effettivi daqs dawn. Barra minn hekk, dawn ir-restrizzjonijiet jirrispettaw is-sostanza tad-drittijiet fundamentali u l-libertajiet u huma miżuri neċessarji u proporzjonati f’soċjetà demokratika.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L-iskambju ta’ </w:t>
      </w:r>
      <w:r>
        <w:rPr>
          <w:i/>
          <w:noProof/>
        </w:rPr>
        <w:t>data</w:t>
      </w:r>
      <w:r>
        <w:rPr>
          <w:noProof/>
        </w:rPr>
        <w:t xml:space="preserve"> dwar pagamenti bejn l-awtoritajiet tat-taxxa huwa kruċjali għall-ġlieda effettiva kontra l-frodi. L-uffiċjali ta’ kollegament tal-Eurofisc biss jenħtieġ li jipproċessaw l-informazzjoni dwar il-pagamenti u biss bl-għan li jiġġieldu l-frodi tal-VAT. Jenħtieġ li dik l-informazzjoni ma tintużax għal skopijiet oħrajn għajr dawk stabbiliti minn dan ir-Regolament, bħal pereżempju għal skopijiet kummerċjali. 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Madankollu, huwa importanti, li l-informazzjoni relatata mat-tranżazzjonijiet ta’ pagamenti jenħtieġ li ma tintużax għat-tfassil awtomatizzat ta’ profili u jenħtieġ li dejjem tiġi vverifikata b’referenza għal informazzjoni oħra dwar it-taxxa disponibbli għall-awtoritajiet tat-taxxa tal-Istati Membri, sabiex jiġu salvagwardjati d-drittijiet u l-obbligi skont ir-Regolament (UE) 2016/679.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Huwa neċessarju u proporzjonat li l-fornituri tas-servizzi ta’ pagament iżommu rekords tal-informazzjoni relatata mat-tranżazzjonijiet ta’ pagamenti għal perjodu ta’ sentejn sabiex jassistu lill-Istati Membri fil-ġlieda tagħhom kontra l-frodi tal-VAT fil-kummerċ elettroniku u biex jidentifikaw lill-frodaturi. Dan il-perjodu huwa l-minimu meħtieġ biex l-Istati Membri jwettqu l-kontrolli b’mod effettiv u jinvestigaw suspetti ta’ frodi tal-VAT jew jidentifikaw frodi tal-VAT, u huwa proporzjonat meta wieħed iqis il-volum enormi ta’ informazzjoni dwar il-pagamenti u s-sensittività tagħha f’termini ta’ protezzjoni ta’ </w:t>
      </w:r>
      <w:r>
        <w:rPr>
          <w:i/>
          <w:noProof/>
        </w:rPr>
        <w:t>data</w:t>
      </w:r>
      <w:r>
        <w:rPr>
          <w:noProof/>
        </w:rPr>
        <w:t xml:space="preserve"> personali.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Kull uffiċjal ta’ kollegament tal-Eurofisc tal-Istati Membri jenħtieġ li jkun jista’ jaċċessa u janalizza l-informazzjoni dwar tranżazzjonijiet ta’ pagamenti bl-iskop li tiġi miġġielda l-frodi tal-VAT. Persuni debitament akkreditati tal-Kummissjoni jenħtieġ li jaċċessaw l-informazzjoni biss bl-iskop li jiżviluppaw u jżommu s-sistema ta’ informazzjoni elettronika ċentrali.  Iż-żewġ gruppi ta’ utenti jenħtieġ li jkunu marbuta bir-regoli ta’ kunfidenzjalità stabbiliti f'dan ir-Regolament.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Peress li l-implimentazzjoni tas-sistema ta’ informazzjoni elettronika ċentrali se tkun teħtieġ żviluppi teknoloġiċi ġodda, l-applikazzjoni ta’ dan ir-Regolament trid tkun differita biex l-Istati Membri u l-Kummissjoni jkunu jistgħu jiżviluppaw dawn it-teknoloġiji.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Il-frodi tal-VAT fil-kummerċ elettroniku hija problema komuni għall-Istati Membri kollha. L-Istati Membri waħedhom ma għandhomx l-informazzjoni meħtieġa sabiex jiżguraw li r-regoli tal-VAT fil-kummerċ elettroniku jkunu applikati sew u sabiex jindirizzaw il-frodi tal-VAT fil-kummerċ elettroniku. Ladarba l-għan ta’ dan ir-Regolament, jiġifieri l-ġlieda kontra l-frodi tal-VAT fil-kummerċ elettroniku, ma jistax jinkiseb b’mod suffiċjenti mill-Istati Membri minħabba n-natura transfruntiera tal-kummerċ elettroniku iżda jista’ jinkiseb aħjar fil-livell tal-Unjoni, l-Unjoni tista’ tadotta miżuri, b’konformità mal-prinċipju tas-sussidjarjetà, kif stipulat fl-Artikolu 5 tat-Trattat dwar l-Unjoni Ewropea. B’konformità mal-prinċipju tal-proporzjonalità, kif stipulat f’dan l-Artikolu, dan ir-Regolament ma jmurx lil hinn minn dak li hu meħtieġ sabiex jintlaħaq dak l-għan.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Dan ir-Regolament jirrispetta d-drittijiet fundamentali u josserva l-prinċipji rikonoxxuti fil-Karta tad-Drittijiet Fundamentali tal-Unjoni Ewropea. B’mod partikolari, dan ir-Regolament ifittex li jiżgura r-rispett sħiħ tad-dritt tal-protezzjoni tad-</w:t>
      </w:r>
      <w:r>
        <w:rPr>
          <w:i/>
          <w:noProof/>
        </w:rPr>
        <w:t>data</w:t>
      </w:r>
      <w:r>
        <w:rPr>
          <w:noProof/>
        </w:rPr>
        <w:t xml:space="preserve"> personali stabbilit fl-Artikolu 8 tal-Karta. F'dak ir-rigward, dan ir-Regolament jillimita b’mod strett l-ammont ta’ </w:t>
      </w:r>
      <w:r>
        <w:rPr>
          <w:i/>
          <w:noProof/>
        </w:rPr>
        <w:t>data</w:t>
      </w:r>
      <w:r>
        <w:rPr>
          <w:noProof/>
        </w:rPr>
        <w:t xml:space="preserve"> personali li se titqiegħed għad-dispożizzjoni tal-awtoritajiet tat-taxxa. L-ipproċessar tal-informazzjoni dwar pagamenti skont dan ir-Regolament jenħtieġ li jseħħ biss għall-iskop tal-ġlieda kontra l-frodi tal-VAT fil-kummerċ elettroniku. Id-</w:t>
      </w:r>
      <w:r>
        <w:rPr>
          <w:i/>
          <w:noProof/>
        </w:rPr>
        <w:t>data</w:t>
      </w:r>
      <w:r>
        <w:rPr>
          <w:noProof/>
        </w:rPr>
        <w:t xml:space="preserve"> dwar il-pagamenti trażmessa u skambjata għandha tkun ipproċessata biss mill-uffiċjali ta’ kollegament tal-Eurofisc tal-awtoritajiet tat-taxxa fil-limiti ta’ dak li huwa xieraq biex jintlaħaq l-għan tal-ġlieda kontra l-frodi tal-VAT fil-kummerċ elettroniku.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Il-Kontrollur Ewropew għall-Protezzjoni tad-</w:t>
      </w:r>
      <w:r>
        <w:rPr>
          <w:i/>
          <w:noProof/>
        </w:rPr>
        <w:t>Data</w:t>
      </w:r>
      <w:r>
        <w:rPr>
          <w:noProof/>
        </w:rPr>
        <w:t xml:space="preserve"> ġie kkonsultat skont l-Artikolu 42(1) tar-Regolament (UE) 2018/1725 u ta opinjoni fi…</w:t>
      </w:r>
      <w:r>
        <w:rPr>
          <w:rStyle w:val="FootnoteReference"/>
          <w:noProof/>
        </w:rPr>
        <w:footnoteReference w:id="18"/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Għaldaqstant, ir-Regolament (UE) Nru 904/2010 jenħtieġ li jiġi emendat skont dan,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  <w:r>
        <w:rPr>
          <w:noProof/>
        </w:rPr>
        <w:br/>
        <w:t>Emendi għar-Regolament (UE) Nru 904/2010</w:t>
      </w:r>
    </w:p>
    <w:p>
      <w:pPr>
        <w:rPr>
          <w:noProof/>
        </w:rPr>
      </w:pPr>
      <w:r>
        <w:rPr>
          <w:noProof/>
        </w:rPr>
        <w:t>Ir-Regolament (UE) Nru 904/2010 huwa emendat kif ġej:</w:t>
      </w:r>
    </w:p>
    <w:p>
      <w:pPr>
        <w:pStyle w:val="Point0number"/>
        <w:numPr>
          <w:ilvl w:val="0"/>
          <w:numId w:val="18"/>
        </w:numPr>
        <w:rPr>
          <w:noProof/>
        </w:rPr>
      </w:pPr>
      <w:r>
        <w:rPr>
          <w:noProof/>
        </w:rPr>
        <w:t>fl-Artikolu 2, jiżdiedu l-punti (s) sa (v) li ġejjin:</w:t>
      </w:r>
    </w:p>
    <w:p>
      <w:pPr>
        <w:pStyle w:val="ManualNumPar2"/>
        <w:ind w:left="1984"/>
        <w:rPr>
          <w:noProof/>
        </w:rPr>
      </w:pPr>
      <w:r>
        <w:rPr>
          <w:noProof/>
        </w:rPr>
        <w:t xml:space="preserve">   “(s) </w:t>
      </w:r>
      <w:r>
        <w:rPr>
          <w:noProof/>
        </w:rPr>
        <w:tab/>
        <w:t>“fornitur tas-servizzi ta’ pagamenti” tfisser korp elenkat fil-punti (a) sa (f) tal-Artikolu 1(1) tad-Direttiva (UE) 2015/2366 tal-Parlament Ewropew u tal-Kunsill (*) jew persuna fiżika jew legali li tibbenefika minn eżenzjoni skont l-Artikolu 32 ta’ dik id-Direttiva;</w:t>
      </w:r>
    </w:p>
    <w:p>
      <w:pPr>
        <w:pStyle w:val="Point2letter"/>
        <w:numPr>
          <w:ilvl w:val="5"/>
          <w:numId w:val="17"/>
        </w:numPr>
        <w:rPr>
          <w:noProof/>
        </w:rPr>
      </w:pPr>
      <w:r>
        <w:rPr>
          <w:noProof/>
        </w:rPr>
        <w:t>“tranżazzjoni ta’ pagament” tfisser att iddefinit fil-punt 5 tal-Artikolu 4 tad-Direttiva (UE) 2015/2366;</w:t>
      </w:r>
    </w:p>
    <w:p>
      <w:pPr>
        <w:pStyle w:val="Point2letter"/>
        <w:rPr>
          <w:noProof/>
        </w:rPr>
      </w:pPr>
      <w:r>
        <w:rPr>
          <w:noProof/>
        </w:rPr>
        <w:t>“pagatur” tfisser persuna fiżika jew ġuridika kif iddefinit fil-punt 8 tal-Artikolu 4 tad-Direttiva (UE) 2015/2366;</w:t>
      </w:r>
    </w:p>
    <w:p>
      <w:pPr>
        <w:pStyle w:val="Point2letter"/>
        <w:pBdr>
          <w:bottom w:val="single" w:sz="12" w:space="19" w:color="auto"/>
        </w:pBdr>
        <w:rPr>
          <w:noProof/>
        </w:rPr>
      </w:pPr>
      <w:r>
        <w:rPr>
          <w:noProof/>
        </w:rPr>
        <w:t>“prenditur” tfisser persuna fiżika jew ġuridika kif iddefinit fil-punt 9 tal-Artikolu 4 tad-Direttiva (UE) 2015/2366.</w:t>
      </w:r>
    </w:p>
    <w:p>
      <w:pPr>
        <w:ind w:left="1417"/>
        <w:rPr>
          <w:noProof/>
        </w:rPr>
      </w:pPr>
      <w:r>
        <w:rPr>
          <w:noProof/>
        </w:rPr>
        <w:t>(*)</w:t>
      </w:r>
      <w:r>
        <w:rPr>
          <w:noProof/>
        </w:rPr>
        <w:tab/>
        <w:t>Id-Direttiva (UE) 2015/2366 tal-Parlament Ewropew u tal-Kunsill tal-25 ta’ Novembru 2015 dwar is-servizzi ta’ pagament fis-suq intern, li temenda d-Direttivi 2002/65/KE, 2009/110/KE u 2013/36/UE u r-Regolament (UE) Nru 1093/2010, u li tħassar id-Direttiva 2007/64/KE (</w:t>
      </w:r>
      <w:r>
        <w:rPr>
          <w:rStyle w:val="Emphasis"/>
          <w:i w:val="0"/>
          <w:noProof/>
        </w:rPr>
        <w:t>ĠU L 337, 23.12.2015, p. 35)</w:t>
      </w:r>
    </w:p>
    <w:p>
      <w:pPr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Il-KAPITOLU V huwa emendat kif ġej:</w:t>
      </w:r>
    </w:p>
    <w:p>
      <w:pPr>
        <w:pStyle w:val="Point0letter"/>
        <w:ind w:left="-600" w:firstLine="600"/>
        <w:rPr>
          <w:noProof/>
        </w:rPr>
      </w:pPr>
      <w:r>
        <w:rPr>
          <w:noProof/>
        </w:rPr>
        <w:t>it-titolu tal-Kapitolu V huwa sostitwit b’dan li ġej:</w:t>
      </w:r>
    </w:p>
    <w:p>
      <w:pPr>
        <w:pStyle w:val="Text1"/>
        <w:rPr>
          <w:noProof/>
        </w:rPr>
      </w:pPr>
      <w:r>
        <w:rPr>
          <w:noProof/>
        </w:rPr>
        <w:t>“ĠBIR, ĦAŻNA U SKAMBJU TA’ INFORMAZZJONI SPEĊIFIKA”;</w:t>
      </w:r>
    </w:p>
    <w:p>
      <w:pPr>
        <w:pStyle w:val="Point0letter"/>
        <w:rPr>
          <w:noProof/>
        </w:rPr>
      </w:pPr>
      <w:r>
        <w:rPr>
          <w:noProof/>
        </w:rPr>
        <w:t>tiddaħħal l-intestatura Taqsima 1 li ġejja:</w:t>
      </w:r>
    </w:p>
    <w:p>
      <w:pPr>
        <w:pStyle w:val="Text1"/>
        <w:jc w:val="center"/>
        <w:rPr>
          <w:noProof/>
        </w:rPr>
      </w:pPr>
      <w:r>
        <w:rPr>
          <w:i/>
          <w:noProof/>
        </w:rPr>
        <w:t>“TAQSIMA 1</w:t>
      </w:r>
    </w:p>
    <w:p>
      <w:pPr>
        <w:pStyle w:val="Text1"/>
        <w:rPr>
          <w:b/>
          <w:i/>
          <w:noProof/>
        </w:rPr>
      </w:pPr>
      <w:r>
        <w:rPr>
          <w:b/>
          <w:i/>
          <w:noProof/>
        </w:rPr>
        <w:t>Aċċess awtomatizzat għal informazzjoni speċifika maħżuna f’sistemi elettroniċi nazzjonali”;</w:t>
      </w:r>
    </w:p>
    <w:p>
      <w:pPr>
        <w:pStyle w:val="Point0letter"/>
        <w:rPr>
          <w:noProof/>
        </w:rPr>
      </w:pPr>
      <w:r>
        <w:rPr>
          <w:noProof/>
        </w:rPr>
        <w:t>l-intestatura Taqsima 2 tiddaħħal wara l-Artikolu 24:</w:t>
      </w:r>
    </w:p>
    <w:p>
      <w:pPr>
        <w:pStyle w:val="Text1"/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TAQSIMA 2</w:t>
      </w:r>
    </w:p>
    <w:p>
      <w:pPr>
        <w:pStyle w:val="Text1"/>
        <w:rPr>
          <w:noProof/>
        </w:rPr>
      </w:pPr>
      <w:r>
        <w:rPr>
          <w:b/>
          <w:i/>
          <w:noProof/>
        </w:rPr>
        <w:t>Ġbir ta’ informazzjoni speċifika u sistema elettronika ċentrali</w:t>
      </w:r>
      <w:r>
        <w:rPr>
          <w:noProof/>
        </w:rPr>
        <w:t>”;</w:t>
      </w:r>
    </w:p>
    <w:p>
      <w:pPr>
        <w:pStyle w:val="Point0letter"/>
        <w:rPr>
          <w:noProof/>
        </w:rPr>
      </w:pPr>
      <w:r>
        <w:rPr>
          <w:noProof/>
        </w:rPr>
        <w:t>jiddaħħlu l-Artikoli 24a sa 24f li ġejjin:</w:t>
      </w:r>
    </w:p>
    <w:p>
      <w:pPr>
        <w:pStyle w:val="Titrearticle"/>
        <w:rPr>
          <w:noProof/>
        </w:rPr>
      </w:pPr>
      <w:r>
        <w:rPr>
          <w:noProof/>
        </w:rPr>
        <w:t>“Artikolu 24a</w:t>
      </w:r>
    </w:p>
    <w:p>
      <w:pPr>
        <w:ind w:left="720"/>
        <w:rPr>
          <w:noProof/>
        </w:rPr>
      </w:pPr>
      <w:r>
        <w:rPr>
          <w:noProof/>
        </w:rPr>
        <w:t xml:space="preserve">Il-Kummissjoni għandha tiżviluppa, iżżomm, tospita u tmexxi s-sistema elettronika ċentrali ta’ informazzjoni dwar il-pagamenti (“is-CESOP”) bl-għan li tinvestiga suspetti ta’ frodi tal-VAT jew li tidentifika frodi tal-VAT. </w:t>
      </w:r>
    </w:p>
    <w:p>
      <w:pPr>
        <w:pStyle w:val="Titrearticle"/>
        <w:rPr>
          <w:noProof/>
        </w:rPr>
      </w:pPr>
      <w:r>
        <w:rPr>
          <w:noProof/>
        </w:rPr>
        <w:t>Artikolu 24b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Kull Stat Membru għandu jiġbor u jaħżen l-informazzjoni dwar il-prendituri u t-tranżazzjonijiet tal-pagamenti msemmija fl-Artikolu 243b tad-Direttiva 2006/112/KE(*).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Kull Stat Membru għandu jiġbor l-informazzjoni msemmija fl-ewwel paragrafu mingħand il-fornituri tas-servizzi ta’ pagament:</w:t>
      </w:r>
    </w:p>
    <w:p>
      <w:pPr>
        <w:pStyle w:val="Point1letter"/>
        <w:rPr>
          <w:noProof/>
        </w:rPr>
      </w:pPr>
      <w:r>
        <w:rPr>
          <w:noProof/>
        </w:rPr>
        <w:t>mhux aktar tard minn għaxart ijiem wara li jiskadi l-kwart tas-sena kalendarja li miegħu hija relatata dik l-informazzjoni;</w:t>
      </w:r>
    </w:p>
    <w:p>
      <w:pPr>
        <w:pStyle w:val="Point1letter"/>
        <w:rPr>
          <w:noProof/>
        </w:rPr>
      </w:pPr>
      <w:r>
        <w:rPr>
          <w:noProof/>
        </w:rPr>
        <w:t>permezz ta’ formola standard elettronika.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L-awtorità kompetenti ta’ kull Stat Membru għandha tibgħat l-informazzjoni msemmija fl-ewwel paragrafu lis-CESOP sa mhux aktar tard minn ħmistax-il jum wara li jiskadi l-kwart tas-sena kalendarja li miegħu hija relatata dik l-informazzjonis.</w:t>
      </w:r>
    </w:p>
    <w:p>
      <w:pPr>
        <w:ind w:firstLine="720"/>
        <w:rPr>
          <w:noProof/>
        </w:rPr>
      </w:pPr>
      <w:r>
        <w:rPr>
          <w:noProof/>
        </w:rPr>
        <w:t>________________________________________________________________</w:t>
      </w:r>
    </w:p>
    <w:p>
      <w:pPr>
        <w:pStyle w:val="Text1"/>
        <w:rPr>
          <w:noProof/>
        </w:rPr>
      </w:pPr>
      <w:r>
        <w:rPr>
          <w:noProof/>
        </w:rPr>
        <w:t>(*)</w:t>
      </w:r>
      <w:r>
        <w:rPr>
          <w:noProof/>
        </w:rPr>
        <w:tab/>
        <w:t>Id-Direttiva tal-Kunsill 2006/112/KE tat-28 ta’ Novembru 2006 dwar is-sistema komuni ta’ taxxa fuq il-valur miżjud (ĠU L 347, 11.12.2006, p. 1).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24c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tiżgura li s-CESOP ikollha l-kapaċitajiet li ġejjin: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li taħżen l-informazzjoni trażmessa skont il-paragrafu 3 tal-Artikolu 24b;</w:t>
      </w:r>
    </w:p>
    <w:p>
      <w:pPr>
        <w:pStyle w:val="Point1letter"/>
        <w:rPr>
          <w:noProof/>
        </w:rPr>
      </w:pPr>
      <w:r>
        <w:rPr>
          <w:noProof/>
        </w:rPr>
        <w:t>li tiġbor l-informazzjoni maħżuna, skont il-punt (a), fir-rigward ta’ kull prenditur individwali;</w:t>
      </w:r>
    </w:p>
    <w:p>
      <w:pPr>
        <w:pStyle w:val="Point1letter"/>
        <w:rPr>
          <w:noProof/>
        </w:rPr>
      </w:pPr>
      <w:r>
        <w:rPr>
          <w:noProof/>
        </w:rPr>
        <w:t xml:space="preserve">li tanalizza l-informazzjoni maħżuna, skont il-punti (a) u (b), flimkien mal-informazzjoni mmirata rilevanti kkomunikata jew miġbura skont dan ir-Regolament; </w:t>
      </w:r>
    </w:p>
    <w:p>
      <w:pPr>
        <w:pStyle w:val="Point1letter"/>
        <w:rPr>
          <w:noProof/>
        </w:rPr>
      </w:pPr>
      <w:r>
        <w:rPr>
          <w:noProof/>
        </w:rPr>
        <w:t>li tagħmel l-informazzjoni msemmija fil-punti (a), (b) u (c) aċċessibbli għall-uffiċjali ta’ kollegament tal-Eurofisc imsemmija fl-Artikolu 36(1).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Is-CESOP għandha żżomm l-informazzjoni msemmija fil-punti (a) u (b) tal-paragrafu 1 għal perjodu massimu ta’ sentejn mill-iskadenza tas-sena li fiha l-informazzjoni ġiet trasferita fis-sistema.</w:t>
      </w:r>
    </w:p>
    <w:p>
      <w:pPr>
        <w:pStyle w:val="Titrearticle"/>
        <w:rPr>
          <w:noProof/>
        </w:rPr>
      </w:pPr>
      <w:r>
        <w:rPr>
          <w:noProof/>
        </w:rPr>
        <w:t>Artikolu 24d</w:t>
      </w:r>
    </w:p>
    <w:p>
      <w:pPr>
        <w:ind w:left="720"/>
        <w:rPr>
          <w:noProof/>
        </w:rPr>
      </w:pPr>
      <w:r>
        <w:rPr>
          <w:noProof/>
        </w:rPr>
        <w:t xml:space="preserve">Il-Kummissjoni għandha tagħti aċċess għall-informazzjoni maħżuna fis-CESOP lill-uffiċjali ta’ kollegament tal-Eurofisc, li jkollhom </w:t>
      </w:r>
      <w:r>
        <w:rPr>
          <w:noProof/>
          <w:sz w:val="23"/>
        </w:rPr>
        <w:t>identifikatur tal-utent</w:t>
      </w:r>
      <w:r>
        <w:rPr>
          <w:noProof/>
        </w:rPr>
        <w:t xml:space="preserve"> għas-CESOP, meta dik l-informazzjoni tkun meħtieġa għall-fini ta’ investigazzjonijiet ta’ suspetti ta’ frodi tal-VAT jew għall-identifikazzjoni ta’ frodi tal-VAT.</w:t>
      </w:r>
    </w:p>
    <w:p>
      <w:pPr>
        <w:pStyle w:val="Titrearticle"/>
        <w:rPr>
          <w:noProof/>
        </w:rPr>
      </w:pPr>
      <w:r>
        <w:rPr>
          <w:noProof/>
        </w:rPr>
        <w:t>Artikolu 24e</w:t>
      </w:r>
    </w:p>
    <w:p>
      <w:pPr>
        <w:ind w:left="720"/>
        <w:rPr>
          <w:noProof/>
        </w:rPr>
      </w:pPr>
      <w:r>
        <w:rPr>
          <w:noProof/>
        </w:rPr>
        <w:t>Dawn il-miżuri, kompiti, dettalji tekniċi, formati tal-formola elettronika standard, l-elementi ta’ informazzjoni, arranġamenti prattiċi u proċedura ta’ sigurtà li ġejjin għandhom ikunu adottati skont il-proċedura prevista fl-Artikolu 58(2):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il-miżuri tekniċi għall-istabbiliment u ż-żamma tas-CESOP;</w:t>
      </w:r>
    </w:p>
    <w:p>
      <w:pPr>
        <w:pStyle w:val="Point1letter"/>
        <w:rPr>
          <w:noProof/>
        </w:rPr>
      </w:pPr>
      <w:r>
        <w:rPr>
          <w:noProof/>
        </w:rPr>
        <w:t>il-kompiti tal-Kummissjoni fil-ġestjoni tas-CESOP;</w:t>
      </w:r>
    </w:p>
    <w:p>
      <w:pPr>
        <w:pStyle w:val="Point1letter"/>
        <w:rPr>
          <w:noProof/>
        </w:rPr>
      </w:pPr>
      <w:r>
        <w:rPr>
          <w:noProof/>
        </w:rPr>
        <w:t>id-dettalji tekniċi tal-infrastruttura u l-għodod meħtieġa sabiex tiġi żgurata l-konnessjoni u l-operabbiltà globali bejn is-sistemi elettroniċi nazzjonali msemmija fl-Artikolu 24b u s-CESOP;</w:t>
      </w:r>
    </w:p>
    <w:p>
      <w:pPr>
        <w:pStyle w:val="Point1letter"/>
        <w:rPr>
          <w:noProof/>
        </w:rPr>
      </w:pPr>
      <w:r>
        <w:rPr>
          <w:noProof/>
        </w:rPr>
        <w:t>il-formoli standard elettroniċi msemmija fil-punt (b) tal-Artikolu 24b(2);</w:t>
      </w:r>
    </w:p>
    <w:p>
      <w:pPr>
        <w:pStyle w:val="Point1letter"/>
        <w:rPr>
          <w:noProof/>
        </w:rPr>
      </w:pPr>
      <w:r>
        <w:rPr>
          <w:noProof/>
        </w:rPr>
        <w:t>l-informazzjoni u d-dettalji tekniċi li jirrigwardaw l-aċċess għall-informazzjoni msemmija fil-punt (d) tal-Artikolu 24c(1);</w:t>
      </w:r>
    </w:p>
    <w:p>
      <w:pPr>
        <w:pStyle w:val="Point1letter"/>
        <w:rPr>
          <w:noProof/>
        </w:rPr>
      </w:pPr>
      <w:r>
        <w:rPr>
          <w:noProof/>
        </w:rPr>
        <w:t>l-arranġamenti prattiċi biex jiġi identifikat l-uffiċjal ta’ kollegament tal-Eurofisc li se jkollu aċċess għas-CESOP skont l-Artikolu 24d;</w:t>
      </w:r>
    </w:p>
    <w:p>
      <w:pPr>
        <w:pStyle w:val="Point1letter"/>
        <w:rPr>
          <w:noProof/>
        </w:rPr>
      </w:pPr>
      <w:r>
        <w:rPr>
          <w:noProof/>
        </w:rPr>
        <w:t>il-proċedura biex jiġi żgurat li jiġu stabbiliti l-miżuri ta’ sigurtà tekniċi u organizzattivi xierqa, kemm meta tiġi żviluppata s-CESOP kif ukoll meta l-informazzjoni tiġi pproċessata fis-CESOP.</w:t>
      </w:r>
    </w:p>
    <w:p>
      <w:pPr>
        <w:pStyle w:val="Text1"/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24f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L-ispejjeż tal-istabbiliment, it-tħaddim u l-manutenzjoni tas-CESOP għandhom jitħallsu mill-baġit ġenerali tal-Unjoni. Dawn l-ispejjeż għandhom jinkludu dawk tal-konnessjoni sigura bejn is-CESOP u s-sistemi nazzjonali tal-Istati Membri, u wkoll is-servizzi meħtieġa biex jitwettqu l-kapaċitajiet elenkati fil-paragrafu 1 tal-Artikolu 24c.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iħallsu l-ispejjeż imsemmija fl-ewwel paragrafu tal-Artikolu 24b għall-iżviluppi kollha meħtieġa għas-sistema elettronika nazzjonali tagħhom u jkunu responsabbli għalihom</w:t>
      </w:r>
      <w:r>
        <w:rPr>
          <w:i/>
          <w:noProof/>
        </w:rPr>
        <w:t>.</w:t>
      </w:r>
      <w:r>
        <w:rPr>
          <w:noProof/>
        </w:rPr>
        <w:t>”</w:t>
      </w:r>
    </w:p>
    <w:p>
      <w:pPr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 xml:space="preserve">fl-Artikolu 37, jiżdied is-sottoparagrafu li ġej: </w:t>
      </w:r>
    </w:p>
    <w:p>
      <w:pPr>
        <w:ind w:left="840"/>
        <w:rPr>
          <w:noProof/>
        </w:rPr>
      </w:pPr>
      <w:r>
        <w:rPr>
          <w:noProof/>
        </w:rPr>
        <w:t>“Ir-rapport annwali għandu tal-inqas jindika fid-dettall għal kull Stat Membru n-numru ta’ kontrolli mwettqa u l-VAT addizzjonali vvalutata u miġbura b’riżultat tal-informazzjoni pproċessata skont l-Artikolu 24d.”</w:t>
      </w:r>
    </w:p>
    <w:p>
      <w:pPr>
        <w:pStyle w:val="Point0number"/>
        <w:rPr>
          <w:noProof/>
        </w:rPr>
      </w:pPr>
      <w:r>
        <w:rPr>
          <w:noProof/>
        </w:rPr>
        <w:t>fl-Artikolu 55, jiddaħħal il-paragrafu 1a segwenti:</w:t>
      </w:r>
    </w:p>
    <w:p>
      <w:pPr>
        <w:pStyle w:val="Text1"/>
        <w:rPr>
          <w:noProof/>
        </w:rPr>
      </w:pPr>
      <w:r>
        <w:rPr>
          <w:noProof/>
        </w:rPr>
        <w:t>“1a.</w:t>
      </w:r>
      <w:r>
        <w:rPr>
          <w:noProof/>
        </w:rPr>
        <w:tab/>
        <w:t>L-informazzjoni msemmija fit-Taqsima 2 tal-Kapitolu V għandha tintuża biss għall-iskopijiet imsemmija fl-ewwel paragrafu, fejn din tkun ġiet ivverifikata b’referenza għal informazzjoni oħra dwar il-VAT għad-dispożizzjoni tal-awtoritajiet kompetenti tal-Istati Membri.”</w:t>
      </w:r>
    </w:p>
    <w:p>
      <w:pPr>
        <w:ind w:left="720" w:hanging="720"/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 Dan għandu japplika mill-1 ta’ Jannar 2022. </w:t>
      </w:r>
    </w:p>
    <w:p>
      <w:pPr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 2006/112/KE tat-28 ta’ Novembru 2006 dwar is-sistema komuni ta’ taxxa fuq il-valur miżjud (ĠU L 347, 11.12.2006,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Nru 904/2010 tas-7 ta’ Ottubru 2010 dwar il-kooperazzjoni amministrattiva u l-ġlieda kontra l-frodi fil-qasam tat-taxxa fuq il-valur miżjud (ĠU L 268, 12.10.2010,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ta' April 2016 dwar il-protezzjoni tal-persuni fiżiċi fir-rigward tal-ipproċessar ta’ </w:t>
      </w:r>
      <w:r>
        <w:rPr>
          <w:i/>
        </w:rPr>
        <w:t>data</w:t>
      </w:r>
      <w:r>
        <w:t xml:space="preserve"> personali u dwar il-moviment liberu ta' tali </w:t>
      </w:r>
      <w:r>
        <w:rPr>
          <w:i/>
        </w:rPr>
        <w:t>data</w:t>
      </w:r>
      <w:r>
        <w:t>, u li jħassar id-Direttiva 95/46/KE (Regolament Ġenerali dwar il-Protezzjoni tad-</w:t>
      </w:r>
      <w:r>
        <w:rPr>
          <w:i/>
        </w:rPr>
        <w:t>Data</w:t>
      </w:r>
      <w:r>
        <w:t>) (Test b'rilevanza għaż-ŻEE), (ĠU L 119, 4.5.2016, p.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2018/1725 tal-Parlament Ewropew u tal-Kunsill tat-23 ta’ Ottubru 2018 dwar il-protezzjoni ta’ persuni fiżiċi fir-rigward tal-ipproċessar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>, u li jħassar ir-Regolament (KE) Nru 45/2001 u d-Deċiżjoni Nru 1247/2002/KE  (ĠU L 295, 21.11.2018, p. 39).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Il-Karta tad-Drittijiet Fundamentali tal-Unjoni Ewropea (ĠU C 326 26.10.2012, p. 391).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Ara l-Valutazzjoni tal-impatt mehmuża, l-Anness 3, it-Taqsima 4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Il-Kumitat Permanenti dwar il-Kooperazzjoni Amministrattiva (SCAC) huwa magħmul minn rappreżentanti tal-Istati Membri u huwa ppresedut mill-Kummissjoni. L-SCAC huwa responsabbli għall-implimentazzjoni tar-Regolament (UE) Nru 904/2010.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li jistabbilixxi l-programm “Fiscalis” għall-kooperazzjoni fil-qasam tat-tassazzjoni (COM(2018) 443 final), l-Artikolu 18.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Id-Direttiva (UE) 2015/2366 tal-Parlament Ewropew u tal-Kunsill tal-25 ta' Novembru 2015 dwar is-servizzi ta’ pagament fis-suq intern, li temenda d-Direttivi 2002/65/KE, 2009/110/KE u 2013/36/UE u r-Regolament (UE) Nru 1093/2010, u li tħassar id-Direttiva 2007/64/KE (Test b’rilevanza għaż-ŻEE) (ĠU L 337, 23.12.2015, p. 35).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(UE) 2017/2455 tal-5 ta' Diċembru 2017 li temenda d-Direttiva 2006/112/KE u d-Direttiva 2009/132/KE fir-rigward ta' ċerti obbligi tat-taxxa fuq il-valur miżjud għall-provvisti ta' servizzi u għall-bejgħ mill-bogħod ta' oġġetti (ĠU L 348, 29.12.2017, p. 7)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ĠU C,, p.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ĠU C,, p.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Nru 904/2010 tas-7 ta’ Ottubru 2010 dwar il-kooperazzjoni amministrattiva u l-ġlieda kontra l-frodi fil-qasam tat-taxxa fuq il-valur miżjud (ĠU L 268, 12.10.2010, p. 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 2006/112/KE tat-28 ta’ Novembru 2006 dwar is-sistema komuni ta’ taxxa fuq il-valur miżjud (ĠU L 347, 11.12.2006, p. 1).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ta' April 2016 dwar il-protezzjoni tal-persuni fiżiċi fir-rigward tal-ipproċessar ta' </w:t>
      </w:r>
      <w:r>
        <w:rPr>
          <w:i/>
        </w:rPr>
        <w:t>data</w:t>
      </w:r>
      <w:r>
        <w:t xml:space="preserve"> personali u dwar il-moviment liberu ta' tali </w:t>
      </w:r>
      <w:r>
        <w:rPr>
          <w:i/>
        </w:rPr>
        <w:t>data</w:t>
      </w:r>
      <w:r>
        <w:t>, u li jħassar id-Direttiva 95/46/KE (Regolament Ġenerali dwar il-Protezzjoni tad-</w:t>
      </w:r>
      <w:r>
        <w:rPr>
          <w:i/>
        </w:rPr>
        <w:t>Data</w:t>
      </w:r>
      <w:r>
        <w:t>) (ĠU L 119, 4.5.2016, p. 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2018/1725 tal-Parlament Ewropew u tal-Kunsill tat-23 ta’ Ottubru 2018 dwar il-protezzjoni ta’ persuni fiżiċi fir-rigward tal-ipproċessar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>, u li jħassar ir-Regolament (KE) Nru 45/2001 u d-Deċiżjoni Nru 1247/2002/KE  (ĠU L 295, 21.11.2018, p. 39).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FA08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5CEA8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274E7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DEE45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1EEC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AC9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B90B2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9D8E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21"/>
  </w:num>
  <w:num w:numId="22">
    <w:abstractNumId w:val="11"/>
  </w:num>
  <w:num w:numId="23">
    <w:abstractNumId w:val="14"/>
  </w:num>
  <w:num w:numId="24">
    <w:abstractNumId w:val="9"/>
  </w:num>
  <w:num w:numId="25">
    <w:abstractNumId w:val="20"/>
  </w:num>
  <w:num w:numId="26">
    <w:abstractNumId w:val="8"/>
  </w:num>
  <w:num w:numId="27">
    <w:abstractNumId w:val="15"/>
  </w:num>
  <w:num w:numId="28">
    <w:abstractNumId w:val="17"/>
  </w:num>
  <w:num w:numId="29">
    <w:abstractNumId w:val="18"/>
  </w:num>
  <w:num w:numId="30">
    <w:abstractNumId w:val="10"/>
  </w:num>
  <w:num w:numId="31">
    <w:abstractNumId w:val="16"/>
  </w:num>
  <w:num w:numId="32">
    <w:abstractNumId w:val="22"/>
  </w:num>
  <w:num w:numId="33">
    <w:abstractNumId w:val="19"/>
  </w:num>
  <w:num w:numId="34">
    <w:abstractNumId w:val="13"/>
  </w:num>
  <w:num w:numId="35">
    <w:abstractNumId w:val="21"/>
  </w:num>
  <w:num w:numId="36">
    <w:abstractNumId w:val="11"/>
  </w:num>
  <w:num w:numId="37">
    <w:abstractNumId w:val="14"/>
  </w:num>
  <w:num w:numId="38">
    <w:abstractNumId w:val="9"/>
  </w:num>
  <w:num w:numId="39">
    <w:abstractNumId w:val="20"/>
  </w:num>
  <w:num w:numId="40">
    <w:abstractNumId w:val="8"/>
  </w:num>
  <w:num w:numId="41">
    <w:abstractNumId w:val="15"/>
  </w:num>
  <w:num w:numId="42">
    <w:abstractNumId w:val="17"/>
  </w:num>
  <w:num w:numId="43">
    <w:abstractNumId w:val="18"/>
  </w:num>
  <w:num w:numId="44">
    <w:abstractNumId w:val="10"/>
  </w:num>
  <w:num w:numId="45">
    <w:abstractNumId w:val="16"/>
  </w:num>
  <w:num w:numId="4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1 17:22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391233A-3ADB-48C1-A308-A9D1F6DA6693"/>
    <w:docVar w:name="LW_COVERPAGE_TYPE" w:val="1"/>
    <w:docVar w:name="LW_CROSSREFERENCE" w:val="&lt;EMPTY&gt;"/>
    <w:docVar w:name="LW_DocType" w:val="COM"/>
    <w:docVar w:name="LW_EMISSION" w:val="12.12.2018"/>
    <w:docVar w:name="LW_EMISSION_ISODATE" w:val="2018-12-12"/>
    <w:docVar w:name="LW_EMISSION_LOCATION" w:val="BRX"/>
    <w:docVar w:name="LW_EMISSION_PREFIX" w:val="Brussell, "/>
    <w:docVar w:name="LW_EMISSION_SUFFIX" w:val="&lt;EMPTY&gt;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413"/>
    <w:docVar w:name="LW_REF.II.NEW.CP_YEAR" w:val="2018"/>
    <w:docVar w:name="LW_REF.INST.NEW" w:val="COM"/>
    <w:docVar w:name="LW_REF.INST.NEW_ADOPTED" w:val="final"/>
    <w:docVar w:name="LW_REF.INST.NEW_TEXT" w:val="(2018) 8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 (UE) Nru 904/2010 dwar mi\u380?uri biex tissa\u295?\u295?a\u295? il-kooperazzjoni amministrattiva g\u295?all-\u289?lieda kontra l-frodi tal-VAT 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pPr>
      <w:numPr>
        <w:numId w:val="1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6"/>
      </w:numPr>
      <w:spacing w:line="36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pPr>
      <w:numPr>
        <w:numId w:val="1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6"/>
      </w:numPr>
      <w:spacing w:line="36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val="mt-M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8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4A40-5CA3-4436-A436-91AB695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14</Pages>
  <Words>4266</Words>
  <Characters>32379</Characters>
  <Application>Microsoft Office Word</Application>
  <DocSecurity>0</DocSecurity>
  <Lines>505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2018-10-23T15:18:00Z</cp:lastPrinted>
  <dcterms:created xsi:type="dcterms:W3CDTF">2018-12-11T14:29:00Z</dcterms:created>
  <dcterms:modified xsi:type="dcterms:W3CDTF">2018-12-11T16:22:00Z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