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4F15687-D506-4AF9-A6E0-6F59FA26C621" style="width:450.75pt;height:366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A javaslat indokai és céljai</w:t>
      </w:r>
    </w:p>
    <w:p>
      <w:pPr>
        <w:rPr>
          <w:noProof/>
        </w:rPr>
      </w:pPr>
      <w:r>
        <w:rPr>
          <w:noProof/>
        </w:rPr>
        <w:t xml:space="preserve">E javaslat célja, hogy két, a közös agrárpolitikával (KAP) összefüggő jogi aktus kiigazítása révén bizonyosságot és folytonosságot biztosítson az európai mezőgazdasági termelőknek 2019-ben és 2020-ban nyújtandó támogatások tekintetében. </w:t>
      </w:r>
    </w:p>
    <w:p>
      <w:pPr>
        <w:rPr>
          <w:noProof/>
        </w:rPr>
      </w:pPr>
      <w:r>
        <w:rPr>
          <w:noProof/>
        </w:rPr>
        <w:t>A vidékfejlesztés kapcsán az 1305/2013/EU rendelet (a továbbiakban: vidékfejlesztési rendelet) bizonyos módosításaira van szükség ahhoz, hogy biztosítható legyen a programozási időszak utolsó éveiben a szakpolitikai folytonosság, valamint a következő programozási időszakba történő zökkenőmentes átmenet. Ezek a módosítások a hegyvidéki területeken kívüli egyéb, jelentős természeti hátrányokkal rendelkező területek számára teljesített kifizetések fokozatos csökkentésére irányuló új ütemtervre, valamint az EMVA-ból finanszírozott technikai segítségnyújtásnak a Bizottság kezdeményezésére történő, a jövőbeli KAP végrehajtását előkészítő intézkedésekkel kapcsolatos felhasználására vonatkoznak.</w:t>
      </w:r>
    </w:p>
    <w:p>
      <w:pPr>
        <w:rPr>
          <w:noProof/>
        </w:rPr>
      </w:pPr>
      <w:r>
        <w:rPr>
          <w:noProof/>
        </w:rPr>
        <w:t xml:space="preserve">Ami a közvetlen kifizetéseket illeti, az 1307/2013/EU rendelet (a továbbiakban: közvetlen kifizetésekről szóló rendelet) bizonyos rendelkezései nem terjednek ki a 2020-as naptári évre, mivel a 2020-as naptári évhez kapcsolódó kiadások a 2021-es pénzügyi évben merülnek fel, amely már az új, 2021–2027-es többéves pénzügyi keret (TPK) első éve. A rendelet elfogadásának időpontjában tehát nem lehetett kötelezettségvállalásokat tenni a jövőbeli többéves pénzügyi keretre vonatkozóan. Az 1307/2013/EU rendelet módosítása nélkül bizonyos tagállamok olyan hátrányos pénzügyi következményekkel szembesülnének a 2020-as naptári évben teljesített közvetlen kifizetésekkel kapcsolatban, amelyek túlmutatnak az új (2021–2027-es) TPK-val összefüggő hatásokon. Ezek a tagállamok jelentős változásokkal néznének szembe a közvetlen kifizetések és a vidékfejlesztési keretösszegek tekintetében, ami komoly hatást gyakorolna a mezőgazdasági termelők részére mindkét pillér keretében teljesített kifizetésekre. A szóban forgó jogi aktusok emellett egyéb, a jelenlegi jog keret végrehajtását elősegítő technikai elemekkel is kiegészülnek.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Összhang a szakpolitikai területen már meglévő rendelkezésekkel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javasolt módosítások összhangban vannak a vidékfejlesztési rendelettel és a közvetlen kifizetésekről szóló rendelettel, tehát a javaslat összeegyeztethető a KAP meglévő szakpolitikai rendelkezéseivel.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Összhang az Unió egyéb szakpolitikáival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Jogalap</w:t>
      </w:r>
    </w:p>
    <w:p>
      <w:pPr>
        <w:keepNext/>
        <w:tabs>
          <w:tab w:val="left" w:pos="0"/>
        </w:tabs>
        <w:outlineLvl w:val="1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Az Európai Unió működéséről szóló szerződés (EUMSZ) 42. cikke és 43. cikkének (2) bekezdése.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Szubszidiaritás (nem kizárólagos hatáskör esetén) </w:t>
      </w:r>
    </w:p>
    <w:p>
      <w:pPr>
        <w:keepNext/>
        <w:tabs>
          <w:tab w:val="left" w:pos="0"/>
        </w:tabs>
        <w:outlineLvl w:val="1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Az EUMSZ a mezőgazdaságot az Unió és a tagállamok megosztott hatáskörébe utalja. </w:t>
      </w:r>
      <w:r>
        <w:rPr>
          <w:noProof/>
        </w:rPr>
        <w:t>Az Unió különböző jogalkotási aktusok elfogadása révén gyakorolja a vonatkozó hatáskörét, és ily módon határozza meg és hajtja végre az Európai Unió működéséről szóló szerződés 38–44. cikkében meghatározott közös uniós agrárpolitikát.</w:t>
      </w:r>
      <w:r>
        <w:rPr>
          <w:noProof/>
          <w:u w:color="000000"/>
          <w:bdr w:val="nil"/>
        </w:rPr>
        <w:t xml:space="preserve"> </w:t>
      </w:r>
      <w:r>
        <w:rPr>
          <w:noProof/>
        </w:rPr>
        <w:t>Az 1305/2013/EU és az 1307/2013/EU rendelet létrehozta a vidékfejlesztési támogatások és a mezőgazdasági termelőknek nyújtott közvetlen kifizetések rendszerét.</w:t>
      </w:r>
      <w:r>
        <w:rPr>
          <w:noProof/>
          <w:u w:color="000000"/>
          <w:bdr w:val="nil"/>
        </w:rPr>
        <w:t xml:space="preserve"> Az EUMSZ 39. cikke szerint a KAP egyik, a Szerződésben meghatározott célja a mezőgazdasági népesség megfelelő életszínvonalának biztosítása, a javasolt kezdeményezés pedig összhangban van ezzel a célkitűzéssel. Ennek megfelelően a KAP keretében közvetlen kifizetéseket finanszíroznak az Európai Mezőgazdasági Garanciaalapból (EMGA), az 1307/2013/EU rendelet pedig az uniós szintű kifizetéseket szabályozza. A vidékfejlesztési támogatás a KAP szerves részét képezi, és hozzájárul a KAP vonatkozásában az Európai Unió működéséről szóló szerződésben meghatározott célkitűzések eléréséhez. A javaslat hozzáadott értéke abban rejlik, hogy biztonságot és stabilitást biztosít az európai mezőgazdasági termelőknek 2020-ban nyújtott közvetlen jövedelemtámogatás, valamint a jelenlegi programozási időszak utolsó éveiben nyújtott vidékfejlesztési támogatás tekintetében. Ezek a célkitűzések csak az 1305/2013/EU és az 1307/2013/EU rendelet uniós társjogalkotók általi módosításával érhetők 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Arányosság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A javaslat nem jelent új szakpolitikai fejleményt a módosítani tervezett jogi aktusokhoz képest. A javaslat kizárólag a fent említett célkitűzések eléréséhez szükséges mértékben módosítja a meglévő rendeleteket.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Mivel az eredeti jogalkotási aktusok európai parlamenti és tanácsi rendeletek, a módosításokat rendes jogalkotási eljárás keretében európai parlamenti és tanácsi rendeletként is be kell vezetni.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rPr>
          <w:rFonts w:eastAsia="Times New Roman"/>
          <w:noProof/>
        </w:rPr>
      </w:pPr>
      <w:r>
        <w:rPr>
          <w:noProof/>
        </w:rPr>
        <w:t xml:space="preserve">A javaslat elfogadásának folyamata eltér a minőségi jogalkotásra vonatkozó iránymutatásban és a vonatkozó eszköztárban meghatározott általános gyakorlattól. A szokásos gyakorlattól a következő okok miatt szükséges eltérni: </w:t>
      </w:r>
    </w:p>
    <w:p>
      <w:pPr>
        <w:rPr>
          <w:rFonts w:eastAsia="Times New Roman"/>
          <w:noProof/>
        </w:rPr>
      </w:pPr>
      <w:r>
        <w:rPr>
          <w:noProof/>
        </w:rPr>
        <w:t xml:space="preserve">– a javaslat nagymértékben technikai jellegű; </w:t>
      </w:r>
    </w:p>
    <w:p>
      <w:pPr>
        <w:rPr>
          <w:rFonts w:eastAsia="Times New Roman"/>
          <w:noProof/>
        </w:rPr>
      </w:pPr>
      <w:r>
        <w:rPr>
          <w:noProof/>
        </w:rPr>
        <w:t>– a kezdeményezés kizárólag a jelenlegi programozási időszak utolsó éveire vonatkozik;</w:t>
      </w:r>
    </w:p>
    <w:p>
      <w:pPr>
        <w:rPr>
          <w:rFonts w:eastAsia="Times New Roman"/>
          <w:noProof/>
        </w:rPr>
      </w:pPr>
      <w:r>
        <w:rPr>
          <w:noProof/>
        </w:rPr>
        <w:t xml:space="preserve">– a javaslat nem tartalmaz új szakpolitikai kötelezettségvállalásokat. </w:t>
      </w:r>
    </w:p>
    <w:p>
      <w:pPr>
        <w:rPr>
          <w:noProof/>
        </w:rPr>
      </w:pPr>
      <w:r>
        <w:rPr>
          <w:noProof/>
        </w:rPr>
        <w:t xml:space="preserve">Ezért a hatásvizsgálat készítése, a nyilvános konzultáció és az ütemterv kidolgozása e javaslat esetében nem megfelelő eszköz. Ezenkívül mivel a jogszabálynak 2019-ben már hatályosnak kell lennie, a társjogalkotóknak sürgősen el kell fogadniuk azt.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 jelenleg hatályban lévő jogszabályok utólagos értékelése/célravezetőségi vizsgálata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Az érdekelt felekkel folytatott konzultációk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 szakvélemények összegyűjtése és felhasználása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Hatásvizsgálat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Célravezető szabályozás és egyszerűsítés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Alapjogok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tiszteletben tartja az alapvető jogokat, és betartja különösen az Európai Unió Alapjogi Chartája által elismert elveket.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tagállamok számára javasolt megoldás – azaz a közvetlen kifizetések és a vidékfejlesztési támogatások alkalmazása közötti jelenlegi rugalmasságnak a 2020-as naptári évben (a 2021-es pénzügyi évben) történő megtartása, valamint az említett évben a közvetlen kifizetések csökkentésének eredményeképpen keletkező becsült összegek vidékfejlesztéshez történő átcsoportosítása – a tagállamok döntéseitől függően hatással lehet a forrásoknak a közvetlen kifizetések és a vidékfejlesztési támogatások közötti elosztására. Ugyanakkor minden ilyen átcsoportosítás semleges lesz a teljes költségvetési kötelezettségvállalás szempontjából.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 javaslat pénzügyi hatásairól az ahhoz mellékelt pénzügyi kimutatás nyújt részletesebb tájékoztatást.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Végrehajtási tervek, valamint a nyomon követés, az értékelés és a jelentéstétel szabályai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Magyarázó dokumentumok (irányelvek esetén)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alkalmazható</w:t>
      </w:r>
    </w:p>
    <w:p>
      <w:pPr>
        <w:pStyle w:val="ManualHeading2"/>
        <w:rPr>
          <w:noProof/>
          <w:highlight w:val="yellow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 javaslat egyes rendelkezéseinek részletes magyarázata</w:t>
      </w:r>
    </w:p>
    <w:p>
      <w:pPr>
        <w:pStyle w:val="Text1"/>
        <w:rPr>
          <w:noProof/>
        </w:rPr>
      </w:pP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Vidékfejlesztés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A javaslat lehetővé teszi a tagállamok számára, hogy módosítsák a kifizetések fokozatos csökkentésére vonatkozó menetrendet azon területek tekintetében, amelyek az előző programozási időszakban ilyen kifizetésekben részesültek, ugyanakkor a folyamatban lévő időszakban a vidékfejlesztési rendelet 31. cikke (5) bekezdésének megfelelően már nem minősülnek hegyvidéki területeken kívüli egyéb, jelentős természeti hátrányokkal rendelkező területeknek. Ez a módosítás igazodik az ilyen területekre vonatkozó új területmeghatározásnak a (EU) 2017/2393 rendelet által 2019-ig meghosszabbított határidejéhez, ami azt jelenti, hogy a folyamatban lévő programozási időszak végére az e kifizetésekre már nem jogosult mezőgazdasági termelők esetében rövidebb lesz az alkalmazkodási időszak. Ez a módosítás lehetővé tenné a 2019-es és 2020-as átmeneti kifizetéseknek a kifizetések 2014–2020-as időszakban érvényes szintje alapján történő kiszámítását. Ezenkívül az átmeneti kifizetések fokozatos csökkentésének mértéke kevésbé lesz markáns, mivel azt a tagállamok oly módon állapítják meg, hogy a végső szint a kezdő szint felét tegye ki. </w:t>
      </w:r>
    </w:p>
    <w:p>
      <w:pPr>
        <w:pStyle w:val="Text1"/>
        <w:ind w:left="0"/>
        <w:rPr>
          <w:noProof/>
          <w:highlight w:val="yellow"/>
        </w:rPr>
      </w:pPr>
      <w:r>
        <w:rPr>
          <w:noProof/>
        </w:rPr>
        <w:t>A javaslat a Bizottság kezdeményezésére biztosított, az Európai Mezőgazdasági Vidékfejlesztési Alapból (EMVA) finanszírozott technikai segítségnyújtás alkalmazási körét kiterjeszti a jövőbeli KAP előkészítésével összefüggő intézkedésekre. A javaslat kizárólag a technikai segítségnyújtás alkalmazási körét érinti, a pénzügyi támogatás mértékét nem módosítja.</w:t>
      </w: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A pillérek között 2020-ban fennálló rugalmasság, valamint a közvetlen kifizetések csökkentésének eredményeképpen keletkező összegek vidékfejlesztéshez történő átcsoportosítása</w:t>
      </w:r>
    </w:p>
    <w:p>
      <w:pPr>
        <w:pStyle w:val="Text1"/>
        <w:ind w:left="0"/>
        <w:rPr>
          <w:noProof/>
        </w:rPr>
      </w:pPr>
      <w:r>
        <w:rPr>
          <w:noProof/>
        </w:rPr>
        <w:t>A javaslat rendelkezéseket állapít meg arra vonatkozóan, hogy a tagállamok a (2021-es pénzügyi évnek megfelelő) 2020-as naptári évben pénzeszközöket csoportosíthatnak át az egyes pillérek között. A 2015–2019-es időszakban a tagállamoknak lehetőségük volt arra, hogy a közvetlen kifizetésektől összegeket csoportosítsanak át a vidékfejlesztési támogatásokhoz, illetve fordítva. A 2020-as naptári évre/2021-es pénzügyi évre vonatkozóan a jelenleg hatályos szabályok nem rendelkeznek ilyen rugalmasságról.</w:t>
      </w:r>
      <w:r>
        <w:rPr>
          <w:b/>
          <w:noProof/>
          <w:szCs w:val="24"/>
        </w:rPr>
        <w:t xml:space="preserve"> </w:t>
      </w:r>
      <w:r>
        <w:rPr>
          <w:noProof/>
        </w:rPr>
        <w:t>Ez a pénzügyi mechanizmus fontos eszköze annak, hogy a tagállamok rugalmasan kezelhessék pénzügyi kereteiket, valamint optimalizálhassák a rendelkezésre álló források felhasználását. A tapasztalatok azt mutatják, hogy ez a mechanizmus hatékony eszköznek bizonyult a tagállamok számára, és egyes tagállamok így jelentős összegeket csoportosítottak át a két pillér között. Amennyiben a 2020-as naptári évben/2021-es pénzügyi évben megszűnne a pillérek közötti rugalmasság, az bizonyos tagállamokban feltehetően komoly pénzügyi zavarokat okozna a mezőgazdasági termelők körében, mivel jelentős hatást gyakorolhatna a rájuk vonatkozó pénzügyi keretre. Ennek megfelelően a javaslat azt szorgalmazza, hogy a 2020-as naptári évben is maradjon meg a pillérek közötti átcsoportosítás lehetősége a jelenlegiekkel megegyező feltételek mellett, továbbá hogy a csökkentés eredményeképpen keletkező becsült összeg továbbra is kerüljön átcsoportosításra a közvetlen kifizetésektől a vidékfejlesztési támogatásokhoz.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noProof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jc w:val="left"/>
        <w:rPr>
          <w:rFonts w:eastAsia="Arial Unicode MS"/>
          <w:noProof/>
          <w:color w:val="008000"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2018/0414 (COD)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AZ EURÓPAI PARLAMENT ÉS A TANÁCS RENDELETE</w:t>
      </w:r>
    </w:p>
    <w:p>
      <w:pPr>
        <w:pStyle w:val="Titreobjet"/>
        <w:rPr>
          <w:noProof/>
        </w:rPr>
      </w:pPr>
      <w:r>
        <w:rPr>
          <w:noProof/>
        </w:rPr>
        <w:t xml:space="preserve">az 1305/2013/EU és az 1307/2013/EU rendeletnek a közvetlen kifizetésekkel és a vidékfejlesztési támogatásokkal kapcsolatos egyes szabályok 2019-es és 2020-as év vonatkozásában történő módosításáról </w:t>
      </w:r>
    </w:p>
    <w:p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42. cikkére és 43. cikke (2) bekezdésére,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a jogalkotási aktus tervezete nemzeti parlamenteknek való megküldését követően,</w:t>
      </w:r>
    </w:p>
    <w:p>
      <w:pPr>
        <w:rPr>
          <w:noProof/>
        </w:rPr>
      </w:pPr>
      <w:r>
        <w:rPr>
          <w:noProof/>
        </w:rPr>
        <w:t>tekintettel az Európai Gazdasági és Szociális Bizottság véleményére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rendes jogalkotási eljárás keretében,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1305/2013/EU európai parlamenti és tanácsi rendelet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képezi a vidékfejlesztési támogatás jelenlegi jogi keretét. Az említett rendelet rendelkezik a hegyvidéki területeken kívüli egyéb, jelentős természeti hátrányokkal rendelkező területek számára nyújtandó támogatásról. Figyelembe véve a hegyvidéki területeken kívüli egyéb, jelentős természeti hátrányokkal rendelkező területekre vonatkozó új területmeghatározásnak az (EU) 2017/2393 európai parlamenti és tanácsi rendelet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által 2019-ig kiterjesztett határidejét, valamint azt, hogy a támogatásra már nem jogosult mezőgazdasági termelőknek rövidebb alkalmazkodási időszak áll majd rendelkezésükre, azon fokozatosan csökkentett átmeneti kifizetések mértéke, amelyek teljesítése csak 2019-ben kezdődik, a 2014–2020-as programozási időszakban megállapított átlagos támogatás legfeljebb 80 %-ánál kezdődhet. A kifizetések szintjét úgy kell meghatározni, hogy a 2020-as végső szint a kezdő szint felét tegye ki.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Annak érdekében, hogy a Bizottság segítséget nyújthasson a tagállamoknak és az érdekelt feleknek a jövőbeli közös agrárpolitika (KAP) időben történő előkészítéséhez, valamint biztosítsa a következő programozási időszakba történő zökkenőmentes átmenetet, egyértelműen rögzíteni kell, hogy a jövőbeli KAP előkészítésével összefüggő tevékenységek is finanszírozhatók a Bizottság kezdeményezésére biztosított technikai segítségnyújtás révén.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 közvetlen kifizetésekre vonatkozó jelenlegi jogi keretet az 1307/2013/EU európai parlamenti és tanácsi rendelet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képezi. Noha a rendelet legtöbb rendelkezése mindaddig alkalmazható, amíg a rendelet hatályos, bizonyos rendelkezések kifejezetten a 2014–2020-as időszakra vonatkozó többéves pénzügyi keret hatálya alá tartozó 2015–2019-es időszak naptári éveire vonatkoznak. Bizonyos egyéb rendelkezések 2019-es naptári éven túli alkalmazhatóságát a rendelet nem irányozza elő kifejezetten. 2018 júniusában a Bizottság új, az 1307/2013/EU rendelet helyébe lépő rendeletre irányuló javaslatot nyújtott be, azonban e rendelet csak 2021. január 1-jén lép hatályba. Ezért helyénvaló az 1307/2013/EU rendelet tekintetében bizonyos technikai kiigazításokat elfogadni annak érdekében, hogy az problémamentesen alkalmazható legyen a 2020-as naptári évben.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Az 1307/2013/EU rendelet 11. cikkében meghatározott azon kötelezettség, amely szerint csökkenteni kell a mezőgazdasági termelőknek egy adott naptári évre nyújtandó közvetlen kifizetések összegének 150 000 EUR-t meghaladó részét, továbbra is alkalmazandó mindaddig, amíg az említett rendelet hatályban van. Jelenleg azonban az említett cikk csupán a 2015 és 2019 közötti időszakra vonatkozó döntéseik és az ezen évekre vonatkozó csökkentések eredményeképpen keletkező becsült összegek tekintetében ír elő értesítési kötelezettséget a tagállamoknak. A meglévő rendszer fenntartása érdekében azt is elő kell írni, hogy a tagállamok a 2020-ra vonatkozó döntéseikről, valamint az említett évre vonatkozó csökkentések eredményeképpen keletkező becsült összegekről is értesítsék a Bizottságot. 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A pillérek közötti rugalmasság a források közvetlen kifizetések és vidékfejlesztés közötti átcsoportosításának lehetőségét jelenti. Az 1307/2013/EU rendelet 14. cikkének jelenlegi szövege alapján a tagállamok a 2014 és 2019 közötti időszak naptári évei tekintetében élhetnek ezzel a lehetőséggel. Annak biztosítása érdekében, hogy a tagállamok megtarthassák saját stratégiáikat, a pillérek közötti rugalmasságot a 2021-es pénzügyi évnek megfelelő 2020-as naptári év tekintetében is fenn kell tartani.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Az 1307/2013/EU rendelet 14. cikkének a 2020-as naptári év tekintetében történő módosítása következtében helyénvaló kiigazítani az említett cikkre vonatkozó hivatkozásokat a tagállamok azon kötelezettségével összefüggésben, hogy a nemzeti éves felső összeghatárnak a pillérek közötti rugalmasság alkalmazásáról szóló értesítéseik nyomán bekövetkező ingadozásai miatt lineárisan csökkentsék, illetve növeljék a támogatási jogosultságok értékét.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Az 1305/2013/EU és az 1307/2013/EU rendeletet ezért ennek megfelelően módosítani kell.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Annak érdekében, hogy a tagállamok számára a lehető leghamarabb biztosítani lehessen a szükséges rugalmasságot, valamint hogy a 2014–2020-as programozási időszak utolsó éveiben biztosítani lehessen a vidékfejlesztési politika folytonosságát, ezt a rendeletet 2019. március 1-jétől kell alkalmazni, 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ELFOGADTA EZT A RENDELETET: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jc w:val="center"/>
        <w:rPr>
          <w:b/>
          <w:noProof/>
        </w:rPr>
      </w:pPr>
      <w:r>
        <w:rPr>
          <w:b/>
          <w:noProof/>
        </w:rPr>
        <w:t>Az 1305/2013/EU rendelet módosításai</w:t>
      </w:r>
    </w:p>
    <w:p>
      <w:pPr>
        <w:rPr>
          <w:noProof/>
        </w:rPr>
      </w:pPr>
      <w:r>
        <w:rPr>
          <w:noProof/>
        </w:rPr>
        <w:t>Az 1305/2013/EU rendelet a következőképpen módosul: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 31. cikk (5) bekezdése a következő második albekezdéssel egészül ki:</w:t>
      </w:r>
    </w:p>
    <w:p>
      <w:pPr>
        <w:pStyle w:val="Text1"/>
        <w:rPr>
          <w:i/>
          <w:noProof/>
        </w:rPr>
      </w:pPr>
      <w:r>
        <w:rPr>
          <w:noProof/>
        </w:rPr>
        <w:t>„Az első albekezdéstől eltérve, amennyiben a fokozatosan csökkentett kifizetések teljesítése csak 2019-ben kezdődik, e kifizetések összege a 2014–2020-as programozási időszakban megállapított átlagos támogatás legfeljebb 80 %-ánál kezdődhet. A kifizetések szintjét úgy kell meghatározni, hogy a 2020-as végső szint a kezdő szint felét tegye ki.”</w:t>
      </w:r>
      <w:r>
        <w:rPr>
          <w:noProof/>
        </w:rPr>
        <w:br/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Az 51. cikk (1) bekezdése a következő második albekezdéssel egészül ki:</w:t>
      </w:r>
    </w:p>
    <w:p>
      <w:pPr>
        <w:pStyle w:val="Text1"/>
        <w:rPr>
          <w:noProof/>
        </w:rPr>
      </w:pPr>
      <w:r>
        <w:rPr>
          <w:noProof/>
        </w:rPr>
        <w:t>„Az EMVA-ból a KAP következő programozási időszakban történő végrehajtásának előkészítésére irányuló tevékenységek is finanszírozhatók.”</w:t>
      </w:r>
    </w:p>
    <w:p>
      <w:pPr>
        <w:pStyle w:val="Text1"/>
        <w:ind w:left="0"/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jc w:val="center"/>
        <w:rPr>
          <w:b/>
          <w:noProof/>
        </w:rPr>
      </w:pPr>
      <w:r>
        <w:rPr>
          <w:b/>
          <w:noProof/>
        </w:rPr>
        <w:t>Az 1307/2013/EU rendelet módosításai</w:t>
      </w:r>
    </w:p>
    <w:p>
      <w:pPr>
        <w:rPr>
          <w:noProof/>
        </w:rPr>
      </w:pPr>
      <w:r>
        <w:rPr>
          <w:noProof/>
        </w:rPr>
        <w:t>Az 1307/2013/EU rendelet a következőképpen módosul: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 7. cikk (2) bekezdésének helyébe a következő szöveg lép:</w:t>
      </w:r>
    </w:p>
    <w:p>
      <w:pPr>
        <w:pStyle w:val="Text1"/>
        <w:rPr>
          <w:noProof/>
        </w:rPr>
      </w:pPr>
      <w:r>
        <w:rPr>
          <w:noProof/>
        </w:rPr>
        <w:t>„(2) A 11. cikkben említett, a támogatások csökkentésének eredményeképpen keletkező becsült összeget (amely a II. mellékletben meghatározott, az 58. cikk értelmében rendelkezésre álló összeggel megnövelt nemzeti felső összeghatárok, valamint a III. mellékletben meghatározott nettó felső összeghatárok különbségének felel meg) tagállamonként, minden naptári év tekintetében az Európai Mezőgazdasági Vidékfejlesztési Alapból (EMVA) finanszírozott uniós támogatásként kell rendelkezésre bocsátani.”</w:t>
      </w:r>
    </w:p>
    <w:p>
      <w:pPr>
        <w:ind w:left="360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 11. cikk (6) bekezdése a következő harmadik albekezdéssel egészül ki:</w:t>
      </w:r>
    </w:p>
    <w:p>
      <w:pPr>
        <w:pStyle w:val="Text1"/>
        <w:rPr>
          <w:noProof/>
        </w:rPr>
      </w:pPr>
      <w:r>
        <w:rPr>
          <w:noProof/>
        </w:rPr>
        <w:t>„A tagállamoknak a 2020-as évre vonatkozóan 2019. december 31-ig értesíteniük kell a Bizottságot az e cikknek megfelelően hozott döntéseikről és a csökkentések eredményeképpen keletkező becsült összegekről.”</w:t>
      </w:r>
    </w:p>
    <w:p>
      <w:pPr>
        <w:pStyle w:val="ListParagraph"/>
        <w:ind w:left="1080"/>
        <w:rPr>
          <w:b/>
          <w:i/>
          <w:noProof/>
        </w:rPr>
      </w:pP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A 14. cikk a következőképpen módosul:</w:t>
      </w:r>
    </w:p>
    <w:p>
      <w:pPr>
        <w:pStyle w:val="ListParagraph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(1) bekezdés a következő hatodik albekezdéssel egészül ki: </w:t>
      </w:r>
    </w:p>
    <w:p>
      <w:pPr>
        <w:pStyle w:val="Text1"/>
        <w:rPr>
          <w:noProof/>
        </w:rPr>
      </w:pPr>
      <w:r>
        <w:rPr>
          <w:noProof/>
        </w:rPr>
        <w:t>„2019. december 31-ig a tagállamok dönthetnek úgy, hogy az e rendelet II. mellékletében a 2020-as naptári évre meghatározott éves nemzeti felső összeghatáruk 15 %-áig terjedő összeget rendelkezésre bocsátanak az EMVA-ból a 2021-es pénzügyi évben nyújtott kiegészítő támogatásként. Az ennek megfelelő összeg így már nem használható fel közvetlen támogatás nyújtására. Az erre vonatkozó döntésről – amelyben meg kell határozni a választott százalékos arányt – 2019. december 31-ig értesíteni kell a Bizottságot.”;</w:t>
      </w:r>
    </w:p>
    <w:p>
      <w:pPr>
        <w:pStyle w:val="ListParagraph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(2) bekezdés a következő hatodik albekezdéssel egészül ki: </w:t>
      </w:r>
    </w:p>
    <w:p>
      <w:pPr>
        <w:pStyle w:val="Text1"/>
        <w:rPr>
          <w:noProof/>
        </w:rPr>
      </w:pPr>
      <w:r>
        <w:rPr>
          <w:noProof/>
        </w:rPr>
        <w:t xml:space="preserve">„2019. december 31-ig a tagállamok dönthetnek úgy, hogy a Tanács által az Európai Unió működéséről szóló szerződés 312. cikkének (2) bekezdése alapján elfogadott rendelet nyomán elfogadott uniós jogszabályok által a 2021-es pénzügyi évben az EMVA-ból finanszírozott támogatásokra elkülönített összeg legfeljebb 15 %-át, illetve Bulgária, Észtország, Finnország, Lettország, Lengyelország, Litvánia, Portugália, Románia, Spanyolország, Svédország és Szlovákia és esetében legfeljebb 25 %-át közvetlen kifizetésként rendelkezésre bocsátják. Az ennek megfelelő összeg így már nem használható fel az EMVA-ból finanszírozott támogatás nyújtására. Az erre vonatkozó döntésről – amelyben meg kell határozni a választott százalékos arányt – 2019. december 31-ig értesíteni kell a Bizottságot.” </w:t>
      </w:r>
    </w:p>
    <w:p>
      <w:pPr>
        <w:pStyle w:val="ListParagraph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A 22. cikk (5) bekezdésének helyébe a következő szöveg lép:</w:t>
      </w:r>
    </w:p>
    <w:p>
      <w:pPr>
        <w:pStyle w:val="Text1"/>
        <w:rPr>
          <w:noProof/>
        </w:rPr>
      </w:pPr>
      <w:r>
        <w:rPr>
          <w:noProof/>
        </w:rPr>
        <w:t>„(5) Amennyiben a Bizottság által az (1) bekezdés alapján valamely tagállam tekintetében meghatározott felső összeghatár az adott tagállam által – e cikk (3) bekezdésével, a 14. cikk (1) vagy (2) bekezdésével, a 42. cikk (1) bekezdésével, a 49. cikk (1) bekezdésének második albekezdésével, az 51. cikk (1) bekezdésével vagy az 53. cikkel összhangban – hozott döntések következtében eltér az előző évitől, a tagállam az e cikk (4) bekezdésének való megfelelés érdekében lineárisan csökkenti, illetve növeli valamennyi támogatási jogosultság értékét.”</w:t>
      </w:r>
    </w:p>
    <w:p>
      <w:pPr>
        <w:ind w:left="360"/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jc w:val="center"/>
        <w:rPr>
          <w:b/>
          <w:noProof/>
        </w:rPr>
      </w:pPr>
      <w:r>
        <w:rPr>
          <w:b/>
          <w:noProof/>
        </w:rPr>
        <w:t>Hatálybalépés és alkalmazás</w:t>
      </w:r>
    </w:p>
    <w:p>
      <w:p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harmadik napon lép hatályba.</w:t>
      </w:r>
    </w:p>
    <w:p>
      <w:pPr>
        <w:rPr>
          <w:noProof/>
        </w:rPr>
      </w:pPr>
      <w:r>
        <w:rPr>
          <w:noProof/>
        </w:rPr>
        <w:t xml:space="preserve">Ezt a rendeletet 2019. március 1-jétől kell alkalmazni. </w:t>
      </w:r>
    </w:p>
    <w:p>
      <w:pPr>
        <w:pStyle w:val="Applicationdirecte"/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  <w:sectPr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az elnök</w:t>
      </w:r>
      <w:r>
        <w:rPr>
          <w:noProof/>
        </w:rPr>
        <w:tab/>
        <w:t>az elnök</w:t>
      </w:r>
    </w:p>
    <w:p>
      <w:pPr>
        <w:pStyle w:val="Fichefinanciretitre"/>
        <w:rPr>
          <w:noProof/>
        </w:rPr>
      </w:pPr>
      <w:r>
        <w:rPr>
          <w:noProof/>
        </w:rPr>
        <w:t>PÉNZÜGYI KIMUTATÁS</w:t>
      </w:r>
    </w:p>
    <w:p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884"/>
        <w:gridCol w:w="1275"/>
        <w:gridCol w:w="142"/>
        <w:gridCol w:w="1134"/>
        <w:gridCol w:w="14"/>
        <w:gridCol w:w="411"/>
        <w:gridCol w:w="567"/>
        <w:gridCol w:w="1134"/>
      </w:tblGrid>
      <w:tr>
        <w:trPr>
          <w:trHeight w:val="355"/>
        </w:trPr>
        <w:tc>
          <w:tcPr>
            <w:tcW w:w="7016" w:type="dxa"/>
            <w:gridSpan w:val="6"/>
            <w:vMerge w:val="restart"/>
          </w:tcPr>
          <w:p>
            <w:pPr>
              <w:jc w:val="center"/>
              <w:rPr>
                <w:rFonts w:eastAsia="Times New Roman"/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PÉNZÜGYI KIMUTATÁS</w:t>
            </w:r>
          </w:p>
        </w:tc>
        <w:tc>
          <w:tcPr>
            <w:tcW w:w="2112" w:type="dxa"/>
            <w:gridSpan w:val="3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FS/18/CS/pl 5249450</w:t>
            </w:r>
          </w:p>
        </w:tc>
      </w:tr>
      <w:tr>
        <w:trPr>
          <w:trHeight w:val="355"/>
        </w:trPr>
        <w:tc>
          <w:tcPr>
            <w:tcW w:w="7016" w:type="dxa"/>
            <w:gridSpan w:val="6"/>
            <w:vMerge/>
            <w:tcBorders>
              <w:bottom w:val="nil"/>
            </w:tcBorders>
          </w:tcPr>
          <w:p>
            <w:pPr>
              <w:jc w:val="center"/>
              <w:rPr>
                <w:rFonts w:eastAsia="Times New Roman"/>
                <w:b/>
                <w:noProof/>
                <w:sz w:val="40"/>
                <w:lang w:eastAsia="en-GB"/>
              </w:rPr>
            </w:pPr>
          </w:p>
        </w:tc>
        <w:tc>
          <w:tcPr>
            <w:tcW w:w="2112" w:type="dxa"/>
            <w:gridSpan w:val="3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6.15.2018.1</w:t>
            </w:r>
          </w:p>
        </w:tc>
      </w:tr>
      <w:tr>
        <w:tc>
          <w:tcPr>
            <w:tcW w:w="7016" w:type="dxa"/>
            <w:gridSpan w:val="6"/>
            <w:tcBorders>
              <w:top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2112" w:type="dxa"/>
            <w:gridSpan w:val="3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DÁTUM: 2018.09.13.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1.</w:t>
            </w:r>
          </w:p>
        </w:tc>
        <w:tc>
          <w:tcPr>
            <w:tcW w:w="6449" w:type="dxa"/>
            <w:gridSpan w:val="5"/>
            <w:tcBorders>
              <w:left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KÖLTSÉGVETÉSI TÉTEL: a jelenlegi TPK: 2. fejezet, a 2021–2027-es időszakra vonatkozó TPK-ra irányuló javaslat: 3. fejezet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2019. évi költségvetési tervezet: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05 03 Közvetlen kifizetések a pénzügyi fegyelmi mechanizmus alkalmazása után: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05 04 60 Európai Mezőgazdasági Vidékfejlesztési Alap (EMVA) (2014–2020)</w:t>
            </w:r>
          </w:p>
        </w:tc>
        <w:tc>
          <w:tcPr>
            <w:tcW w:w="2112" w:type="dxa"/>
            <w:gridSpan w:val="3"/>
            <w:tcBorders>
              <w:left w:val="nil"/>
            </w:tcBorders>
          </w:tcPr>
          <w:p>
            <w:pPr>
              <w:tabs>
                <w:tab w:val="left" w:pos="1736"/>
              </w:tabs>
              <w:spacing w:before="0" w:after="0"/>
              <w:ind w:right="136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ELŐIRÁNYZATOK:</w:t>
            </w:r>
          </w:p>
          <w:p>
            <w:pPr>
              <w:tabs>
                <w:tab w:val="left" w:pos="1736"/>
              </w:tabs>
              <w:spacing w:before="0" w:after="0"/>
              <w:ind w:right="136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millió EUR</w:t>
            </w:r>
          </w:p>
          <w:p>
            <w:pPr>
              <w:tabs>
                <w:tab w:val="left" w:pos="1736"/>
              </w:tabs>
              <w:spacing w:before="0" w:after="0"/>
              <w:ind w:right="136"/>
              <w:jc w:val="right"/>
              <w:rPr>
                <w:rFonts w:eastAsia="Times New Roman"/>
                <w:noProof/>
                <w:sz w:val="20"/>
                <w:lang w:eastAsia="en-GB"/>
              </w:rPr>
            </w:pPr>
          </w:p>
          <w:p>
            <w:pPr>
              <w:tabs>
                <w:tab w:val="left" w:pos="1736"/>
              </w:tabs>
              <w:spacing w:before="0" w:after="0"/>
              <w:ind w:right="136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40 981,6</w:t>
            </w:r>
          </w:p>
          <w:p>
            <w:pPr>
              <w:tabs>
                <w:tab w:val="left" w:pos="1736"/>
              </w:tabs>
              <w:spacing w:before="0" w:after="0"/>
              <w:ind w:right="136"/>
              <w:jc w:val="right"/>
              <w:rPr>
                <w:rFonts w:eastAsia="Times New Roman"/>
                <w:noProof/>
                <w:sz w:val="20"/>
                <w:lang w:eastAsia="en-GB"/>
              </w:rPr>
            </w:pPr>
          </w:p>
          <w:p>
            <w:pPr>
              <w:tabs>
                <w:tab w:val="left" w:pos="1736"/>
              </w:tabs>
              <w:spacing w:before="0" w:after="0"/>
              <w:ind w:right="136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14 673,6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2.</w:t>
            </w:r>
          </w:p>
        </w:tc>
        <w:tc>
          <w:tcPr>
            <w:tcW w:w="8561" w:type="dxa"/>
            <w:gridSpan w:val="8"/>
            <w:tcBorders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CÍM: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Az 1305/2013/EU és az 1307/2013/EU rendeletnek a közvetlen kifizetésekkel és a vidékfejlesztési támogatásokkal kapcsolatos egyes szabályok 2019-es és 2020-as év vonatkozásában történő módosításáról szóló európai parlamenti és tanácsi rendeletre irányuló javaslat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</w:p>
        </w:tc>
        <w:tc>
          <w:tcPr>
            <w:tcW w:w="8561" w:type="dxa"/>
            <w:gridSpan w:val="8"/>
            <w:tcBorders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JOGALAP: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Az Európai Unió működéséről szóló szerződés 42. cikke és 43. cikkének (2) bekezdése 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4.</w:t>
            </w:r>
          </w:p>
        </w:tc>
        <w:tc>
          <w:tcPr>
            <w:tcW w:w="8561" w:type="dxa"/>
            <w:gridSpan w:val="8"/>
            <w:tcBorders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CÉLKITŰZÉSEK: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E javaslat célja, hogy két, a közös agrárpolitikával (KAP) összefüggő jogi aktus kiigazítása révén folytonosságot biztosítson az európai mezőgazdasági termelőknek 2019-ben és 2020-ban nyújtandó támogatások, azaz az 1305/2013/EU rendelet szerinti vidékfejlesztési támogatások és az 1307/2013/EU rendelet szerinti közvetlen kifizetések tekintetében. 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5.</w:t>
            </w:r>
          </w:p>
        </w:tc>
        <w:tc>
          <w:tcPr>
            <w:tcW w:w="3884" w:type="dxa"/>
            <w:tcBorders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PÉNZÜGYI HATÁSOK</w:t>
            </w:r>
          </w:p>
        </w:tc>
        <w:tc>
          <w:tcPr>
            <w:tcW w:w="1417" w:type="dxa"/>
            <w:gridSpan w:val="2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12 HÓNAPOS IDŐSZAK</w:t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br/>
              <w:t>(millió EUR)</w:t>
            </w:r>
          </w:p>
        </w:tc>
        <w:tc>
          <w:tcPr>
            <w:tcW w:w="1559" w:type="dxa"/>
            <w:gridSpan w:val="3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FOLYÓ PÉNZÜGYI ÉV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(millió EUR)</w:t>
            </w:r>
          </w:p>
        </w:tc>
        <w:tc>
          <w:tcPr>
            <w:tcW w:w="1701" w:type="dxa"/>
            <w:gridSpan w:val="2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KÖVETKEZŐ PÉNZÜGYI ÉV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(millió EUR)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5.0.</w:t>
            </w:r>
          </w:p>
        </w:tc>
        <w:tc>
          <w:tcPr>
            <w:tcW w:w="3884" w:type="dxa"/>
            <w:tcBorders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KIADÁSOK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–</w:t>
            </w:r>
            <w:r>
              <w:rPr>
                <w:noProof/>
                <w:sz w:val="20"/>
              </w:rPr>
              <w:tab/>
              <w:t>AZ EU-KÖLTSÉGVETÉS TERHÉRE</w:t>
            </w:r>
            <w:r>
              <w:rPr>
                <w:noProof/>
                <w:sz w:val="20"/>
              </w:rPr>
              <w:br/>
              <w:t>(VISSZATÉRÍTÉSEK/BEAVATKOZÁSOK)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–</w:t>
            </w:r>
            <w:r>
              <w:rPr>
                <w:noProof/>
                <w:sz w:val="20"/>
              </w:rPr>
              <w:tab/>
              <w:t>NEMZETI HATÓSÁGOK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–</w:t>
            </w:r>
            <w:r>
              <w:rPr>
                <w:noProof/>
                <w:sz w:val="20"/>
              </w:rPr>
              <w:tab/>
              <w:t>EGYÉB</w:t>
            </w:r>
          </w:p>
        </w:tc>
        <w:tc>
          <w:tcPr>
            <w:tcW w:w="1417" w:type="dxa"/>
            <w:gridSpan w:val="2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  <w:p>
            <w:pPr>
              <w:spacing w:before="0" w:after="0"/>
              <w:jc w:val="right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n. a.</w:t>
            </w:r>
          </w:p>
        </w:tc>
        <w:tc>
          <w:tcPr>
            <w:tcW w:w="1701" w:type="dxa"/>
            <w:gridSpan w:val="2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n. a.</w:t>
            </w:r>
          </w:p>
          <w:p>
            <w:pPr>
              <w:spacing w:before="0" w:after="0"/>
              <w:jc w:val="right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5.1.</w:t>
            </w:r>
          </w:p>
        </w:tc>
        <w:tc>
          <w:tcPr>
            <w:tcW w:w="3884" w:type="dxa"/>
            <w:tcBorders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BEVÉTELEK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–</w:t>
            </w:r>
            <w:r>
              <w:rPr>
                <w:noProof/>
                <w:sz w:val="20"/>
              </w:rPr>
              <w:tab/>
              <w:t xml:space="preserve">AZ EU SAJÁT FORRÁSAI </w:t>
            </w:r>
            <w:r>
              <w:rPr>
                <w:noProof/>
                <w:sz w:val="20"/>
              </w:rPr>
              <w:br/>
              <w:t>(LEFÖLÖZÉSEK/VÁMOK)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–</w:t>
            </w:r>
            <w:r>
              <w:rPr>
                <w:noProof/>
                <w:sz w:val="20"/>
              </w:rPr>
              <w:tab/>
              <w:t>NEMZETI SZINTŰ BEVÉTELEK</w:t>
            </w:r>
          </w:p>
        </w:tc>
        <w:tc>
          <w:tcPr>
            <w:tcW w:w="1417" w:type="dxa"/>
            <w:gridSpan w:val="2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3884" w:type="dxa"/>
            <w:tcBorders>
              <w:left w:val="nil"/>
              <w:bottom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2017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</w:tr>
      <w:tr>
        <w:tc>
          <w:tcPr>
            <w:tcW w:w="567" w:type="dxa"/>
            <w:tcBorders>
              <w:top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5.0.1.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KIADÁSI ELŐIRÁNYZAT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top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5.1.1.</w:t>
            </w:r>
          </w:p>
        </w:tc>
        <w:tc>
          <w:tcPr>
            <w:tcW w:w="3884" w:type="dxa"/>
            <w:tcBorders>
              <w:top w:val="nil"/>
              <w:lef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BEVÉTELI ELŐIRÁNYZAT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  <w:lang w:eastAsia="en-GB"/>
              </w:rPr>
            </w:pP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5.2.</w:t>
            </w:r>
          </w:p>
        </w:tc>
        <w:tc>
          <w:tcPr>
            <w:tcW w:w="8561" w:type="dxa"/>
            <w:gridSpan w:val="8"/>
            <w:tcBorders>
              <w:left w:val="nil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SZÁMÍTÁS MÓDJA: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Lásd az észrevételeket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6.0.</w:t>
            </w:r>
          </w:p>
        </w:tc>
        <w:tc>
          <w:tcPr>
            <w:tcW w:w="7427" w:type="dxa"/>
            <w:gridSpan w:val="7"/>
            <w:tcBorders>
              <w:left w:val="nil"/>
              <w:right w:val="nil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FINANSZÍROZHATÓ-E A PROJEKT A FOLYÓ KÖLTSÉGVETÉS VONATKOZÓ ALCÍMÉBEN SZEREPLŐ ELŐIRÁNYZATOKBÓL?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n. a.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6.1.</w:t>
            </w:r>
          </w:p>
        </w:tc>
        <w:tc>
          <w:tcPr>
            <w:tcW w:w="7427" w:type="dxa"/>
            <w:gridSpan w:val="7"/>
            <w:tcBorders>
              <w:left w:val="nil"/>
              <w:right w:val="nil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FINANSZÍROZHATÓ-E A PROJEKT A FOLYÓ KÖLTSÉGVETÉS ALCÍMEI KÖZÖTTI ÁTCSOPORTOSÍTÁSSAL?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n. a.</w:t>
            </w:r>
          </w:p>
        </w:tc>
      </w:tr>
      <w:t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6.2.</w:t>
            </w:r>
          </w:p>
        </w:tc>
        <w:tc>
          <w:tcPr>
            <w:tcW w:w="7427" w:type="dxa"/>
            <w:gridSpan w:val="7"/>
            <w:tcBorders>
              <w:left w:val="nil"/>
              <w:right w:val="nil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SZÜKSÉG LESZ-E PÓTKÖLTSÉGVETÉSRE?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NEM</w:t>
            </w:r>
          </w:p>
        </w:tc>
      </w:tr>
      <w:tr>
        <w:tc>
          <w:tcPr>
            <w:tcW w:w="567" w:type="dxa"/>
            <w:tcBorders>
              <w:right w:val="nil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6.3.</w:t>
            </w:r>
          </w:p>
        </w:tc>
        <w:tc>
          <w:tcPr>
            <w:tcW w:w="7427" w:type="dxa"/>
            <w:gridSpan w:val="7"/>
            <w:tcBorders>
              <w:left w:val="nil"/>
              <w:right w:val="nil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SZÜKSÉG LESZ-E ELŐIRÁNYZATOK BEVEZETÉSÉRE A JÖVŐBENI KÖLTSÉGVETÉSEKBE?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IGEN (lásd az észrevételeket)</w:t>
            </w:r>
          </w:p>
        </w:tc>
      </w:tr>
      <w:tr>
        <w:tc>
          <w:tcPr>
            <w:tcW w:w="9128" w:type="dxa"/>
            <w:gridSpan w:val="9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ÉSZREVÉTELEK: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sz w:val="16"/>
                <w:szCs w:val="16"/>
                <w:lang w:eastAsia="en-GB"/>
              </w:rPr>
            </w:pP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Az 1305/2013/EU rendelet szerinti vidékfejlesztési támogatás (EMVA) tekintetében a javaslat a 2019–2021-es időszak pénzügyi éveire vonatkozik, az 1307/2013/EU rendelet szerinti közvetlen kifizetéseket érintő javasolt módosítások pedig a 2020-as pénzügyi évhez/2021-es naptári évhez kapcsolódnak. 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A javaslatnak nincs a kiadások növekedésével járó pénzügyi hatása. 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Azon javasolt rendelkezések hatása, amelyek alapján a tagállamok összegeket csoportosíthatnak át a 2020-as naptári évre/2021-es pénzügyi évre vonatkozóan a közvetlen kifizetésekre elkülönített összegek és a 2021-es pénzügyi évre vonatkozó EMVA-keret között, valamint a közvetlen kifizetések 2020-as naptári évben történő csökkentéseinek eredményeképpen keletkező becsült összegeket átcsoportosíthatják a 2021-es EMVA-kerethez, a rendelet tagállamok általi végrehajtásától függ majd, így jelenleg nem számszerűsíthető. 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Az ilyen átcsoportosítások minden esetben semlegesek lesznek a teljes kötelezettségvállalási előirányzat szempontjából, mivel a közvetlen kifizetésekre elkülönített összegekből történő levonásokat kiegyenlíti az EMVA-ból elkülönített összegek ennek megfelelő növelése, illetve fordítva. 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Ami a kifizetési előirányzatokat illeti, amennyiben e rendelkezések tagállamok általi végrehajtása az EMVA-hoz történő nettó átcsoportosítással jár, az a kifizetések kismértékű – a 2021-es pénzügyi évről az azt követő évekre történő – halasztását vonhatja maga után ahhoz az esethez képest, amelyben a tagállamok általi végrehajtás a közvetlen kifizetési előirányzatok felé történő nettó átcsoportosítással jár vagy egyáltalán nem von maga után átcsoportosítást. 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Ez a hatás azonban jelenleg nem számszerűsíthető, és várhatóan egyébként is minimális lesz.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Példaként megemlíthető, hogy – a tagállamok által a 2020-as naptári évre/2021-es pénzügyi évre vonatkozóan hozott döntések sérelme nélkül – a 2018-as és a 2019-es pénzügyi évben alkalmazott rugalmasság 612 millió EUR, illetve 920 millió EUR összegnek az EMVA-hoz történő nettó átcsoportosításával jár. A csökkentések eredményeképpen keletkező becsült összegek EMVA-hoz történő átcsoportosítása ugyanezekben a pénzügyi években 110 millió EUR-t, illetve 111 millió EUR-t tesz ki. </w:t>
            </w:r>
          </w:p>
          <w:p>
            <w:pPr>
              <w:spacing w:before="0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A korábbi tapasztalatokat és a 2021–2027-es időszakra vonatkozó javasolt költségvetési kereteket figyelembe véve nem valószínű – ugyanakkor jelenleg nem is zárható ki teljesen –, hogy az EMGA-hoz történő nettó átcsoportosításra kerüljön sor. Amennyiben mégis ez az eset állna fenn, az alkalmazandó felső összeghatároknak való megfelelés érdekében előfordulhat, hogy alacsonyabb prioritással kell kezelni a differenciált kiadásokat, például az EMVA-ból teljesített kifizetéseket.</w:t>
            </w:r>
          </w:p>
        </w:tc>
      </w:tr>
    </w:tbl>
    <w:p>
      <w:pPr>
        <w:rPr>
          <w:noProof/>
        </w:rPr>
      </w:pP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 C , , . 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Az Európai Parlament és a Tanács 1305/2013/EU rendelete (2013. december 17.) az Európai Mezőgazdasági Vidékfejlesztési Alapból (EMVA) nyújtandó vidékfejlesztési támogatásról és az 1698/2005/EK tanácsi rendelet hatályon kívül helyezéséről (HL L 347., 2013.12.20., 487. o.).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Az Európai Parlament és a Tanács (EU) 2017/2393 rendelete (2017. december 13.) az Európai Mezőgazdasági Vidékfejlesztési Alapból (EMVA) nyújtandó vidékfejlesztési támogatásról szóló 1305/2013/EU, a közös agrárpolitika finanszírozásáról, irányításáról és monitoringjáról szóló 1306/2013/EU, a közös agrárpolitika keretébe tartozó támogatási rendszerek alapján a mezőgazdasági termelők részére nyújtott közvetlen kifizetésekre vonatkozó szabályok megállapításáról szóló 1307/2013/EU, a mezőgazdasági termékpiacok közös szervezésének létrehozásáról szóló 1308/2013/EU és az élelmiszerlánccal, az állategészségüggyel és állatjóléttel, valamint a növényegészségüggyel és a növényi szaporítóanyagokkal kapcsolatos kiadások kezelésére vonatkozó rendelkezések megállapításáról szóló 652/2014/EU rendelet módosításáról (HL L 350., 2017.12.29., 15. o.).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1307/2013/EU rendelete (2013. december 17.) a közös agrárpolitika keretébe tartozó támogatási rendszerek alapján a mezőgazdasági termelők részére nyújtott közvetlen kifizetésekre vonatkozó szabályok megállapításáról, valamint a 637/2008/EK és a 73/2009/EK tanácsi rendelet hatályon kívül helyezéséről (HL L 347., 2013.12.20., 608. 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189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B40E9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514E0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EDE8B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7D0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EFAD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5B20E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1784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07 15:17:3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3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4F15687-D506-4AF9-A6E0-6F59FA26C621"/>
    <w:docVar w:name="LW_COVERPAGE_TYPE" w:val="1"/>
    <w:docVar w:name="LW_CROSSREFERENCE" w:val="&lt;UNUSED&gt;"/>
    <w:docVar w:name="LW_DocType" w:val="COM"/>
    <w:docVar w:name="LW_EMISSION" w:val="2018.12.7."/>
    <w:docVar w:name="LW_EMISSION_ISODATE" w:val="2018-12-07"/>
    <w:docVar w:name="LW_EMISSION_LOCATION" w:val="BRX"/>
    <w:docVar w:name="LW_EMISSION_PREFIX" w:val="Brüssze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14"/>
    <w:docVar w:name="LW_REF.II.NEW.CP_YEAR" w:val="2018"/>
    <w:docVar w:name="LW_REF.INST.NEW" w:val="COM"/>
    <w:docVar w:name="LW_REF.INST.NEW_ADOPTED" w:val="final"/>
    <w:docVar w:name="LW_REF.INST.NEW_TEXT" w:val="(2018) 8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1305/2013/EU és az 1307/2013/EU rendeletnek a közvetlen kifizetésekkel és a vidékfejlesztési támogatásokkal kapcsolatos egyes szabályok 2019-es és 2020-as év vonatkozásában történ\u337? módosításáról "/>
    <w:docVar w:name="LW_TYPE.DOC.CP" w:val="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ManualHeading2g1">
    <w:name w:val="Manual Heading 2g 1"/>
    <w:basedOn w:val="ManualHeading1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ManualHeading2g1">
    <w:name w:val="Manual Heading 2g 1"/>
    <w:basedOn w:val="ManualHeading1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43420428-275f-4ab9-a918-4cdd10fcb441" xsi:nil="true"/>
    <_Status xmlns="http://schemas.microsoft.com/sharepoint/v3/fields">Not Started</_Status>
    <EC_Collab_DocumentLanguage xmlns="43420428-275f-4ab9-a918-4cdd10fcb441">EN</EC_Collab_DocumentLanguage>
    <EC_Collab_Status xmlns="43420428-275f-4ab9-a918-4cdd10fcb441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1D959551336834BAE63FDF645310974" ma:contentTypeVersion="0" ma:contentTypeDescription="Create a new document in this library." ma:contentTypeScope="" ma:versionID="2c0d669f53e33e182a613a132957d548">
  <xsd:schema xmlns:xsd="http://www.w3.org/2001/XMLSchema" xmlns:xs="http://www.w3.org/2001/XMLSchema" xmlns:p="http://schemas.microsoft.com/office/2006/metadata/properties" xmlns:ns2="http://schemas.microsoft.com/sharepoint/v3/fields" xmlns:ns3="43420428-275f-4ab9-a918-4cdd10fcb441" targetNamespace="http://schemas.microsoft.com/office/2006/metadata/properties" ma:root="true" ma:fieldsID="1a90ed334c09365c6decdcb9b9653cfd" ns2:_="" ns3:_="">
    <xsd:import namespace="http://schemas.microsoft.com/sharepoint/v3/fields"/>
    <xsd:import namespace="43420428-275f-4ab9-a918-4cdd10fcb44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0428-275f-4ab9-a918-4cdd10fcb44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941651-53D3-45F0-A0AA-16660234FF3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3420428-275f-4ab9-a918-4cdd10fcb441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26A7E2-86B4-453F-A21F-13365291E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3674-83DA-4802-A50A-8BD150A5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3420428-275f-4ab9-a918-4cdd10fcb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73674-058E-422E-AC8A-A135D287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11</Pages>
  <Words>2955</Words>
  <Characters>21043</Characters>
  <Application>Microsoft Office Word</Application>
  <DocSecurity>0</DocSecurity>
  <Lines>447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33</cp:revision>
  <cp:lastPrinted>2018-09-12T11:21:00Z</cp:lastPrinted>
  <dcterms:created xsi:type="dcterms:W3CDTF">2018-12-07T08:46:00Z</dcterms:created>
  <dcterms:modified xsi:type="dcterms:W3CDTF">2018-12-07T14:17:00Z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ContentTypeId">
    <vt:lpwstr>0x010100258AA79CEB83498886A3A0868112325000A1D959551336834BAE63FDF645310974</vt:lpwstr>
  </property>
  <property fmtid="{D5CDD505-2E9C-101B-9397-08002B2CF9AE}" pid="11" name="DQCStatus">
    <vt:lpwstr>Green (DQC version 03)</vt:lpwstr>
  </property>
</Properties>
</file>