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E169C95-3662-4846-8596-1F7ECD612D6C"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 xml:space="preserve">Dette forslag har til formål at skabe vished og kontinuitet i tildelingen af støtte til de europæiske landbrugere i 2019 og 2020 gennem en tilpasning af to retsakter inden for rammerne af den fælles landbrugspolitik. </w:t>
      </w:r>
    </w:p>
    <w:p>
      <w:pPr>
        <w:rPr>
          <w:noProof/>
        </w:rPr>
      </w:pPr>
      <w:r>
        <w:rPr>
          <w:noProof/>
        </w:rPr>
        <w:t>Hvad angår udvikling af landdistrikterne, er visse ændringer af forordning (EU) nr. 1305/2013 (herefter "forordning om udvikling af landdistrikterne") nødvendige for at sikre kontinuiteten i politikken i de sidste år af programmeringsperioden og en gnidningsløs overgang til næste programmeringsperiode. Disse ændringer vedrører en ny tidsplan for den gradvis udfasning af betalinger for andre områder end bjergområder med naturbetingede begrænsninger og anvendelse af teknisk bistand inden for rammerne af ELFUL, der er overført på Kommissionens initiativ, for foranstaltninger til forberedelse af gennemførelsen af den fremtidige fælles landbrugspolitik.</w:t>
      </w:r>
    </w:p>
    <w:p>
      <w:pPr>
        <w:rPr>
          <w:noProof/>
        </w:rPr>
      </w:pPr>
      <w:r>
        <w:rPr>
          <w:noProof/>
        </w:rPr>
        <w:t xml:space="preserve">Hvad angår direkte betalinger, er der visse bestemmelser i forordning (EU) nr. 1307/2013 (herefter "forordningen om direkte betalinger"), som ikke omfatter kalenderår 2020, eftersom udgifter vedrørende kalenderår 2020 gennemføres i regnskabsår 2021, som er det første år i den nye flerårige finansielle ramme (FFR) 2021-2027. Da forordningen blev vedtaget, var det derfor ikke muligt at indgå forpligtelser, som vedrører den fremtidige flerårige finansielle ramme. Hvis forordning (EU) nr. 1307/2013 ikke ændres, vil nogle medlemsstater komme til at stå over for voldsomme finansielle virkninger med hensyn til direkte betalinger i kalenderår 2020, som er mere vidtrækkende end dem, der vedrører de nye finansielle rammer (FFR 2021-2027). Disse medlemsstater vil blive stillet over for betydelige ændringer af deres bevillinger for direkte betalinger og udvikling af landdistrikterne med betydelig indvirkning til følge på betalingerne til landbrugerne under begge søjler. Derudover er der tilføjet andre tekniske aspekter, som vil lette gennemførelsen af den nuværende retlige ramme. </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De foreslåede ændringer er forenelige med forordningen om udvikling af landdistrikterne og forordningen om direkte betalinger, og forslaget er derfor i overensstemmelse med de gældende bestemmelser i den fælles landbrugspolitik.</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Ikke relevant</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keepNext/>
        <w:tabs>
          <w:tab w:val="left" w:pos="0"/>
        </w:tabs>
        <w:outlineLvl w:val="1"/>
        <w:rPr>
          <w:noProof/>
          <w:u w:color="000000"/>
          <w:bdr w:val="nil"/>
        </w:rPr>
      </w:pPr>
      <w:r>
        <w:rPr>
          <w:noProof/>
        </w:rPr>
        <w:t xml:space="preserve">Artikel 42 og artikel 43, stk. 2, i traktaten om Den Europæiske Unions funktionsmåde (TEUF). </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keepNext/>
        <w:tabs>
          <w:tab w:val="left" w:pos="0"/>
        </w:tabs>
        <w:outlineLvl w:val="1"/>
        <w:rPr>
          <w:noProof/>
          <w:u w:color="000000"/>
          <w:bdr w:val="nil"/>
        </w:rPr>
      </w:pPr>
      <w:r>
        <w:rPr>
          <w:noProof/>
        </w:rPr>
        <w:t>I traktaten om Den Europæiske Unions funktionsmåde er det fastsat, at kompetencen med hensyn til landbruget er delt mellem Unionen og medlemsstaterne. Unionen udøver sin kompetence gennem vedtagelsen af forskellige retsakter, hvormed en fælles landbrugspolitik i EU som fastsat i artikel 38-44 i traktaten om Den Europæiske Unions funktionsmåde fastlægges og gennemføres. Ved forordning (EU) nr. 1305/2013 og (EU) nr. 1307/2013 blev der indført et system for støtte til udvikling af landdistrikterne og for direkte betalinger til landbrugerne. I henhold til artikel 39 i TEUF er et af den fælles landbrugspolitiks traktatfæstede mål bl.a. at sikre landbrugsbefolkningen en rimelig levestandard, og det foreslåede initiativ er i tråd med dette mål. Den fælles landbrugspolitik finansierer således direkte betalinger gennem Den Europæiske Garantifond for Landbruget (EGFL), og forordning (EU) nr. 1307/2013 regulerer betalingerne på EU-plan. Støtten til udvikling af landdistrikterne er en integreret del af den fælles landbrugspolitik og bidrager til målene for den fælles landbrugspolitik, som er fastsat i traktaten om Den Europæiske Unions funktionsmåde. Forslagets merværdi består i at sørge for vished og stabilitet vedrørende direkte indkomststøtte til EU's landbrugere i 2020 og støtte til udvikling af landdistrikterne i de sidste år af den nuværende programmeringsperiode. Disse mål kan kun opfyldes, hvis EU-medlovgiverne ændrer forordning (EU) nr. 1305/2013 og (EU) nr. 1307/2013.</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u w:color="000000"/>
          <w:bdr w:val="nil"/>
        </w:rPr>
      </w:pPr>
      <w:r>
        <w:rPr>
          <w:noProof/>
        </w:rPr>
        <w:t xml:space="preserve">Forslaget indebærer ingen nye politiske tiltag i forhold til de retsakter, som det har til formål at ændre. Forslaget ændrer de eksisterende forordninger i det omfang, det er nødvendigt for at nå de ovenfor anførte mål.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noProof/>
          <w:u w:color="000000"/>
          <w:bdr w:val="nil"/>
        </w:rPr>
      </w:pPr>
      <w:r>
        <w:rPr>
          <w:noProof/>
        </w:rPr>
        <w:t xml:space="preserve">Eftersom de oprindelige retsakter er Europa-Parlamentets og Rådets forordninger, skal ændringerne også indføres i form af en forordning fra Europa-Parlamentet og Rådet efter den almindelige lovgivningsprocedure. </w:t>
      </w:r>
    </w:p>
    <w:p>
      <w:pPr>
        <w:pStyle w:val="ManualHeading1"/>
        <w:rPr>
          <w:noProof/>
        </w:rPr>
      </w:pPr>
      <w:r>
        <w:rPr>
          <w:noProof/>
        </w:rPr>
        <w:t>3.</w:t>
      </w:r>
      <w:r>
        <w:rPr>
          <w:noProof/>
        </w:rPr>
        <w:tab/>
        <w:t>RESULTATER AF EFTERFØLGENDE EVALUERINGER, HØRINGER AF INTERESSEREDE PARTER OG KONSEKVENSANALYSER</w:t>
      </w:r>
    </w:p>
    <w:p>
      <w:pPr>
        <w:rPr>
          <w:rFonts w:eastAsia="Times New Roman"/>
          <w:noProof/>
        </w:rPr>
      </w:pPr>
      <w:r>
        <w:rPr>
          <w:noProof/>
        </w:rPr>
        <w:t xml:space="preserve">Forslaget afviger fra den gængse praksis således som i retningslinjerne for bedre regulering og den tilhørende værktøjskasse. En afvigelse fra den gængse praksis er nødvendig af følgende grunde: </w:t>
      </w:r>
    </w:p>
    <w:p>
      <w:pPr>
        <w:rPr>
          <w:rFonts w:eastAsia="Times New Roman"/>
          <w:noProof/>
        </w:rPr>
      </w:pPr>
      <w:r>
        <w:rPr>
          <w:noProof/>
        </w:rPr>
        <w:t xml:space="preserve">- forslaget er meget teknisk, hvad angår anvendelsesområde </w:t>
      </w:r>
    </w:p>
    <w:p>
      <w:pPr>
        <w:rPr>
          <w:rFonts w:eastAsia="Times New Roman"/>
          <w:noProof/>
        </w:rPr>
      </w:pPr>
      <w:r>
        <w:rPr>
          <w:noProof/>
        </w:rPr>
        <w:t>- initiativet er begrænset til de sidste år af den nuværende programmeringsperiode</w:t>
      </w:r>
    </w:p>
    <w:p>
      <w:pPr>
        <w:rPr>
          <w:rFonts w:eastAsia="Times New Roman"/>
          <w:noProof/>
        </w:rPr>
      </w:pPr>
      <w:r>
        <w:rPr>
          <w:noProof/>
        </w:rPr>
        <w:t xml:space="preserve">- forslaget indeholder ingen nye politiske forpligtelser. </w:t>
      </w:r>
    </w:p>
    <w:p>
      <w:pPr>
        <w:rPr>
          <w:noProof/>
        </w:rPr>
      </w:pPr>
      <w:r>
        <w:rPr>
          <w:noProof/>
        </w:rPr>
        <w:t xml:space="preserve">En konsekvensanalyse, offentlig høring og køreplan der derfor ikke egnet til dette forslag. Herudover er en hurtig vedtagelse ved medlovgiverne hastende, da lovgivningen allerede skal være i kraft i 2019. </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Ekspertbistand</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I dette forslag overholdes de grundlæggende rettigheder og de principper, som bl.a. Den Europæiske Unions charter om grundlæggende rettigheder anerkender.</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 xml:space="preserve">Den foreslåede mulighed for medlemsstaterne for at fortsætte med den nuværende fleksibilitet mellem direkte betalinger og udvikling af landdistrikterne i kalenderåret 2020 (regnskabsåret 2021) og overførslen af det anslåede resultat af nedsættelsen af direkte betalinger til udvikling af landdistrikterne i det pågældende år, kan, afhængig af medlemsstaternes beslutninger, påvirke fordelingen mellem direkte betalinger og udvikling af landdistrikterne. Sådanne overførsler vil dog være neutrale for så vidt angår de samlede budgetmæssige forpligtelser. </w:t>
      </w:r>
    </w:p>
    <w:p>
      <w:pPr>
        <w:pBdr>
          <w:top w:val="nil"/>
          <w:left w:val="nil"/>
          <w:bottom w:val="nil"/>
          <w:right w:val="nil"/>
          <w:between w:val="nil"/>
          <w:bar w:val="nil"/>
        </w:pBdr>
        <w:spacing w:before="0" w:after="240"/>
        <w:rPr>
          <w:noProof/>
        </w:rPr>
      </w:pPr>
      <w:r>
        <w:rPr>
          <w:noProof/>
        </w:rPr>
        <w:t>Nærmere oplysninger om dette forslags finansielle indvirkninger findes i den finansieringsoversigt, der er vedføjet som bilag til forslaget.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noProof/>
        </w:rPr>
      </w:pPr>
      <w:r>
        <w:rPr>
          <w:noProof/>
        </w:rPr>
        <w:t>Ikke relevant</w:t>
      </w:r>
    </w:p>
    <w:p>
      <w:pPr>
        <w:pStyle w:val="ManualHeading2"/>
        <w:rPr>
          <w:noProof/>
          <w:highlight w:val="yellow"/>
        </w:rPr>
      </w:pPr>
      <w:r>
        <w:rPr>
          <w:noProof/>
        </w:rPr>
        <w:t>•</w:t>
      </w:r>
      <w:r>
        <w:rPr>
          <w:noProof/>
        </w:rPr>
        <w:tab/>
        <w:t>Nærmere redegørelse for de enkelte bestemmelser i forslaget</w:t>
      </w:r>
    </w:p>
    <w:p>
      <w:pPr>
        <w:pStyle w:val="Bullet0"/>
        <w:numPr>
          <w:ilvl w:val="0"/>
          <w:numId w:val="9"/>
        </w:numPr>
        <w:rPr>
          <w:noProof/>
        </w:rPr>
      </w:pPr>
      <w:r>
        <w:rPr>
          <w:noProof/>
        </w:rPr>
        <w:t>Udvikling af landdistrikterne</w:t>
      </w:r>
    </w:p>
    <w:p>
      <w:pPr>
        <w:pStyle w:val="Text1"/>
        <w:rPr>
          <w:noProof/>
        </w:rPr>
      </w:pPr>
      <w:r>
        <w:rPr>
          <w:noProof/>
        </w:rPr>
        <w:t xml:space="preserve">Forslaget gør det muligt for medlemsstaterne at ændre tidsplanen for den gradvise nedsættelse af betalinger for områder, som havde modtaget sådanne betalinger i den foregående programmeringsperiode, mens de i den igangværende periode ikke længere klassificeres som andre områder end bjergområder med naturbetingede begrænsninger i henhold til artikel 31, stk. 5, i forordningen om udvikling af landdistrikterne. Denne ændring følger af forlængelsen af fristen for den nye afgrænsning af sådanne områder til 2019, der blev indført ved forordning (EU) 2017/2393, og som indebærer, at der ved udgangen af den igangværende programmeringsperiode er en kortere tilpasningsperiode for landbrugere, der ikke længere er berettiget til disse betalinger. Denne ændring vil gøre det muligt at beregne overgangsbetalinger for årene 2019 og 2020 på grundlag af betalingsniveauet for programmeringsperioden 2014-2020. Derudover bliver den gradvise nedsættelse af overgangsbetalinger mindre drastisk, da den skal fastsættes af medlemsstaterne, således at den ved slutniveauet stadig udgør halvdelen af startniveauet. </w:t>
      </w:r>
    </w:p>
    <w:p>
      <w:pPr>
        <w:pStyle w:val="Text1"/>
        <w:rPr>
          <w:noProof/>
          <w:highlight w:val="yellow"/>
        </w:rPr>
      </w:pPr>
      <w:r>
        <w:rPr>
          <w:noProof/>
        </w:rPr>
        <w:t>Forslaget forlænger anvendelsen af teknisk bistand på initiativ af Kommissionen, der finansieres af Den Europæiske Landbrugsfond for Udvikling af Landdistrikterne (ELFUL), til at omfatte foranstaltninger i forbindelse med forberedelsen af den fremtidige fælles landbrugspolitik. Forslaget vedrører udelukkende anvendelsesområdet for den tekniske bistand og ændrer ikke den finansielle støtte.</w:t>
      </w:r>
    </w:p>
    <w:p>
      <w:pPr>
        <w:pStyle w:val="Bullet0"/>
        <w:numPr>
          <w:ilvl w:val="0"/>
          <w:numId w:val="9"/>
        </w:numPr>
        <w:rPr>
          <w:noProof/>
        </w:rPr>
      </w:pPr>
      <w:r>
        <w:rPr>
          <w:noProof/>
        </w:rPr>
        <w:t>Fleksibilitet mellem søjlerne i år 2020 og overførsel af resultatet af nedsættelsen af direkte betalinger til udvikling af landdistrikterne.</w:t>
      </w:r>
    </w:p>
    <w:p>
      <w:pPr>
        <w:pStyle w:val="Text1"/>
        <w:rPr>
          <w:noProof/>
        </w:rPr>
      </w:pPr>
      <w:r>
        <w:rPr>
          <w:noProof/>
        </w:rPr>
        <w:t>Forslaget indeholder bestemmelser, hvormed medlemsstaterne får mulighed for at overføre midler mellem søjlerne i kalenderåret 2020 (som svarer til regnskabsåret 2021). I perioden 2015-2019 havde medlemsstaterne mulighed for at overføre midler fra direkte betalinger til udvikling af landdistrikterne og omvendt. En sådan fleksibilitet er ikke fastsat i de gældende bestemmelser for kalenderåret 2020/regnskabsåret 2021.</w:t>
      </w:r>
      <w:r>
        <w:rPr>
          <w:b/>
          <w:noProof/>
        </w:rPr>
        <w:t xml:space="preserve"> </w:t>
      </w:r>
      <w:r>
        <w:rPr>
          <w:noProof/>
        </w:rPr>
        <w:t>Denne finansieringsmekanisme er et vigtigt instrument for at give medlemsstaterne fleksibilitet ved forvaltningen af deres finansieringsrammer og optimere anvendelsen af de disponible midler. Erfaringen viser, at denne mekanisme er et effektivt redskab for medlemsstaterne, og visse medlemsstater overfører et betydeligt beløb mellem de to søjler. Hvis denne fleksibilitet mellem søjlerne ikke er mulig i kalenderåret 2020/regnskabsåret 2021, vil det sandsynligvis føre til alvorlige økonomiske problemer for landbrugerne i visse medlemsstater, eftersom det vil have en betydelig indvirkning på deres finansieringsrammer. Forslaget har derfor til formål at bibeholde muligheden for overførsler mellem søjlerne i kalenderår 2020 på samme vilkår, som i øjeblikket gælder, og at det anslåede resultat af nedsættelsen fortsat kan overføres fra direkte betalinger til udvikling af landdistrikterne.</w:t>
      </w:r>
    </w:p>
    <w:p>
      <w:pPr>
        <w:pBdr>
          <w:top w:val="nil"/>
          <w:left w:val="nil"/>
          <w:bottom w:val="nil"/>
          <w:right w:val="nil"/>
          <w:between w:val="nil"/>
          <w:bar w:val="nil"/>
        </w:pBdr>
        <w:spacing w:before="0" w:after="240"/>
        <w:jc w:val="left"/>
        <w:rPr>
          <w:rFonts w:eastAsia="Arial Unicode MS"/>
          <w:noProof/>
          <w:color w:val="008000"/>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2018/0414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 xml:space="preserve">om ændring af forordning (EU) nr. 1305/2013 og (EU) nr. 1307/2013 for så vidt angår visse regler om direkte betalinger og støtte til udvikling af landdistrikterne for årene 2019 og 2020 </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42 og artikel 43,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Europa-Parlamentets og Rådets forordning (EU) nr. 1305/2013</w:t>
      </w:r>
      <w:r>
        <w:rPr>
          <w:rStyle w:val="FootnoteReference"/>
          <w:noProof/>
        </w:rPr>
        <w:footnoteReference w:id="2"/>
      </w:r>
      <w:r>
        <w:rPr>
          <w:noProof/>
        </w:rPr>
        <w:t xml:space="preserve"> er den nuværende retlige ramme for støtte til udvikling af landdistrikterne. Den giver mulighed at yde støtte til andre områder end bjergområder med naturbetingede begrænsninger. Da fristen for den nye afgrænsning af andre områder end bjergområder med naturbetingede begrænsninger blev forlænget til 2019 ved forordning Europa-Parlamentets og Rådets forordning (EU) 2017/2393</w:t>
      </w:r>
      <w:r>
        <w:rPr>
          <w:rStyle w:val="FootnoteReference"/>
          <w:noProof/>
        </w:rPr>
        <w:footnoteReference w:id="3"/>
      </w:r>
      <w:r>
        <w:rPr>
          <w:noProof/>
        </w:rPr>
        <w:t>, og da landbrugerne, der ikke længere er berettiget til betalinger, har en kortere tilpasningsperiode, skal den gradvise nedsættelse af overgangsbetalinger, der først starter i 2019, starte på højst 80 % af de gennemsnitlige betalinger, der er fastsat for programmeringsperioden 2014-2020. Betalingsniveauet bør fastlægges således, at det ved udgangen af 2020 svarer til halvdelen af startniveauet.</w:t>
      </w:r>
    </w:p>
    <w:p>
      <w:pPr>
        <w:pStyle w:val="ManualConsidrant"/>
        <w:rPr>
          <w:noProof/>
        </w:rPr>
      </w:pPr>
      <w:r>
        <w:t>(2)</w:t>
      </w:r>
      <w:r>
        <w:tab/>
      </w:r>
      <w:r>
        <w:rPr>
          <w:noProof/>
        </w:rPr>
        <w:t>For at yde bistand til medlemsstaterne og interessenterne med henblik på rettidig forberedelse af den fremtidige fælles landbrugspolitik og for at sikre en gnidningsløs overgang til den næste programmeringsperiode bør det præciseres, at det er muligt at finansiere aktiviteter i tilknytning til forberedelsen af den fremtidige fælles landbrugspolitik gennem teknisk bistand på Kommissionens initiativ.</w:t>
      </w:r>
    </w:p>
    <w:p>
      <w:pPr>
        <w:pStyle w:val="ManualConsidrant"/>
        <w:rPr>
          <w:noProof/>
        </w:rPr>
      </w:pPr>
      <w:r>
        <w:t>(3)</w:t>
      </w:r>
      <w:r>
        <w:tab/>
      </w:r>
      <w:r>
        <w:rPr>
          <w:noProof/>
        </w:rPr>
        <w:t>Europa-Parlamentets og Rådets forordning (EU) nr. 1307/2013</w:t>
      </w:r>
      <w:r>
        <w:rPr>
          <w:rStyle w:val="FootnoteReference"/>
          <w:noProof/>
        </w:rPr>
        <w:footnoteReference w:id="4"/>
      </w:r>
      <w:r>
        <w:rPr>
          <w:noProof/>
        </w:rPr>
        <w:t xml:space="preserve"> er den nuværende retlige ramme for direkte betalinger. Mens de fleste af dens bestemmelser kan finde anvendelse, så længe forordningen er i kraft, er der bestemmelser, som udtrykkeligt henviser til kalenderårene 2015-2019, som er omfattet af den flerårige finansielle ramme 2014-2020. Ved enkelte andre bestemmelser var en anvendelse ud over kalenderåret 2019 ikke udtrykkeligt foreskrevet. I juni 2018 forelagde Kommissionen et forslag til en ny forordning, der har til formål at erstatte forordning (EU) nr. 1307/2013, men først fra den 1. januar 2021. Det er derfor hensigtsmæssigt at foretage nogle tekniske justeringer af forordning (EU) nr. 1307/2013, således at den kan anvendes gnidningsløst i kalenderåret 2020.</w:t>
      </w:r>
    </w:p>
    <w:p>
      <w:pPr>
        <w:pStyle w:val="ManualConsidrant"/>
        <w:rPr>
          <w:noProof/>
        </w:rPr>
      </w:pPr>
      <w:r>
        <w:t>(4)</w:t>
      </w:r>
      <w:r>
        <w:tab/>
      </w:r>
      <w:r>
        <w:rPr>
          <w:noProof/>
        </w:rPr>
        <w:t xml:space="preserve">Den forpligtelse, der er fastsat i artikel 11 i forordning (EU) nr. 1307/2013, til at nedsætte den del af beløbet af de direkte betalinger, der tildeles en landbruger for et givet kalenderår, der overstiger 150 000 EUR, gælder så længe, som nævnte forordning er i kraft. For nuværende foreskriver artiklen dog kun en underretningsforpligtelse for medlemsstaterne, hvad angår deres beslutninger og det anslåede resultat af denne nedsættelse for årene 2015-2019. For at sikre en videreførelse af det nuværende system bør det fastsættes i artiklen, at medlemsstaterne ligeledes skal meddele deres beslutninger vedrørende året 2020 og det anslåede resultat for nævnte år. </w:t>
      </w:r>
    </w:p>
    <w:p>
      <w:pPr>
        <w:pStyle w:val="ManualConsidrant"/>
        <w:rPr>
          <w:noProof/>
        </w:rPr>
      </w:pPr>
      <w:r>
        <w:t>(5)</w:t>
      </w:r>
      <w:r>
        <w:tab/>
      </w:r>
      <w:r>
        <w:rPr>
          <w:noProof/>
        </w:rPr>
        <w:t xml:space="preserve">Fleksibilitet mellem søjlerne er en valgfri overførsel af midler mellem direkte betalinger og udvikling af landdistrikterne. I henhold til den nuværende artikel 14 i forordning (EU) nr. 1307/2013 kan medlemsstaterne gøre brug af denne fleksibilitet for kalenderårene 2014-2019. For at sikre at medlemsstaterne kan bibeholde deres egen strategi, bør fleksibiliteten også være mulig for kalenderåret 2020, der svarer til regnskabsåret 2021. </w:t>
      </w:r>
    </w:p>
    <w:p>
      <w:pPr>
        <w:pStyle w:val="ManualConsidrant"/>
        <w:rPr>
          <w:noProof/>
        </w:rPr>
      </w:pPr>
      <w:r>
        <w:t>(6)</w:t>
      </w:r>
      <w:r>
        <w:tab/>
      </w:r>
      <w:r>
        <w:rPr>
          <w:noProof/>
        </w:rPr>
        <w:t>Som følge af ændringen af artikel 14 i forordning (EU) nr. 1307/2013 vedrørende kalenderåret 2020 bør henvisningerne til nævnte artikel tilpasses med hensyn til medlemsstaternes forpligtelse til lineært at nedsætte eller forhøje værdien af betalingsrettighederne som følge af variationer i det årlige nationale loft, der er resultat af anvendelsen af fleksibilitet mellem søjlerne.</w:t>
      </w:r>
    </w:p>
    <w:p>
      <w:pPr>
        <w:pStyle w:val="ManualConsidrant"/>
        <w:rPr>
          <w:noProof/>
          <w:lang w:val="nn-NO"/>
        </w:rPr>
      </w:pPr>
      <w:r>
        <w:t>(7)</w:t>
      </w:r>
      <w:r>
        <w:tab/>
      </w:r>
      <w:r>
        <w:rPr>
          <w:noProof/>
          <w:lang w:val="nn-NO"/>
        </w:rPr>
        <w:t>Forordning (EU) nr. 1305/2013 og (EU) nr. 1307/2013 bør derfor ændres.</w:t>
      </w:r>
    </w:p>
    <w:p>
      <w:pPr>
        <w:pStyle w:val="ManualConsidrant"/>
        <w:rPr>
          <w:noProof/>
        </w:rPr>
      </w:pPr>
      <w:r>
        <w:t>(8)</w:t>
      </w:r>
      <w:r>
        <w:tab/>
      </w:r>
      <w:r>
        <w:rPr>
          <w:noProof/>
        </w:rPr>
        <w:t xml:space="preserve">For omgående at kunne give medlemsstaterne den nødvendige fleksibilitet og sikre kontinuiteten i politikken for udvikling af landdistrikterne i de sidste år af programmeringsperioden 2014-2020 bør denne forordning anvendes fra den 1. marts 2019 — </w:t>
      </w:r>
    </w:p>
    <w:p>
      <w:pPr>
        <w:pStyle w:val="Formuledadoption"/>
        <w:rPr>
          <w:noProof/>
        </w:rPr>
      </w:pPr>
      <w:r>
        <w:rPr>
          <w:noProof/>
        </w:rPr>
        <w:t>VEDTAGET DENNE FORORDNING:</w:t>
      </w:r>
    </w:p>
    <w:p>
      <w:pPr>
        <w:pStyle w:val="Titrearticle"/>
        <w:rPr>
          <w:noProof/>
        </w:rPr>
      </w:pPr>
      <w:r>
        <w:rPr>
          <w:noProof/>
        </w:rPr>
        <w:t>Artikel 1</w:t>
      </w:r>
    </w:p>
    <w:p>
      <w:pPr>
        <w:jc w:val="center"/>
        <w:rPr>
          <w:b/>
          <w:noProof/>
        </w:rPr>
      </w:pPr>
      <w:r>
        <w:rPr>
          <w:b/>
          <w:noProof/>
        </w:rPr>
        <w:t>Ændring af forordning (EU) nr. 1305/2013</w:t>
      </w:r>
    </w:p>
    <w:p>
      <w:pPr>
        <w:rPr>
          <w:noProof/>
        </w:rPr>
      </w:pPr>
      <w:r>
        <w:rPr>
          <w:noProof/>
        </w:rPr>
        <w:t>I forordning (EU) nr. 1305/2013 foretages følgende ændringer:</w:t>
      </w:r>
    </w:p>
    <w:p>
      <w:pPr>
        <w:pStyle w:val="Point0number"/>
        <w:numPr>
          <w:ilvl w:val="0"/>
          <w:numId w:val="12"/>
        </w:numPr>
        <w:rPr>
          <w:noProof/>
        </w:rPr>
      </w:pPr>
      <w:r>
        <w:rPr>
          <w:noProof/>
        </w:rPr>
        <w:t>I artikel 31, stk. 5, indsættes som andet afsnit:</w:t>
      </w:r>
    </w:p>
    <w:p>
      <w:pPr>
        <w:pStyle w:val="Text1"/>
        <w:rPr>
          <w:i/>
          <w:noProof/>
        </w:rPr>
      </w:pPr>
      <w:r>
        <w:rPr>
          <w:noProof/>
        </w:rPr>
        <w:t>"Uanset første afsnit gælder det, at hvis den gradvise nedsættelse af betalingerne først begynder i 2019, starter disse betalinger på højst 80 % af den gennemsnitlige betaling, der er fastsat for programmeringsperioden 2014-2020. Betalingsniveauet fastsættes således, at slutniveauet i 2020 svarer til halvdelen af startniveauet."</w:t>
      </w:r>
      <w:r>
        <w:rPr>
          <w:noProof/>
        </w:rPr>
        <w:br/>
      </w:r>
    </w:p>
    <w:p>
      <w:pPr>
        <w:pStyle w:val="Point0number"/>
        <w:rPr>
          <w:noProof/>
        </w:rPr>
      </w:pPr>
      <w:r>
        <w:rPr>
          <w:noProof/>
        </w:rPr>
        <w:t>I artikel 51, stk. 1, indsættes som andet afsnit:</w:t>
      </w:r>
    </w:p>
    <w:p>
      <w:pPr>
        <w:pStyle w:val="Text1"/>
        <w:rPr>
          <w:noProof/>
        </w:rPr>
      </w:pPr>
      <w:r>
        <w:rPr>
          <w:noProof/>
        </w:rPr>
        <w:t>"ELFUL kan finansiere aktiviteter til forberedelse af gennemførelsen af den fælles landbrugspolitik i den efterfølgende programmeringsperiode.".</w:t>
      </w:r>
    </w:p>
    <w:p>
      <w:pPr>
        <w:pStyle w:val="Titrearticle"/>
        <w:rPr>
          <w:noProof/>
        </w:rPr>
      </w:pPr>
      <w:r>
        <w:rPr>
          <w:noProof/>
        </w:rPr>
        <w:t>Artikel 2</w:t>
      </w:r>
    </w:p>
    <w:p>
      <w:pPr>
        <w:jc w:val="center"/>
        <w:rPr>
          <w:b/>
          <w:noProof/>
        </w:rPr>
      </w:pPr>
      <w:r>
        <w:rPr>
          <w:b/>
          <w:noProof/>
        </w:rPr>
        <w:t>Ændring af forordning (EU) nr. 1307/2013</w:t>
      </w:r>
    </w:p>
    <w:p>
      <w:pPr>
        <w:rPr>
          <w:noProof/>
        </w:rPr>
      </w:pPr>
      <w:r>
        <w:rPr>
          <w:noProof/>
        </w:rPr>
        <w:t>I forordning (EU) nr. 1307/2013 foretages følgende ændringer:</w:t>
      </w:r>
    </w:p>
    <w:p>
      <w:pPr>
        <w:pStyle w:val="Point0number"/>
        <w:numPr>
          <w:ilvl w:val="0"/>
          <w:numId w:val="10"/>
        </w:numPr>
        <w:rPr>
          <w:noProof/>
        </w:rPr>
      </w:pPr>
      <w:r>
        <w:rPr>
          <w:noProof/>
        </w:rPr>
        <w:t>Artikel 7, stk. 2, affattes således:</w:t>
      </w:r>
    </w:p>
    <w:p>
      <w:pPr>
        <w:pStyle w:val="Text1"/>
        <w:rPr>
          <w:noProof/>
        </w:rPr>
      </w:pPr>
      <w:r>
        <w:rPr>
          <w:noProof/>
        </w:rPr>
        <w:t>"2. For hver medlemsstat og for hvert kalenderår stilles det anslåede resultat af nedsættelsen af betalinger i artikel 11 (som afspejles i forskellen mellem det nationale loft, der er anført i bilag II, plus det beløb, der er til rådighed i henhold til artikel 58, og det nettoloft, der er fastsat i bilag III) til rådighed som EU-støtte, som finansieres med midler fra Den Europæiske Landbrugsfond for Udvikling af Landdistrikterne (ELFUL)."</w:t>
      </w:r>
    </w:p>
    <w:p>
      <w:pPr>
        <w:pStyle w:val="Point0number"/>
        <w:rPr>
          <w:noProof/>
        </w:rPr>
      </w:pPr>
      <w:r>
        <w:rPr>
          <w:noProof/>
        </w:rPr>
        <w:t>I artikel 11, stk. 6, tilføjes følgende som tredje afsnit:</w:t>
      </w:r>
    </w:p>
    <w:p>
      <w:pPr>
        <w:pStyle w:val="Text1"/>
        <w:rPr>
          <w:noProof/>
        </w:rPr>
      </w:pPr>
      <w:r>
        <w:rPr>
          <w:noProof/>
        </w:rPr>
        <w:t>"Hvad angår året 2020, meddeler medlemsstaterne Kommissionen de beslutninger, der er truffet i henhold til denne artikel, og det anslåede resultat af nedsættelser senest den 31. december 2019."</w:t>
      </w:r>
    </w:p>
    <w:p>
      <w:pPr>
        <w:pStyle w:val="Point0number"/>
        <w:rPr>
          <w:noProof/>
        </w:rPr>
      </w:pPr>
      <w:r>
        <w:rPr>
          <w:noProof/>
        </w:rPr>
        <w:t>I artikel 14 foretages følgende ændringer:</w:t>
      </w:r>
    </w:p>
    <w:p>
      <w:pPr>
        <w:pStyle w:val="Point0letter"/>
        <w:rPr>
          <w:noProof/>
        </w:rPr>
      </w:pPr>
      <w:r>
        <w:rPr>
          <w:noProof/>
        </w:rPr>
        <w:t xml:space="preserve">I stk. 1 tilføjes følgende som sjette afsnit: </w:t>
      </w:r>
    </w:p>
    <w:p>
      <w:pPr>
        <w:pStyle w:val="Text1"/>
        <w:rPr>
          <w:noProof/>
        </w:rPr>
      </w:pPr>
      <w:r>
        <w:rPr>
          <w:noProof/>
        </w:rPr>
        <w:t>"Medlemsstaterne kan senest den 31. december 2019 beslutte at stille op til 15 % af deres årlige nationale lofter for kalenderår 2020, jf. bilag II til denne forordning, til rådighed som supplerende støtte, som finansieres med midler fra ELFUL i regnskabsår 2021. Som følge heraf er det tilsvarende beløb ikke længere til rådighed for tildeling af direkte betalinger. Denne beslutning meddeles Kommissionen senest den 31. december 2019 og angiver den valgte procentsats."</w:t>
      </w:r>
    </w:p>
    <w:p>
      <w:pPr>
        <w:pStyle w:val="Point0letter"/>
        <w:rPr>
          <w:noProof/>
        </w:rPr>
      </w:pPr>
      <w:r>
        <w:rPr>
          <w:noProof/>
        </w:rPr>
        <w:t xml:space="preserve">I stk. 2 tilføjes følgende som sjette afsnit: </w:t>
      </w:r>
    </w:p>
    <w:p>
      <w:pPr>
        <w:pStyle w:val="Text1"/>
        <w:rPr>
          <w:noProof/>
        </w:rPr>
      </w:pPr>
      <w:r>
        <w:rPr>
          <w:noProof/>
        </w:rPr>
        <w:t xml:space="preserve">"Senest den 31. december 2019 kan medlemsstaterne beslutte at stille op til 15 % til rådighed for direkte betalinger, eller for Bulgariens, Estlands, Spaniens, Letlands, Litauens, Polens, Portugals, Rumæniens, Slovakiets, Finlands og Sveriges vedkommende op til 25 %, af det beløb, som afsættes til støtte, som finansieres med midler fra ELFUL i regnskabsår 2021 i henhold til EU-lovgivning, som vedtages efter den forordning, som Rådet har vedtaget i henhold til artikel 312, stk. 2, i traktaten om Den Europæiske Unions funktionsmåde. Som følge heraf er det tilsvarende beløb ikke længere til rådighed til støtte, som finansieres med midler fra ELFUL. Denne beslutning meddeles Kommissionen senest den 31. december 2019 og angiver den valgte procentsats." </w:t>
      </w:r>
    </w:p>
    <w:p>
      <w:pPr>
        <w:pStyle w:val="Point0number"/>
        <w:rPr>
          <w:noProof/>
        </w:rPr>
      </w:pPr>
      <w:r>
        <w:rPr>
          <w:noProof/>
        </w:rPr>
        <w:t>Artikel 22, stk. 5, affattes således:</w:t>
      </w:r>
    </w:p>
    <w:p>
      <w:pPr>
        <w:pStyle w:val="Text1"/>
        <w:rPr>
          <w:noProof/>
        </w:rPr>
      </w:pPr>
      <w:r>
        <w:rPr>
          <w:noProof/>
        </w:rPr>
        <w:t>"5. Hvis det loft for en medlemsstat, som Kommissionen har fastsat i henhold til stk. 1, ikke er det samme som det foregående år, som følge af enhver beslutning, som den pågældende medlemsstat har truffet i henhold til denne artikels stk. 3, artikel 14, stk. 1 eller 2, artikel 42, stk. 1, artikel 49, stk. 1, andet afsnit, artikel 51, stk. 1, andet afsnit, eller artikel 53, foretager den pågældende medlemsstat en lineær nedsættelse eller forhøjelse af værdien af alle betalingsrettighederne for at sikre overensstemmelse med stk. 4 i denne artikel.".</w:t>
      </w:r>
    </w:p>
    <w:p>
      <w:pPr>
        <w:pStyle w:val="Titrearticle"/>
        <w:rPr>
          <w:noProof/>
        </w:rPr>
      </w:pPr>
      <w:r>
        <w:rPr>
          <w:noProof/>
        </w:rPr>
        <w:t>Artikel 3</w:t>
      </w:r>
    </w:p>
    <w:p>
      <w:pPr>
        <w:jc w:val="center"/>
        <w:rPr>
          <w:b/>
          <w:noProof/>
        </w:rPr>
      </w:pPr>
      <w:r>
        <w:rPr>
          <w:b/>
          <w:noProof/>
        </w:rPr>
        <w:t>Ikrafttræden og anvendelse</w:t>
      </w:r>
    </w:p>
    <w:p>
      <w:pPr>
        <w:rPr>
          <w:noProof/>
        </w:rPr>
      </w:pPr>
      <w:r>
        <w:rPr>
          <w:noProof/>
        </w:rPr>
        <w:t xml:space="preserve">Denne forordning træder i kraft på tredjedagen efter offentliggørelsen i </w:t>
      </w:r>
      <w:r>
        <w:rPr>
          <w:i/>
          <w:noProof/>
        </w:rPr>
        <w:t>Den Europæiske Unions Tidende</w:t>
      </w:r>
      <w:r>
        <w:rPr>
          <w:noProof/>
        </w:rPr>
        <w:t>.</w:t>
      </w:r>
    </w:p>
    <w:p>
      <w:pPr>
        <w:rPr>
          <w:noProof/>
        </w:rPr>
      </w:pPr>
      <w:r>
        <w:rPr>
          <w:noProof/>
        </w:rPr>
        <w:t xml:space="preserve">Det anvendes fra den 1. marts 2019. </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Formand</w:t>
      </w:r>
      <w:r>
        <w:rPr>
          <w:noProof/>
        </w:rPr>
        <w:tab/>
        <w:t>Formand</w:t>
      </w:r>
    </w:p>
    <w:p>
      <w:pPr>
        <w:pStyle w:val="Fichefinanciretitre"/>
        <w:rPr>
          <w:noProof/>
        </w:rPr>
      </w:pPr>
      <w:r>
        <w:rPr>
          <w:noProof/>
        </w:rPr>
        <w:t>FINANSIERINGSOVERSIGT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jc w:val="center"/>
              <w:rPr>
                <w:rFonts w:eastAsia="Times New Roman"/>
                <w:b/>
                <w:noProof/>
                <w:sz w:val="40"/>
              </w:rPr>
            </w:pPr>
            <w:r>
              <w:rPr>
                <w:b/>
                <w:noProof/>
                <w:sz w:val="40"/>
              </w:rPr>
              <w:t>FINANSIERINGSOVERSIGT</w:t>
            </w:r>
          </w:p>
        </w:tc>
        <w:tc>
          <w:tcPr>
            <w:tcW w:w="2112" w:type="dxa"/>
            <w:gridSpan w:val="3"/>
          </w:tcPr>
          <w:p>
            <w:pPr>
              <w:spacing w:before="0" w:after="0"/>
              <w:jc w:val="center"/>
              <w:rPr>
                <w:rFonts w:eastAsia="Times New Roman"/>
                <w:noProof/>
                <w:sz w:val="20"/>
              </w:rPr>
            </w:pPr>
            <w:r>
              <w:rPr>
                <w:noProof/>
                <w:sz w:val="20"/>
              </w:rPr>
              <w:t>FS/18/CS/pl 5249450</w:t>
            </w:r>
          </w:p>
        </w:tc>
      </w:tr>
      <w:tr>
        <w:trPr>
          <w:trHeight w:val="355"/>
        </w:trPr>
        <w:tc>
          <w:tcPr>
            <w:tcW w:w="7016" w:type="dxa"/>
            <w:gridSpan w:val="6"/>
            <w:vMerge/>
            <w:tcBorders>
              <w:bottom w:val="nil"/>
            </w:tcBorders>
          </w:tcPr>
          <w:p>
            <w:pPr>
              <w:jc w:val="center"/>
              <w:rPr>
                <w:rFonts w:eastAsia="Times New Roman"/>
                <w:b/>
                <w:noProof/>
                <w:sz w:val="40"/>
              </w:rPr>
            </w:pPr>
          </w:p>
        </w:tc>
        <w:tc>
          <w:tcPr>
            <w:tcW w:w="2112" w:type="dxa"/>
            <w:gridSpan w:val="3"/>
          </w:tcPr>
          <w:p>
            <w:pPr>
              <w:spacing w:before="0" w:after="0"/>
              <w:jc w:val="center"/>
              <w:rPr>
                <w:rFonts w:eastAsia="Times New Roman"/>
                <w:noProof/>
                <w:sz w:val="20"/>
              </w:rPr>
            </w:pPr>
            <w:r>
              <w:rPr>
                <w:noProof/>
                <w:sz w:val="20"/>
              </w:rPr>
              <w:t>6.15.2018.1</w:t>
            </w:r>
          </w:p>
        </w:tc>
      </w:tr>
      <w:tr>
        <w:tc>
          <w:tcPr>
            <w:tcW w:w="7016" w:type="dxa"/>
            <w:gridSpan w:val="6"/>
            <w:tcBorders>
              <w:top w:val="nil"/>
            </w:tcBorders>
          </w:tcPr>
          <w:p>
            <w:pPr>
              <w:spacing w:before="0" w:after="0"/>
              <w:jc w:val="left"/>
              <w:rPr>
                <w:rFonts w:eastAsia="Times New Roman"/>
                <w:noProof/>
                <w:sz w:val="20"/>
              </w:rPr>
            </w:pPr>
          </w:p>
        </w:tc>
        <w:tc>
          <w:tcPr>
            <w:tcW w:w="2112" w:type="dxa"/>
            <w:gridSpan w:val="3"/>
          </w:tcPr>
          <w:p>
            <w:pPr>
              <w:spacing w:before="0" w:after="0"/>
              <w:jc w:val="left"/>
              <w:rPr>
                <w:rFonts w:eastAsia="Times New Roman"/>
                <w:noProof/>
                <w:sz w:val="20"/>
              </w:rPr>
            </w:pPr>
            <w:r>
              <w:rPr>
                <w:noProof/>
                <w:sz w:val="20"/>
              </w:rPr>
              <w:t>DATO: 13.9.2018</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1.</w:t>
            </w:r>
          </w:p>
        </w:tc>
        <w:tc>
          <w:tcPr>
            <w:tcW w:w="6449" w:type="dxa"/>
            <w:gridSpan w:val="5"/>
            <w:tcBorders>
              <w:left w:val="nil"/>
              <w:right w:val="nil"/>
            </w:tcBorders>
          </w:tcPr>
          <w:p>
            <w:pPr>
              <w:spacing w:before="0" w:after="0"/>
              <w:jc w:val="left"/>
              <w:rPr>
                <w:rFonts w:eastAsia="Times New Roman"/>
                <w:noProof/>
                <w:sz w:val="20"/>
              </w:rPr>
            </w:pPr>
            <w:r>
              <w:rPr>
                <w:noProof/>
                <w:sz w:val="20"/>
              </w:rPr>
              <w:t>BUDGETPOST: Den nuværende flerårlige finansielle ramme (FFR): Udgiftsområde 2, FFR-forslaget for 2021-2027: udgiftsområde 3</w:t>
            </w:r>
          </w:p>
          <w:p>
            <w:pPr>
              <w:spacing w:before="0" w:after="0"/>
              <w:jc w:val="left"/>
              <w:rPr>
                <w:rFonts w:eastAsia="Times New Roman"/>
                <w:noProof/>
                <w:sz w:val="20"/>
              </w:rPr>
            </w:pPr>
            <w:r>
              <w:rPr>
                <w:noProof/>
                <w:sz w:val="20"/>
              </w:rPr>
              <w:t>Budgetforslag for 2019:</w:t>
            </w:r>
          </w:p>
          <w:p>
            <w:pPr>
              <w:spacing w:before="0" w:after="0"/>
              <w:jc w:val="left"/>
              <w:rPr>
                <w:rFonts w:eastAsia="Times New Roman"/>
                <w:noProof/>
                <w:sz w:val="20"/>
              </w:rPr>
            </w:pPr>
            <w:r>
              <w:rPr>
                <w:noProof/>
                <w:spacing w:val="-3"/>
                <w:sz w:val="20"/>
              </w:rPr>
              <w:t>05 03 Direkte betalinger efter finansiel disciplin:</w:t>
            </w:r>
          </w:p>
          <w:p>
            <w:pPr>
              <w:spacing w:before="0" w:after="0"/>
              <w:jc w:val="left"/>
              <w:rPr>
                <w:rFonts w:eastAsia="Times New Roman"/>
                <w:noProof/>
                <w:sz w:val="20"/>
              </w:rPr>
            </w:pPr>
            <w:r>
              <w:rPr>
                <w:noProof/>
                <w:sz w:val="20"/>
              </w:rPr>
              <w:t>05 04 60 Den Europæiske Landbrugsfond for Udvikling af Landdistrikterne (ELFUL) (2014-2020)</w:t>
            </w:r>
          </w:p>
        </w:tc>
        <w:tc>
          <w:tcPr>
            <w:tcW w:w="2112" w:type="dxa"/>
            <w:gridSpan w:val="3"/>
            <w:tcBorders>
              <w:left w:val="nil"/>
            </w:tcBorders>
          </w:tcPr>
          <w:p>
            <w:pPr>
              <w:tabs>
                <w:tab w:val="left" w:pos="1736"/>
              </w:tabs>
              <w:spacing w:before="0" w:after="0"/>
              <w:ind w:right="136"/>
              <w:jc w:val="left"/>
              <w:rPr>
                <w:rFonts w:eastAsia="Times New Roman"/>
                <w:noProof/>
                <w:sz w:val="20"/>
              </w:rPr>
            </w:pPr>
            <w:r>
              <w:rPr>
                <w:noProof/>
                <w:sz w:val="20"/>
              </w:rPr>
              <w:t>BEVILLINGER:</w:t>
            </w:r>
          </w:p>
          <w:p>
            <w:pPr>
              <w:tabs>
                <w:tab w:val="left" w:pos="1736"/>
              </w:tabs>
              <w:spacing w:before="0" w:after="0"/>
              <w:ind w:right="136"/>
              <w:jc w:val="left"/>
              <w:rPr>
                <w:rFonts w:eastAsia="Times New Roman"/>
                <w:noProof/>
                <w:sz w:val="20"/>
              </w:rPr>
            </w:pPr>
            <w:r>
              <w:rPr>
                <w:noProof/>
                <w:sz w:val="20"/>
              </w:rPr>
              <w:t>(i mio. EUR)</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40 981,6</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14 673,6</w:t>
            </w:r>
          </w:p>
        </w:tc>
      </w:tr>
      <w:tr>
        <w:tc>
          <w:tcPr>
            <w:tcW w:w="567" w:type="dxa"/>
            <w:tcBorders>
              <w:bottom w:val="nil"/>
              <w:right w:val="nil"/>
            </w:tcBorders>
          </w:tcPr>
          <w:p>
            <w:pPr>
              <w:spacing w:before="0" w:after="0"/>
              <w:jc w:val="left"/>
              <w:rPr>
                <w:rFonts w:eastAsia="Times New Roman"/>
                <w:noProof/>
                <w:sz w:val="20"/>
              </w:rPr>
            </w:pPr>
            <w:r>
              <w:rPr>
                <w:noProof/>
                <w:sz w:val="20"/>
              </w:rPr>
              <w:t>2.</w:t>
            </w:r>
          </w:p>
        </w:tc>
        <w:tc>
          <w:tcPr>
            <w:tcW w:w="8561" w:type="dxa"/>
            <w:gridSpan w:val="8"/>
            <w:tcBorders>
              <w:left w:val="nil"/>
            </w:tcBorders>
          </w:tcPr>
          <w:p>
            <w:pPr>
              <w:spacing w:before="0" w:after="0"/>
              <w:jc w:val="left"/>
              <w:rPr>
                <w:rFonts w:eastAsia="Times New Roman"/>
                <w:noProof/>
                <w:sz w:val="20"/>
              </w:rPr>
            </w:pPr>
            <w:r>
              <w:rPr>
                <w:noProof/>
                <w:sz w:val="20"/>
              </w:rPr>
              <w:t>FORANSTALTNINGENS BETEGNELSE:</w:t>
            </w:r>
          </w:p>
          <w:p>
            <w:pPr>
              <w:spacing w:before="0" w:after="0"/>
              <w:jc w:val="left"/>
              <w:rPr>
                <w:rFonts w:eastAsia="Times New Roman"/>
                <w:noProof/>
                <w:sz w:val="20"/>
              </w:rPr>
            </w:pPr>
            <w:r>
              <w:rPr>
                <w:noProof/>
                <w:sz w:val="20"/>
              </w:rPr>
              <w:t>Europa-Parlamentets og Rådets forordning om ændring af forordning (EU) nr. 1305/2013 og (EU) nr. 1307/2013 for så vidt angår visse regler om direkte betalinger og støtte til udvikling af landdistrikterne for 2019 og 2020</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3.</w:t>
            </w:r>
          </w:p>
        </w:tc>
        <w:tc>
          <w:tcPr>
            <w:tcW w:w="8561" w:type="dxa"/>
            <w:gridSpan w:val="8"/>
            <w:tcBorders>
              <w:left w:val="nil"/>
            </w:tcBorders>
          </w:tcPr>
          <w:p>
            <w:pPr>
              <w:spacing w:before="0" w:after="0"/>
              <w:jc w:val="left"/>
              <w:rPr>
                <w:rFonts w:eastAsia="Times New Roman"/>
                <w:noProof/>
                <w:sz w:val="20"/>
              </w:rPr>
            </w:pPr>
            <w:r>
              <w:rPr>
                <w:noProof/>
                <w:sz w:val="20"/>
              </w:rPr>
              <w:t>RETSGRUNDLAG:</w:t>
            </w:r>
          </w:p>
          <w:p>
            <w:pPr>
              <w:spacing w:before="0" w:after="0"/>
              <w:jc w:val="left"/>
              <w:rPr>
                <w:rFonts w:eastAsia="Times New Roman"/>
                <w:noProof/>
                <w:sz w:val="20"/>
              </w:rPr>
            </w:pPr>
            <w:r>
              <w:rPr>
                <w:noProof/>
                <w:sz w:val="20"/>
              </w:rPr>
              <w:t xml:space="preserve">Artikel 42 og artikel 43, stk. 2, i traktaten om Den Europæiske Unions funktionsmåde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4.</w:t>
            </w:r>
          </w:p>
        </w:tc>
        <w:tc>
          <w:tcPr>
            <w:tcW w:w="8561" w:type="dxa"/>
            <w:gridSpan w:val="8"/>
            <w:tcBorders>
              <w:left w:val="nil"/>
            </w:tcBorders>
          </w:tcPr>
          <w:p>
            <w:pPr>
              <w:spacing w:before="0" w:after="0"/>
              <w:jc w:val="left"/>
              <w:rPr>
                <w:rFonts w:eastAsia="Times New Roman"/>
                <w:noProof/>
                <w:sz w:val="20"/>
              </w:rPr>
            </w:pPr>
            <w:r>
              <w:rPr>
                <w:noProof/>
                <w:sz w:val="20"/>
              </w:rPr>
              <w:t>FORANSTALTNINGENS FORMÅL:</w:t>
            </w:r>
          </w:p>
          <w:p>
            <w:pPr>
              <w:spacing w:before="0" w:after="0"/>
              <w:jc w:val="left"/>
              <w:rPr>
                <w:rFonts w:eastAsia="Times New Roman"/>
                <w:noProof/>
                <w:sz w:val="20"/>
              </w:rPr>
            </w:pPr>
            <w:r>
              <w:rPr>
                <w:noProof/>
                <w:sz w:val="20"/>
              </w:rPr>
              <w:t xml:space="preserve">Dette forslag har til formål at skabe kontinuitet i tildelingen af støtte til de europæiske landbrugere i årene 2019 og 2020 gennem en tilpasning af to retsakter inden for rammerne af den fælles landbrugspolitik: udvikling af landdistrikterne i henhold til forordning (EU) nr. 1305/2013 og direkte betalinger i henhold til forordning (EU) nr. 1307/2013. </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5.</w:t>
            </w:r>
          </w:p>
        </w:tc>
        <w:tc>
          <w:tcPr>
            <w:tcW w:w="3884" w:type="dxa"/>
            <w:tcBorders>
              <w:left w:val="nil"/>
            </w:tcBorders>
          </w:tcPr>
          <w:p>
            <w:pPr>
              <w:spacing w:before="0" w:after="0"/>
              <w:jc w:val="left"/>
              <w:rPr>
                <w:rFonts w:eastAsia="Times New Roman"/>
                <w:noProof/>
                <w:sz w:val="20"/>
              </w:rPr>
            </w:pPr>
            <w:r>
              <w:rPr>
                <w:noProof/>
                <w:sz w:val="20"/>
              </w:rPr>
              <w:t>FINANSIELLE VIRKNINGER</w:t>
            </w:r>
          </w:p>
        </w:tc>
        <w:tc>
          <w:tcPr>
            <w:tcW w:w="1417" w:type="dxa"/>
            <w:gridSpan w:val="2"/>
          </w:tcPr>
          <w:p>
            <w:pPr>
              <w:spacing w:before="0" w:after="0"/>
              <w:jc w:val="center"/>
              <w:rPr>
                <w:rFonts w:eastAsia="Times New Roman"/>
                <w:noProof/>
                <w:sz w:val="20"/>
              </w:rPr>
            </w:pPr>
            <w:r>
              <w:rPr>
                <w:noProof/>
                <w:sz w:val="20"/>
              </w:rPr>
              <w:t>12-MÅNEDERS PERIODE</w:t>
            </w:r>
            <w:r>
              <w:rPr>
                <w:rFonts w:eastAsia="Times New Roman"/>
                <w:noProof/>
                <w:sz w:val="20"/>
              </w:rPr>
              <w:br/>
            </w:r>
            <w:r>
              <w:rPr>
                <w:rFonts w:eastAsia="Times New Roman"/>
                <w:noProof/>
                <w:sz w:val="20"/>
              </w:rPr>
              <w:br/>
            </w:r>
            <w:r>
              <w:rPr>
                <w:rFonts w:eastAsia="Times New Roman"/>
                <w:noProof/>
                <w:sz w:val="20"/>
              </w:rPr>
              <w:br/>
            </w:r>
            <w:r>
              <w:rPr>
                <w:noProof/>
                <w:sz w:val="20"/>
              </w:rPr>
              <w:t>(mio. EUR)</w:t>
            </w:r>
          </w:p>
        </w:tc>
        <w:tc>
          <w:tcPr>
            <w:tcW w:w="1559" w:type="dxa"/>
            <w:gridSpan w:val="3"/>
          </w:tcPr>
          <w:p>
            <w:pPr>
              <w:spacing w:before="0" w:after="0"/>
              <w:jc w:val="center"/>
              <w:rPr>
                <w:rFonts w:eastAsia="Times New Roman"/>
                <w:noProof/>
                <w:sz w:val="20"/>
              </w:rPr>
            </w:pPr>
            <w:r>
              <w:rPr>
                <w:noProof/>
                <w:sz w:val="20"/>
              </w:rPr>
              <w:t>INDEVÆRENDE REGNSKABSÅR</w:t>
            </w:r>
          </w:p>
          <w:p>
            <w:pPr>
              <w:spacing w:before="0" w:after="0"/>
              <w:jc w:val="center"/>
              <w:rPr>
                <w:rFonts w:eastAsia="Times New Roman"/>
                <w:noProof/>
                <w:sz w:val="20"/>
              </w:rPr>
            </w:pPr>
            <w:r>
              <w:rPr>
                <w:noProof/>
                <w:sz w:val="20"/>
              </w:rPr>
              <w:t>2018</w:t>
            </w:r>
          </w:p>
          <w:p>
            <w:pPr>
              <w:spacing w:before="0" w:after="0"/>
              <w:jc w:val="center"/>
              <w:rPr>
                <w:rFonts w:eastAsia="Times New Roman"/>
                <w:noProof/>
                <w:sz w:val="20"/>
              </w:rPr>
            </w:pPr>
            <w:r>
              <w:rPr>
                <w:noProof/>
                <w:sz w:val="20"/>
              </w:rPr>
              <w:t>(mio. EUR)</w:t>
            </w:r>
          </w:p>
        </w:tc>
        <w:tc>
          <w:tcPr>
            <w:tcW w:w="1701" w:type="dxa"/>
            <w:gridSpan w:val="2"/>
          </w:tcPr>
          <w:p>
            <w:pPr>
              <w:spacing w:before="0" w:after="0"/>
              <w:jc w:val="center"/>
              <w:rPr>
                <w:rFonts w:eastAsia="Times New Roman"/>
                <w:noProof/>
                <w:sz w:val="20"/>
              </w:rPr>
            </w:pPr>
            <w:r>
              <w:rPr>
                <w:noProof/>
                <w:sz w:val="20"/>
              </w:rPr>
              <w:t>FØLGENDE REGNSKABSÅR</w:t>
            </w:r>
          </w:p>
          <w:p>
            <w:pPr>
              <w:spacing w:before="0" w:after="0"/>
              <w:jc w:val="center"/>
              <w:rPr>
                <w:rFonts w:eastAsia="Times New Roman"/>
                <w:noProof/>
                <w:sz w:val="20"/>
              </w:rPr>
            </w:pPr>
            <w:r>
              <w:rPr>
                <w:noProof/>
                <w:sz w:val="20"/>
              </w:rPr>
              <w:t>2019</w:t>
            </w:r>
          </w:p>
          <w:p>
            <w:pPr>
              <w:spacing w:before="0" w:after="0"/>
              <w:jc w:val="center"/>
              <w:rPr>
                <w:rFonts w:eastAsia="Times New Roman"/>
                <w:noProof/>
                <w:sz w:val="20"/>
              </w:rPr>
            </w:pPr>
            <w:r>
              <w:rPr>
                <w:noProof/>
                <w:sz w:val="20"/>
              </w:rPr>
              <w:t>(mio. EUR)</w:t>
            </w:r>
          </w:p>
        </w:tc>
      </w:tr>
      <w:tr>
        <w:tc>
          <w:tcPr>
            <w:tcW w:w="567" w:type="dxa"/>
            <w:tcBorders>
              <w:bottom w:val="nil"/>
              <w:right w:val="nil"/>
            </w:tcBorders>
          </w:tcPr>
          <w:p>
            <w:pPr>
              <w:spacing w:before="0" w:after="0"/>
              <w:jc w:val="left"/>
              <w:rPr>
                <w:rFonts w:eastAsia="Times New Roman"/>
                <w:noProof/>
                <w:sz w:val="20"/>
              </w:rPr>
            </w:pPr>
            <w:r>
              <w:rPr>
                <w:noProof/>
                <w:sz w:val="20"/>
              </w:rPr>
              <w:t>5.0</w:t>
            </w:r>
          </w:p>
        </w:tc>
        <w:tc>
          <w:tcPr>
            <w:tcW w:w="3884" w:type="dxa"/>
            <w:tcBorders>
              <w:left w:val="nil"/>
            </w:tcBorders>
          </w:tcPr>
          <w:p>
            <w:pPr>
              <w:spacing w:before="0" w:after="0"/>
              <w:jc w:val="left"/>
              <w:rPr>
                <w:rFonts w:eastAsia="Times New Roman"/>
                <w:noProof/>
                <w:sz w:val="20"/>
              </w:rPr>
            </w:pPr>
            <w:r>
              <w:rPr>
                <w:noProof/>
                <w:sz w:val="20"/>
              </w:rPr>
              <w:t>UDGIFTER, SOM AFHOLDES</w:t>
            </w:r>
          </w:p>
          <w:p>
            <w:pPr>
              <w:spacing w:before="0" w:after="0"/>
              <w:jc w:val="left"/>
              <w:rPr>
                <w:rFonts w:eastAsia="Times New Roman"/>
                <w:noProof/>
                <w:sz w:val="20"/>
              </w:rPr>
            </w:pPr>
            <w:r>
              <w:rPr>
                <w:noProof/>
                <w:sz w:val="20"/>
              </w:rPr>
              <w:t>-</w:t>
            </w:r>
            <w:r>
              <w:rPr>
                <w:noProof/>
              </w:rPr>
              <w:tab/>
            </w:r>
            <w:r>
              <w:rPr>
                <w:noProof/>
                <w:sz w:val="20"/>
              </w:rPr>
              <w:t>OVER EU-BUDGETTET</w:t>
            </w:r>
            <w:r>
              <w:rPr>
                <w:rFonts w:eastAsia="Times New Roman"/>
                <w:noProof/>
                <w:sz w:val="20"/>
              </w:rPr>
              <w:br/>
            </w:r>
            <w:r>
              <w:rPr>
                <w:noProof/>
                <w:sz w:val="20"/>
              </w:rPr>
              <w:t>(RESTITUTIONER/INTERVENTIONER)</w:t>
            </w:r>
          </w:p>
          <w:p>
            <w:pPr>
              <w:spacing w:before="0" w:after="0"/>
              <w:jc w:val="left"/>
              <w:rPr>
                <w:rFonts w:eastAsia="Times New Roman"/>
                <w:noProof/>
                <w:sz w:val="20"/>
              </w:rPr>
            </w:pPr>
            <w:r>
              <w:rPr>
                <w:noProof/>
                <w:sz w:val="20"/>
              </w:rPr>
              <w:t>-</w:t>
            </w:r>
            <w:r>
              <w:rPr>
                <w:noProof/>
              </w:rPr>
              <w:tab/>
            </w:r>
            <w:r>
              <w:rPr>
                <w:noProof/>
                <w:sz w:val="20"/>
              </w:rPr>
              <w:t>OVER NATIONALE BUDGETTER</w:t>
            </w:r>
          </w:p>
          <w:p>
            <w:pPr>
              <w:spacing w:before="0" w:after="0"/>
              <w:jc w:val="left"/>
              <w:rPr>
                <w:rFonts w:eastAsia="Times New Roman"/>
                <w:noProof/>
                <w:sz w:val="20"/>
              </w:rPr>
            </w:pPr>
            <w:r>
              <w:rPr>
                <w:noProof/>
                <w:sz w:val="20"/>
              </w:rPr>
              <w:t>-</w:t>
            </w:r>
            <w:r>
              <w:rPr>
                <w:noProof/>
              </w:rPr>
              <w:tab/>
            </w:r>
            <w:r>
              <w:rPr>
                <w:noProof/>
                <w:sz w:val="20"/>
              </w:rPr>
              <w:t>AF ANDRE</w:t>
            </w:r>
          </w:p>
        </w:tc>
        <w:tc>
          <w:tcPr>
            <w:tcW w:w="1417" w:type="dxa"/>
            <w:gridSpan w:val="2"/>
          </w:tcPr>
          <w:p>
            <w:pPr>
              <w:spacing w:before="0" w:after="0"/>
              <w:jc w:val="center"/>
              <w:rPr>
                <w:rFonts w:eastAsia="Times New Roman"/>
                <w:noProof/>
                <w:sz w:val="20"/>
              </w:rPr>
            </w:pPr>
          </w:p>
          <w:p>
            <w:pPr>
              <w:spacing w:before="0" w:after="0"/>
              <w:jc w:val="right"/>
              <w:rPr>
                <w:rFonts w:eastAsia="Times New Roman"/>
                <w:noProof/>
                <w:sz w:val="20"/>
              </w:rPr>
            </w:pPr>
          </w:p>
        </w:tc>
        <w:tc>
          <w:tcPr>
            <w:tcW w:w="1559" w:type="dxa"/>
            <w:gridSpan w:val="3"/>
          </w:tcPr>
          <w:p>
            <w:pPr>
              <w:spacing w:before="0" w:after="0"/>
              <w:jc w:val="center"/>
              <w:rPr>
                <w:rFonts w:eastAsia="Times New Roman"/>
                <w:noProof/>
                <w:sz w:val="20"/>
              </w:rPr>
            </w:pPr>
            <w:r>
              <w:rPr>
                <w:noProof/>
                <w:sz w:val="20"/>
              </w:rPr>
              <w:t>Ikke relevant</w:t>
            </w:r>
          </w:p>
        </w:tc>
        <w:tc>
          <w:tcPr>
            <w:tcW w:w="1701" w:type="dxa"/>
            <w:gridSpan w:val="2"/>
          </w:tcPr>
          <w:p>
            <w:pPr>
              <w:spacing w:before="0" w:after="0"/>
              <w:jc w:val="center"/>
              <w:rPr>
                <w:rFonts w:eastAsia="Times New Roman"/>
                <w:noProof/>
                <w:sz w:val="20"/>
              </w:rPr>
            </w:pPr>
            <w:r>
              <w:rPr>
                <w:noProof/>
                <w:sz w:val="20"/>
              </w:rPr>
              <w:t>Ikke relevant</w:t>
            </w:r>
          </w:p>
          <w:p>
            <w:pPr>
              <w:spacing w:before="0" w:after="0"/>
              <w:jc w:val="righ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5.1</w:t>
            </w:r>
          </w:p>
        </w:tc>
        <w:tc>
          <w:tcPr>
            <w:tcW w:w="3884" w:type="dxa"/>
            <w:tcBorders>
              <w:left w:val="nil"/>
            </w:tcBorders>
          </w:tcPr>
          <w:p>
            <w:pPr>
              <w:spacing w:before="0" w:after="0"/>
              <w:jc w:val="left"/>
              <w:rPr>
                <w:rFonts w:eastAsia="Times New Roman"/>
                <w:noProof/>
                <w:sz w:val="20"/>
              </w:rPr>
            </w:pPr>
            <w:r>
              <w:rPr>
                <w:noProof/>
                <w:sz w:val="20"/>
              </w:rPr>
              <w:t>INDTÆGTER</w:t>
            </w:r>
          </w:p>
          <w:p>
            <w:pPr>
              <w:spacing w:before="0" w:after="0"/>
              <w:jc w:val="left"/>
              <w:rPr>
                <w:rFonts w:eastAsia="Times New Roman"/>
                <w:noProof/>
                <w:sz w:val="20"/>
              </w:rPr>
            </w:pPr>
            <w:r>
              <w:rPr>
                <w:noProof/>
                <w:sz w:val="20"/>
              </w:rPr>
              <w:t>-</w:t>
            </w:r>
            <w:r>
              <w:rPr>
                <w:noProof/>
              </w:rPr>
              <w:tab/>
            </w:r>
            <w:r>
              <w:rPr>
                <w:noProof/>
                <w:sz w:val="20"/>
              </w:rPr>
              <w:t xml:space="preserve">EU's EGNE INDTÆGTER </w:t>
            </w:r>
            <w:r>
              <w:rPr>
                <w:rFonts w:eastAsia="Times New Roman"/>
                <w:noProof/>
                <w:sz w:val="20"/>
              </w:rPr>
              <w:br/>
            </w:r>
            <w:r>
              <w:rPr>
                <w:noProof/>
                <w:sz w:val="20"/>
              </w:rPr>
              <w:t>(AFGIFTER/TOLD)</w:t>
            </w:r>
          </w:p>
          <w:p>
            <w:pPr>
              <w:spacing w:before="0" w:after="0"/>
              <w:jc w:val="left"/>
              <w:rPr>
                <w:rFonts w:eastAsia="Times New Roman"/>
                <w:noProof/>
                <w:sz w:val="20"/>
              </w:rPr>
            </w:pPr>
            <w:r>
              <w:rPr>
                <w:noProof/>
                <w:sz w:val="20"/>
              </w:rPr>
              <w:t>-</w:t>
            </w:r>
            <w:r>
              <w:rPr>
                <w:noProof/>
              </w:rPr>
              <w:tab/>
            </w:r>
            <w:r>
              <w:rPr>
                <w:noProof/>
                <w:sz w:val="20"/>
              </w:rPr>
              <w:t>NATIONALE KILDER</w:t>
            </w:r>
          </w:p>
        </w:tc>
        <w:tc>
          <w:tcPr>
            <w:tcW w:w="1417" w:type="dxa"/>
            <w:gridSpan w:val="2"/>
          </w:tcPr>
          <w:p>
            <w:pPr>
              <w:spacing w:before="0" w:after="0"/>
              <w:jc w:val="center"/>
              <w:rPr>
                <w:rFonts w:eastAsia="Times New Roman"/>
                <w:noProof/>
                <w:sz w:val="20"/>
              </w:rPr>
            </w:pPr>
          </w:p>
        </w:tc>
        <w:tc>
          <w:tcPr>
            <w:tcW w:w="1559" w:type="dxa"/>
            <w:gridSpan w:val="3"/>
          </w:tcPr>
          <w:p>
            <w:pPr>
              <w:spacing w:before="0" w:after="0"/>
              <w:jc w:val="center"/>
              <w:rPr>
                <w:rFonts w:eastAsia="Times New Roman"/>
                <w:noProof/>
                <w:sz w:val="20"/>
              </w:rPr>
            </w:pPr>
          </w:p>
        </w:tc>
        <w:tc>
          <w:tcPr>
            <w:tcW w:w="1701" w:type="dxa"/>
            <w:gridSpan w:val="2"/>
          </w:tcPr>
          <w:p>
            <w:pPr>
              <w:spacing w:before="0" w:after="0"/>
              <w:jc w:val="center"/>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p>
        </w:tc>
        <w:tc>
          <w:tcPr>
            <w:tcW w:w="3884" w:type="dxa"/>
            <w:tcBorders>
              <w:left w:val="nil"/>
              <w:bottom w:val="nil"/>
            </w:tcBorders>
          </w:tcPr>
          <w:p>
            <w:pPr>
              <w:spacing w:before="0" w:after="0"/>
              <w:jc w:val="left"/>
              <w:rPr>
                <w:rFonts w:eastAsia="Times New Roman"/>
                <w:noProof/>
                <w:sz w:val="20"/>
              </w:rPr>
            </w:pPr>
          </w:p>
        </w:tc>
        <w:tc>
          <w:tcPr>
            <w:tcW w:w="1275" w:type="dxa"/>
            <w:tcBorders>
              <w:bottom w:val="nil"/>
            </w:tcBorders>
          </w:tcPr>
          <w:p>
            <w:pPr>
              <w:spacing w:before="0" w:after="0"/>
              <w:jc w:val="center"/>
              <w:rPr>
                <w:rFonts w:eastAsia="Times New Roman"/>
                <w:noProof/>
                <w:sz w:val="20"/>
              </w:rPr>
            </w:pPr>
            <w:r>
              <w:rPr>
                <w:noProof/>
                <w:sz w:val="20"/>
              </w:rPr>
              <w:t>2017</w:t>
            </w:r>
          </w:p>
        </w:tc>
        <w:tc>
          <w:tcPr>
            <w:tcW w:w="1276" w:type="dxa"/>
            <w:gridSpan w:val="2"/>
            <w:tcBorders>
              <w:bottom w:val="nil"/>
            </w:tcBorders>
          </w:tcPr>
          <w:p>
            <w:pPr>
              <w:spacing w:before="0" w:after="0"/>
              <w:jc w:val="center"/>
              <w:rPr>
                <w:rFonts w:eastAsia="Times New Roman"/>
                <w:noProof/>
                <w:sz w:val="20"/>
              </w:rPr>
            </w:pPr>
            <w:r>
              <w:rPr>
                <w:noProof/>
                <w:sz w:val="20"/>
              </w:rPr>
              <w:t>2018</w:t>
            </w:r>
          </w:p>
        </w:tc>
        <w:tc>
          <w:tcPr>
            <w:tcW w:w="992" w:type="dxa"/>
            <w:gridSpan w:val="3"/>
            <w:tcBorders>
              <w:bottom w:val="nil"/>
            </w:tcBorders>
          </w:tcPr>
          <w:p>
            <w:pPr>
              <w:spacing w:before="0" w:after="0"/>
              <w:jc w:val="center"/>
              <w:rPr>
                <w:rFonts w:eastAsia="Times New Roman"/>
                <w:noProof/>
                <w:sz w:val="20"/>
              </w:rPr>
            </w:pPr>
            <w:r>
              <w:rPr>
                <w:noProof/>
                <w:sz w:val="20"/>
              </w:rPr>
              <w:t>2019</w:t>
            </w:r>
          </w:p>
        </w:tc>
        <w:tc>
          <w:tcPr>
            <w:tcW w:w="1134" w:type="dxa"/>
            <w:tcBorders>
              <w:bottom w:val="nil"/>
            </w:tcBorders>
          </w:tcPr>
          <w:p>
            <w:pPr>
              <w:spacing w:before="0" w:after="0"/>
              <w:jc w:val="center"/>
              <w:rPr>
                <w:rFonts w:eastAsia="Times New Roman"/>
                <w:noProof/>
                <w:sz w:val="20"/>
              </w:rPr>
            </w:pPr>
            <w:r>
              <w:rPr>
                <w:noProof/>
                <w:sz w:val="20"/>
              </w:rPr>
              <w:t>2020</w:t>
            </w:r>
          </w:p>
        </w:tc>
      </w:tr>
      <w:tr>
        <w:tc>
          <w:tcPr>
            <w:tcW w:w="567" w:type="dxa"/>
            <w:tcBorders>
              <w:top w:val="nil"/>
              <w:bottom w:val="nil"/>
              <w:right w:val="nil"/>
            </w:tcBorders>
          </w:tcPr>
          <w:p>
            <w:pPr>
              <w:spacing w:before="0" w:after="0"/>
              <w:jc w:val="left"/>
              <w:rPr>
                <w:rFonts w:eastAsia="Times New Roman"/>
                <w:noProof/>
                <w:sz w:val="20"/>
              </w:rPr>
            </w:pPr>
            <w:r>
              <w:rPr>
                <w:noProof/>
                <w:sz w:val="20"/>
              </w:rPr>
              <w:t>5.0.1</w:t>
            </w:r>
          </w:p>
        </w:tc>
        <w:tc>
          <w:tcPr>
            <w:tcW w:w="3884" w:type="dxa"/>
            <w:tcBorders>
              <w:top w:val="nil"/>
              <w:left w:val="nil"/>
              <w:bottom w:val="nil"/>
            </w:tcBorders>
          </w:tcPr>
          <w:p>
            <w:pPr>
              <w:spacing w:before="0" w:after="0"/>
              <w:jc w:val="left"/>
              <w:rPr>
                <w:rFonts w:eastAsia="Times New Roman"/>
                <w:noProof/>
                <w:sz w:val="20"/>
              </w:rPr>
            </w:pPr>
            <w:r>
              <w:rPr>
                <w:noProof/>
                <w:sz w:val="20"/>
              </w:rPr>
              <w:t>UDGIFTSOVERSLAG</w:t>
            </w:r>
          </w:p>
        </w:tc>
        <w:tc>
          <w:tcPr>
            <w:tcW w:w="1275" w:type="dxa"/>
            <w:tcBorders>
              <w:bottom w:val="nil"/>
            </w:tcBorders>
          </w:tcPr>
          <w:p>
            <w:pPr>
              <w:spacing w:before="0" w:after="0"/>
              <w:jc w:val="center"/>
              <w:rPr>
                <w:rFonts w:eastAsia="Times New Roman"/>
                <w:noProof/>
                <w:sz w:val="20"/>
              </w:rPr>
            </w:pPr>
          </w:p>
        </w:tc>
        <w:tc>
          <w:tcPr>
            <w:tcW w:w="1276" w:type="dxa"/>
            <w:gridSpan w:val="2"/>
            <w:tcBorders>
              <w:bottom w:val="nil"/>
            </w:tcBorders>
          </w:tcPr>
          <w:p>
            <w:pPr>
              <w:spacing w:before="0" w:after="0"/>
              <w:jc w:val="center"/>
              <w:rPr>
                <w:rFonts w:eastAsia="Times New Roman"/>
                <w:noProof/>
                <w:sz w:val="20"/>
              </w:rPr>
            </w:pPr>
          </w:p>
        </w:tc>
        <w:tc>
          <w:tcPr>
            <w:tcW w:w="992" w:type="dxa"/>
            <w:gridSpan w:val="3"/>
            <w:tcBorders>
              <w:bottom w:val="nil"/>
            </w:tcBorders>
          </w:tcPr>
          <w:p>
            <w:pPr>
              <w:spacing w:before="0" w:after="0"/>
              <w:jc w:val="center"/>
              <w:rPr>
                <w:rFonts w:eastAsia="Times New Roman"/>
                <w:noProof/>
                <w:sz w:val="20"/>
              </w:rPr>
            </w:pPr>
          </w:p>
        </w:tc>
        <w:tc>
          <w:tcPr>
            <w:tcW w:w="1134" w:type="dxa"/>
            <w:tcBorders>
              <w:bottom w:val="nil"/>
            </w:tcBorders>
          </w:tcPr>
          <w:p>
            <w:pPr>
              <w:spacing w:before="0" w:after="0"/>
              <w:jc w:val="center"/>
              <w:rPr>
                <w:rFonts w:eastAsia="Times New Roman"/>
                <w:noProof/>
                <w:sz w:val="20"/>
              </w:rPr>
            </w:pPr>
          </w:p>
        </w:tc>
      </w:tr>
      <w:tr>
        <w:tc>
          <w:tcPr>
            <w:tcW w:w="567" w:type="dxa"/>
            <w:tcBorders>
              <w:top w:val="nil"/>
              <w:right w:val="nil"/>
            </w:tcBorders>
          </w:tcPr>
          <w:p>
            <w:pPr>
              <w:spacing w:before="0" w:after="0"/>
              <w:jc w:val="left"/>
              <w:rPr>
                <w:rFonts w:eastAsia="Times New Roman"/>
                <w:noProof/>
                <w:sz w:val="20"/>
              </w:rPr>
            </w:pPr>
            <w:r>
              <w:rPr>
                <w:noProof/>
                <w:sz w:val="20"/>
              </w:rPr>
              <w:t>5.1.1</w:t>
            </w:r>
          </w:p>
        </w:tc>
        <w:tc>
          <w:tcPr>
            <w:tcW w:w="3884" w:type="dxa"/>
            <w:tcBorders>
              <w:top w:val="nil"/>
              <w:left w:val="nil"/>
            </w:tcBorders>
          </w:tcPr>
          <w:p>
            <w:pPr>
              <w:spacing w:before="0" w:after="0"/>
              <w:jc w:val="left"/>
              <w:rPr>
                <w:rFonts w:eastAsia="Times New Roman"/>
                <w:noProof/>
                <w:sz w:val="20"/>
              </w:rPr>
            </w:pPr>
            <w:r>
              <w:rPr>
                <w:noProof/>
                <w:sz w:val="20"/>
              </w:rPr>
              <w:t>INDTÆGTSOVERSLAG</w:t>
            </w:r>
          </w:p>
        </w:tc>
        <w:tc>
          <w:tcPr>
            <w:tcW w:w="1275" w:type="dxa"/>
            <w:tcBorders>
              <w:top w:val="nil"/>
            </w:tcBorders>
          </w:tcPr>
          <w:p>
            <w:pPr>
              <w:spacing w:before="0" w:after="0"/>
              <w:jc w:val="center"/>
              <w:rPr>
                <w:rFonts w:eastAsia="Times New Roman"/>
                <w:noProof/>
                <w:sz w:val="20"/>
              </w:rPr>
            </w:pPr>
          </w:p>
        </w:tc>
        <w:tc>
          <w:tcPr>
            <w:tcW w:w="1276" w:type="dxa"/>
            <w:gridSpan w:val="2"/>
            <w:tcBorders>
              <w:top w:val="nil"/>
            </w:tcBorders>
          </w:tcPr>
          <w:p>
            <w:pPr>
              <w:spacing w:before="0" w:after="0"/>
              <w:jc w:val="center"/>
              <w:rPr>
                <w:rFonts w:eastAsia="Times New Roman"/>
                <w:noProof/>
                <w:sz w:val="20"/>
              </w:rPr>
            </w:pPr>
          </w:p>
        </w:tc>
        <w:tc>
          <w:tcPr>
            <w:tcW w:w="992" w:type="dxa"/>
            <w:gridSpan w:val="3"/>
            <w:tcBorders>
              <w:top w:val="nil"/>
            </w:tcBorders>
          </w:tcPr>
          <w:p>
            <w:pPr>
              <w:spacing w:before="0" w:after="0"/>
              <w:jc w:val="center"/>
              <w:rPr>
                <w:rFonts w:eastAsia="Times New Roman"/>
                <w:noProof/>
                <w:sz w:val="20"/>
              </w:rPr>
            </w:pPr>
          </w:p>
        </w:tc>
        <w:tc>
          <w:tcPr>
            <w:tcW w:w="1134" w:type="dxa"/>
            <w:tcBorders>
              <w:top w:val="nil"/>
            </w:tcBorders>
          </w:tcPr>
          <w:p>
            <w:pPr>
              <w:spacing w:before="0" w:after="0"/>
              <w:jc w:val="center"/>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5.2</w:t>
            </w:r>
          </w:p>
        </w:tc>
        <w:tc>
          <w:tcPr>
            <w:tcW w:w="8561" w:type="dxa"/>
            <w:gridSpan w:val="8"/>
            <w:tcBorders>
              <w:left w:val="nil"/>
            </w:tcBorders>
          </w:tcPr>
          <w:p>
            <w:pPr>
              <w:spacing w:before="60" w:after="60"/>
              <w:jc w:val="left"/>
              <w:rPr>
                <w:rFonts w:eastAsia="Times New Roman"/>
                <w:noProof/>
                <w:sz w:val="20"/>
              </w:rPr>
            </w:pPr>
            <w:r>
              <w:rPr>
                <w:noProof/>
                <w:sz w:val="20"/>
              </w:rPr>
              <w:t>BEREGNINGSMÅDE:</w:t>
            </w:r>
          </w:p>
          <w:p>
            <w:pPr>
              <w:spacing w:before="60" w:after="60"/>
              <w:jc w:val="left"/>
              <w:rPr>
                <w:rFonts w:eastAsia="Times New Roman"/>
                <w:noProof/>
                <w:sz w:val="20"/>
              </w:rPr>
            </w:pPr>
            <w:r>
              <w:rPr>
                <w:noProof/>
                <w:sz w:val="20"/>
              </w:rPr>
              <w:t>Se bemærkninger</w:t>
            </w:r>
          </w:p>
        </w:tc>
      </w:tr>
      <w:tr>
        <w:tc>
          <w:tcPr>
            <w:tcW w:w="567" w:type="dxa"/>
            <w:tcBorders>
              <w:bottom w:val="nil"/>
              <w:right w:val="nil"/>
            </w:tcBorders>
          </w:tcPr>
          <w:p>
            <w:pPr>
              <w:spacing w:before="0" w:after="0"/>
              <w:jc w:val="left"/>
              <w:rPr>
                <w:rFonts w:eastAsia="Times New Roman"/>
                <w:noProof/>
                <w:sz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rPr>
            </w:pPr>
            <w:r>
              <w:rPr>
                <w:noProof/>
                <w:sz w:val="20"/>
              </w:rPr>
              <w:t>ER FINANSIERING MULIG OVER DE BEVILLINGER, DER PÅ DET LØBENDE BUDGET ER OPFØRT UNDER DET RELEVANTE KAPITEL?</w:t>
            </w:r>
          </w:p>
        </w:tc>
        <w:tc>
          <w:tcPr>
            <w:tcW w:w="1134" w:type="dxa"/>
            <w:tcBorders>
              <w:left w:val="nil"/>
              <w:bottom w:val="nil"/>
            </w:tcBorders>
          </w:tcPr>
          <w:p>
            <w:pPr>
              <w:spacing w:before="0" w:after="0"/>
              <w:jc w:val="center"/>
              <w:rPr>
                <w:rFonts w:eastAsia="Times New Roman"/>
                <w:noProof/>
                <w:sz w:val="20"/>
              </w:rPr>
            </w:pPr>
            <w:r>
              <w:rPr>
                <w:noProof/>
                <w:sz w:val="20"/>
              </w:rPr>
              <w:t>Ikke relevant</w:t>
            </w:r>
          </w:p>
        </w:tc>
      </w:tr>
      <w:tr>
        <w:tc>
          <w:tcPr>
            <w:tcW w:w="567" w:type="dxa"/>
            <w:tcBorders>
              <w:bottom w:val="nil"/>
              <w:right w:val="nil"/>
            </w:tcBorders>
          </w:tcPr>
          <w:p>
            <w:pPr>
              <w:spacing w:before="0" w:after="0"/>
              <w:jc w:val="left"/>
              <w:rPr>
                <w:rFonts w:eastAsia="Times New Roman"/>
                <w:noProof/>
                <w:sz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rPr>
            </w:pPr>
            <w:r>
              <w:rPr>
                <w:noProof/>
                <w:sz w:val="20"/>
              </w:rPr>
              <w:t>ER FINANSIERING MULIG VED OVERFØRSEL MELLEM KAPITLER PÅ DET LØBENDE BUDGET?</w:t>
            </w:r>
          </w:p>
        </w:tc>
        <w:tc>
          <w:tcPr>
            <w:tcW w:w="1134" w:type="dxa"/>
            <w:tcBorders>
              <w:left w:val="nil"/>
              <w:bottom w:val="nil"/>
            </w:tcBorders>
          </w:tcPr>
          <w:p>
            <w:pPr>
              <w:spacing w:before="0" w:after="0"/>
              <w:jc w:val="center"/>
              <w:rPr>
                <w:rFonts w:eastAsia="Times New Roman"/>
                <w:noProof/>
                <w:sz w:val="20"/>
              </w:rPr>
            </w:pPr>
            <w:r>
              <w:rPr>
                <w:noProof/>
                <w:sz w:val="20"/>
              </w:rPr>
              <w:t>Ikke relevant</w:t>
            </w:r>
          </w:p>
        </w:tc>
      </w:tr>
      <w:tr>
        <w:tc>
          <w:tcPr>
            <w:tcW w:w="567" w:type="dxa"/>
            <w:tcBorders>
              <w:bottom w:val="nil"/>
              <w:right w:val="nil"/>
            </w:tcBorders>
          </w:tcPr>
          <w:p>
            <w:pPr>
              <w:spacing w:before="0" w:after="0"/>
              <w:jc w:val="left"/>
              <w:rPr>
                <w:rFonts w:eastAsia="Times New Roman"/>
                <w:noProof/>
                <w:sz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rPr>
            </w:pPr>
            <w:r>
              <w:rPr>
                <w:noProof/>
                <w:sz w:val="20"/>
              </w:rPr>
              <w:t>ER ET TILLÆGSBUDGET NØDVENDIGT?</w:t>
            </w:r>
          </w:p>
        </w:tc>
        <w:tc>
          <w:tcPr>
            <w:tcW w:w="1134" w:type="dxa"/>
            <w:tcBorders>
              <w:left w:val="nil"/>
              <w:bottom w:val="nil"/>
            </w:tcBorders>
          </w:tcPr>
          <w:p>
            <w:pPr>
              <w:spacing w:before="0" w:after="0"/>
              <w:jc w:val="center"/>
              <w:rPr>
                <w:rFonts w:eastAsia="Times New Roman"/>
                <w:noProof/>
                <w:sz w:val="20"/>
              </w:rPr>
            </w:pPr>
            <w:r>
              <w:rPr>
                <w:noProof/>
                <w:sz w:val="20"/>
              </w:rPr>
              <w:t>Nej</w:t>
            </w:r>
          </w:p>
        </w:tc>
      </w:tr>
      <w:tr>
        <w:tc>
          <w:tcPr>
            <w:tcW w:w="567" w:type="dxa"/>
            <w:tcBorders>
              <w:right w:val="nil"/>
            </w:tcBorders>
          </w:tcPr>
          <w:p>
            <w:pPr>
              <w:spacing w:before="0" w:after="0"/>
              <w:jc w:val="left"/>
              <w:rPr>
                <w:rFonts w:eastAsia="Times New Roman"/>
                <w:noProof/>
                <w:sz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rPr>
            </w:pPr>
            <w:r>
              <w:rPr>
                <w:noProof/>
                <w:sz w:val="20"/>
              </w:rPr>
              <w:t>BEVILLINGER TIL OPFØRELSE PÅ KOMMENDE BUDGETTER?</w:t>
            </w:r>
          </w:p>
        </w:tc>
        <w:tc>
          <w:tcPr>
            <w:tcW w:w="1134" w:type="dxa"/>
            <w:tcBorders>
              <w:left w:val="nil"/>
            </w:tcBorders>
          </w:tcPr>
          <w:p>
            <w:pPr>
              <w:spacing w:before="0" w:after="0"/>
              <w:jc w:val="center"/>
              <w:rPr>
                <w:rFonts w:eastAsia="Times New Roman"/>
                <w:noProof/>
                <w:sz w:val="20"/>
              </w:rPr>
            </w:pPr>
            <w:r>
              <w:rPr>
                <w:noProof/>
                <w:sz w:val="20"/>
              </w:rPr>
              <w:t>Ja (se bemærkninger)</w:t>
            </w:r>
          </w:p>
        </w:tc>
      </w:tr>
      <w:tr>
        <w:tc>
          <w:tcPr>
            <w:tcW w:w="9128" w:type="dxa"/>
            <w:gridSpan w:val="9"/>
          </w:tcPr>
          <w:p>
            <w:pPr>
              <w:spacing w:before="0" w:after="0"/>
              <w:jc w:val="left"/>
              <w:rPr>
                <w:rFonts w:eastAsia="Times New Roman"/>
                <w:noProof/>
                <w:sz w:val="20"/>
              </w:rPr>
            </w:pPr>
            <w:r>
              <w:rPr>
                <w:noProof/>
                <w:sz w:val="20"/>
              </w:rPr>
              <w:t>BEMÆRKNINGER:</w:t>
            </w:r>
          </w:p>
          <w:p>
            <w:pPr>
              <w:spacing w:before="0" w:after="0"/>
              <w:jc w:val="left"/>
              <w:rPr>
                <w:rFonts w:eastAsia="Times New Roman"/>
                <w:noProof/>
                <w:sz w:val="16"/>
                <w:szCs w:val="16"/>
              </w:rPr>
            </w:pPr>
          </w:p>
          <w:p>
            <w:pPr>
              <w:spacing w:before="0"/>
              <w:jc w:val="left"/>
              <w:rPr>
                <w:rFonts w:eastAsia="Times New Roman"/>
                <w:noProof/>
                <w:sz w:val="20"/>
              </w:rPr>
            </w:pPr>
            <w:r>
              <w:rPr>
                <w:noProof/>
                <w:sz w:val="20"/>
              </w:rPr>
              <w:t xml:space="preserve">Hvad angår støtte til udvikling af landdistrikterne i henhold til forordning (EU) nr. 1305/2013 (ELFUL), vedrører forslaget regnskabsårene 2019-2021, og de foreslåede ændringer for direkte betalinger i henhold til forordning (EU) nr. 1307/2013 vedrører kalenderåret 2020/regnskabsåret 2021. </w:t>
            </w:r>
          </w:p>
          <w:p>
            <w:pPr>
              <w:spacing w:before="0"/>
              <w:jc w:val="left"/>
              <w:rPr>
                <w:rFonts w:eastAsia="Times New Roman"/>
                <w:noProof/>
                <w:sz w:val="20"/>
              </w:rPr>
            </w:pPr>
            <w:r>
              <w:rPr>
                <w:noProof/>
                <w:sz w:val="20"/>
              </w:rPr>
              <w:t xml:space="preserve">Forslaget har ingen finansielle virkninger i form af øgede udgifter. </w:t>
            </w:r>
          </w:p>
          <w:p>
            <w:pPr>
              <w:spacing w:before="0"/>
              <w:jc w:val="left"/>
              <w:rPr>
                <w:rFonts w:eastAsia="Times New Roman"/>
                <w:noProof/>
                <w:sz w:val="20"/>
              </w:rPr>
            </w:pPr>
            <w:r>
              <w:rPr>
                <w:noProof/>
                <w:sz w:val="20"/>
              </w:rPr>
              <w:t xml:space="preserve">Virkningen af de foreslåede bestemmelser, hvormed medlemsstaterne gives mulighed for at overføre beløb mellem tildelinger til direkte betalinger i kalenderåret 2020/regnskabsåret 2021 og ELFUL i regnskabsåret 2021 samt overførslen af det anslåede resultat af nedsættelsen af direkte betalinger i kalenderår et2020 til ELFUL i regnskabsår 2021, vil afhænge af medlemsstaternes gennemførelse og kan på nuværende tidspunkt ikke kvantificeres. </w:t>
            </w:r>
          </w:p>
          <w:p>
            <w:pPr>
              <w:spacing w:before="0"/>
              <w:jc w:val="left"/>
              <w:rPr>
                <w:rFonts w:eastAsia="Times New Roman"/>
                <w:noProof/>
                <w:sz w:val="20"/>
              </w:rPr>
            </w:pPr>
            <w:r>
              <w:rPr>
                <w:noProof/>
                <w:sz w:val="20"/>
              </w:rPr>
              <w:t xml:space="preserve">Sådanne overførsler vil under alle omstændigheder være neutrale med hensyn til de samlede forpligtelsesbevillinger i den måde, hvorpå ethvert fradrag i de direkte tildelinger til direkte betalinger vil blive opvejet af en tilsvarende forhøjelse af ELFUL-bevillinger og omvendt. </w:t>
            </w:r>
          </w:p>
          <w:p>
            <w:pPr>
              <w:spacing w:before="0"/>
              <w:jc w:val="left"/>
              <w:rPr>
                <w:rFonts w:eastAsia="Times New Roman"/>
                <w:noProof/>
                <w:sz w:val="20"/>
              </w:rPr>
            </w:pPr>
            <w:r>
              <w:rPr>
                <w:noProof/>
                <w:sz w:val="20"/>
              </w:rPr>
              <w:t xml:space="preserve">Hvad angår betalingsbevillinger forholder det sig således, at hvis medlemsstaternes gennemførelse af disse bestemmelser vil føre til en nettooverførsel til ELFUL, kan det føre til en mindre udskydelse af betalinger fra regnskabsåret 2021 til de efterfølgende år, sammenlignet med en situation, hvor medlemsstaternes gennemførelse vil indebære en nettooverførsel til tildelinger til direkte betalinger eller overhovedet ingen omfordelinger. </w:t>
            </w:r>
          </w:p>
          <w:p>
            <w:pPr>
              <w:spacing w:before="0"/>
              <w:jc w:val="left"/>
              <w:rPr>
                <w:rFonts w:eastAsia="Times New Roman"/>
                <w:noProof/>
                <w:sz w:val="20"/>
              </w:rPr>
            </w:pPr>
            <w:r>
              <w:rPr>
                <w:noProof/>
                <w:sz w:val="20"/>
              </w:rPr>
              <w:t>Denne virkning kan imidlertid ikke kvantificeres på nuværende tidspunkt og forventes under alle omstændigheder at være minimal.</w:t>
            </w:r>
          </w:p>
          <w:p>
            <w:pPr>
              <w:spacing w:before="0"/>
              <w:jc w:val="left"/>
              <w:rPr>
                <w:rFonts w:eastAsia="Times New Roman"/>
                <w:noProof/>
                <w:sz w:val="20"/>
              </w:rPr>
            </w:pPr>
            <w:r>
              <w:rPr>
                <w:noProof/>
                <w:sz w:val="20"/>
              </w:rPr>
              <w:t xml:space="preserve">Uden at foregribe medlemmernes valg for kalenderåret 2020/regnskabsåret 2021 indebærer fleksibiliteten i regnskabsåret 2018 og 2019 eksempelvis nettooverførsler til ELFUL på henholdsvis 612 mio. EUR og 920 mio. EUR. Overførslen til ELFUL af det anslåede resultat af nedsættelsen i samme regnskabsår er henholdsvis 110 mio. EUR og 111 mio. EUR. </w:t>
            </w:r>
          </w:p>
          <w:p>
            <w:pPr>
              <w:spacing w:before="0"/>
              <w:jc w:val="left"/>
              <w:rPr>
                <w:rFonts w:eastAsia="Times New Roman"/>
                <w:noProof/>
                <w:sz w:val="20"/>
              </w:rPr>
            </w:pPr>
            <w:r>
              <w:rPr>
                <w:noProof/>
                <w:sz w:val="20"/>
              </w:rPr>
              <w:t>I lyset af tidligere erfaringer og de foreslåede budgetmæssige rammer for 2021-2027 forekommer en nettooverførsel til EGFL ikke sandsynlig, men det kan dog ikke helt udelukkes på nuværende tidspunkt. I så fald vil det for at overholde de gældende lofter kunne blive nødvendigt at give lavere prioritet til opdelte udgifter som f.eks. betalinger inden for rammerne af ELFUL.</w:t>
            </w:r>
          </w:p>
        </w:tc>
      </w:tr>
    </w:tbl>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C , , s. .</w:t>
      </w:r>
    </w:p>
  </w:footnote>
  <w:footnote w:id="2">
    <w:p>
      <w:pPr>
        <w:pStyle w:val="FootnoteText"/>
      </w:pPr>
      <w:r>
        <w:rPr>
          <w:rStyle w:val="FootnoteReference"/>
        </w:rPr>
        <w:footnoteRef/>
      </w:r>
      <w:r>
        <w:tab/>
        <w:t xml:space="preserve">Europa-Parlamentets og Rådets forordning (EU) nr. 1305/2013 af 17. december 2013 om støtte til udvikling af landdistrikterne fra Den Europæiske Landbrugsfond for Udvikling af Landdistrikterne (ELFUL) og om ophævelse af Rådets forordning (EF) nr. 1698/2005 (EUT L 347 af 20.12.2013, s. 487). </w:t>
      </w:r>
    </w:p>
  </w:footnote>
  <w:footnote w:id="3">
    <w:p>
      <w:pPr>
        <w:pStyle w:val="FootnoteText"/>
      </w:pPr>
      <w:r>
        <w:rPr>
          <w:rStyle w:val="FootnoteReference"/>
        </w:rPr>
        <w:footnoteRef/>
      </w:r>
      <w:r>
        <w:tab/>
        <w:t xml:space="preserve">Europa-Parlamentets og Rådets forordning (EU) 2017/2393 af 13. december 2017 om ændring af forordning (EU) nr. 1305/2013 om støtte til udvikling af landdistrikterne fra Den Europæiske Landbrugsfond for Udvikling af Landdistrikterne (ELFUL), (EU) nr. 1306/2013 om finansiering, forvaltning og overvågning af den fælles landbrugspolitik, (EU) nr. 1307/2013 om fastsættelse af regler for direkte betalinger til landbrugere under støtteordninger inden for rammerne af den fælles landbrugspolitik, (EU) nr. 1308/2013 om en fælles markedsordning for landbrugsprodukter og (EU) nr. 652/2014 om bestemmelser vedrørende forvaltning af udgifter i tilknytning til fødevarekæden, dyresundhed og dyrevelfærd samt til plantesundhed og planteformeringsmateriale (EUT L 350 af 29.12.2017, s. 15). </w:t>
      </w:r>
    </w:p>
  </w:footnote>
  <w:footnote w:id="4">
    <w:p>
      <w:pPr>
        <w:pStyle w:val="FootnoteText"/>
      </w:pPr>
      <w:r>
        <w:rPr>
          <w:rStyle w:val="FootnoteReference"/>
        </w:rPr>
        <w:footnoteRef/>
      </w:r>
      <w:r>
        <w:tab/>
        <w:t>Europa-Parlamentets og Rådets forordning (EU) nr. 1307/2013 af 17. december 2013 om fastsættelse af regler for direkte betalinger til landbrugere under støtteordninger inden for rammerne af den fælles landsbrugspolitik og om ophævelse af Rådets forordning (EF) nr. 637/2008 og Rådets forordning (EF) nr. 73/2009 (EUT L 347 af 20.12.2013, s.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89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40E9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14E0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DE8B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D075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FADB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B20E9A"/>
    <w:lvl w:ilvl="0">
      <w:start w:val="1"/>
      <w:numFmt w:val="decimal"/>
      <w:pStyle w:val="ListNumber"/>
      <w:lvlText w:val="%1."/>
      <w:lvlJc w:val="left"/>
      <w:pPr>
        <w:tabs>
          <w:tab w:val="num" w:pos="360"/>
        </w:tabs>
        <w:ind w:left="360" w:hanging="360"/>
      </w:pPr>
    </w:lvl>
  </w:abstractNum>
  <w:abstractNum w:abstractNumId="7">
    <w:nsid w:val="FFFFFF89"/>
    <w:multiLevelType w:val="singleLevel"/>
    <w:tmpl w:val="31784A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2"/>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07 15:19: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E169C95-3662-4846-8596-1F7ECD612D6C"/>
    <w:docVar w:name="LW_COVERPAGE_TYPE" w:val="1"/>
    <w:docVar w:name="LW_CROSSREFERENCE" w:val="&lt;UNUSED&gt;"/>
    <w:docVar w:name="LW_DocType" w:val="COM"/>
    <w:docVar w:name="LW_EMISSION" w:val="7.12.2018"/>
    <w:docVar w:name="LW_EMISSION_ISODATE" w:val="2018-12-07"/>
    <w:docVar w:name="LW_EMISSION_LOCATION" w:val="BRX"/>
    <w:docVar w:name="LW_EMISSION_PREFIX" w:val="Bruxelles,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414"/>
    <w:docVar w:name="LW_REF.II.NEW.CP_YEAR" w:val="2018"/>
    <w:docVar w:name="LW_REF.INST.NEW" w:val="COM"/>
    <w:docVar w:name="LW_REF.INST.NEW_ADOPTED" w:val="final"/>
    <w:docVar w:name="LW_REF.INST.NEW_TEXT" w:val="(2018) 8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forordning (EU) nr. 1305/2013 og (EU) nr. 1307/2013 for så vidt angår visse regler om direkte betalinger og støtte til udvikling af landdistrikterne for årene 2019 og 2020 "/>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901">
      <w:bodyDiv w:val="1"/>
      <w:marLeft w:val="0"/>
      <w:marRight w:val="0"/>
      <w:marTop w:val="0"/>
      <w:marBottom w:val="0"/>
      <w:divBdr>
        <w:top w:val="none" w:sz="0" w:space="0" w:color="auto"/>
        <w:left w:val="none" w:sz="0" w:space="0" w:color="auto"/>
        <w:bottom w:val="none" w:sz="0" w:space="0" w:color="auto"/>
        <w:right w:val="none" w:sz="0" w:space="0" w:color="auto"/>
      </w:divBdr>
    </w:div>
    <w:div w:id="1663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1D959551336834BAE63FDF645310974" ma:contentTypeVersion="0" ma:contentTypeDescription="Create a new document in this library." ma:contentTypeScope="" ma:versionID="2c0d669f53e33e182a613a132957d548">
  <xsd:schema xmlns:xsd="http://www.w3.org/2001/XMLSchema" xmlns:xs="http://www.w3.org/2001/XMLSchema" xmlns:p="http://schemas.microsoft.com/office/2006/metadata/properties" xmlns:ns2="http://schemas.microsoft.com/sharepoint/v3/fields" xmlns:ns3="43420428-275f-4ab9-a918-4cdd10fcb441" targetNamespace="http://schemas.microsoft.com/office/2006/metadata/properties" ma:root="true" ma:fieldsID="1a90ed334c09365c6decdcb9b9653cfd" ns2:_="" ns3:_="">
    <xsd:import namespace="http://schemas.microsoft.com/sharepoint/v3/fields"/>
    <xsd:import namespace="43420428-275f-4ab9-a918-4cdd10fcb44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420428-275f-4ab9-a918-4cdd10fcb44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43420428-275f-4ab9-a918-4cdd10fcb441" xsi:nil="true"/>
    <_Status xmlns="http://schemas.microsoft.com/sharepoint/v3/fields">Not Started</_Status>
    <EC_Collab_DocumentLanguage xmlns="43420428-275f-4ab9-a918-4cdd10fcb441">EN</EC_Collab_DocumentLanguage>
    <EC_Collab_Status xmlns="43420428-275f-4ab9-a918-4cdd10fcb441">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633674-83DA-4802-A50A-8BD150A5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3420428-275f-4ab9-a918-4cdd10fc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6A7E2-86B4-453F-A21F-13365291E87C}">
  <ds:schemaRefs>
    <ds:schemaRef ds:uri="http://schemas.microsoft.com/sharepoint/v3/contenttype/forms"/>
  </ds:schemaRefs>
</ds:datastoreItem>
</file>

<file path=customXml/itemProps3.xml><?xml version="1.0" encoding="utf-8"?>
<ds:datastoreItem xmlns:ds="http://schemas.openxmlformats.org/officeDocument/2006/customXml" ds:itemID="{88941651-53D3-45F0-A0AA-16660234FF3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3420428-275f-4ab9-a918-4cdd10fcb441"/>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12F01B9-6D2D-45CC-8B8F-B11AC62B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3145</Words>
  <Characters>19406</Characters>
  <Application>Microsoft Office Word</Application>
  <DocSecurity>0</DocSecurity>
  <Lines>421</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2018-12-07T09:24:00Z</cp:lastPrinted>
  <dcterms:created xsi:type="dcterms:W3CDTF">2018-12-07T10:00:00Z</dcterms:created>
  <dcterms:modified xsi:type="dcterms:W3CDTF">2018-12-07T14:19:00Z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0x010100258AA79CEB83498886A3A0868112325000A1D959551336834BAE63FDF645310974</vt:lpwstr>
  </property>
  <property fmtid="{D5CDD505-2E9C-101B-9397-08002B2CF9AE}" pid="11" name="DQCStatus">
    <vt:lpwstr>Green (DQC version 03)</vt:lpwstr>
  </property>
</Properties>
</file>