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D86D9E6-A961-4B24-A865-7D0FBB5253FC" style="width:450.45pt;height:4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Tämä ehdotus Euroopan parlamentin ja neuvoston päätökseksi, jolla mukautetaan energiatehokkuudesta annettua direktiiviä 2012/27/EU [sellaisena kuin se on muutettuna direktiivillä 2018/XXX/EU]</w:t>
      </w:r>
      <w:r>
        <w:rPr>
          <w:rStyle w:val="FootnoteReference"/>
          <w:noProof/>
        </w:rPr>
        <w:footnoteReference w:id="1"/>
      </w:r>
      <w:r>
        <w:rPr>
          <w:noProof/>
        </w:rPr>
        <w:t xml:space="preserve"> ja [energiaunionin hallinnosta] annettua asetusta (EU) 2018/XXX, on välttämätön Yhdistyneen kuningaskunnan Euroopan unionista eroamisen vuoksi. </w:t>
      </w:r>
    </w:p>
    <w:p>
      <w:pPr>
        <w:rPr>
          <w:noProof/>
        </w:rPr>
      </w:pPr>
      <w:r>
        <w:rPr>
          <w:noProof/>
        </w:rPr>
        <w:t>Yhdistynyt kuningaskunta ilmoitti 29. maaliskuuta 2017 aikomuksestaan erota unionista Euroopan unionista tehdyn sopimuksen 50 artiklan nojalla. Tämä tarkoittaa sitä, että jollei ratifioidussa erosopimuksessa määrätä eri päivämäärästä, unionin primäärilainsäädännön ja sekundaarilainsäädännön soveltaminen Yhdistyneeseen kuningaskuntaan lakkaa 30. maaliskuuta 2019 klo 00.00 (Keski-Euroopan aikaa), jäljempänä ’eropäivämäärä’. Yhdistyneen kuningaskunnan kanssa käydään parhaillaan neuvotteluja erosopimuksesta.</w:t>
      </w:r>
    </w:p>
    <w:p>
      <w:pPr>
        <w:rPr>
          <w:noProof/>
        </w:rPr>
      </w:pPr>
      <w:r>
        <w:rPr>
          <w:noProof/>
        </w:rPr>
        <w:t>Lisäksi Euroopan unionista tehdyn sopimuksen 50 artiklan 3 kohdan nojalla Eurooppa-neuvosto voi yhteisymmärryksessä Yhdistyneen kuningaskunnan kanssa päättää yksimielisesti, että perussopimusten soveltaminen lakkaa jonain myöhempänä päivänä.</w:t>
      </w:r>
    </w:p>
    <w:p>
      <w:pPr>
        <w:rPr>
          <w:noProof/>
        </w:rPr>
      </w:pPr>
      <w:r>
        <w:rPr>
          <w:noProof/>
        </w:rPr>
        <w:t>Tämä ehdotus koskee energiatehokkuudesta 25 päivänä lokakuuta 2012 annettua Euroopan parlamentin ja neuvoston direktiiviä 2012/27/EU [sellaisena kuin se on muutettuna direktiivillä 2018/XXX/EU] ja [energiaunionin hallinnosta] annettua asetusta (EU) 2018/XXX</w:t>
      </w:r>
      <w:r>
        <w:rPr>
          <w:rStyle w:val="FootnoteReference"/>
          <w:noProof/>
        </w:rPr>
        <w:footnoteReference w:id="2"/>
      </w:r>
      <w:r>
        <w:rPr>
          <w:noProof/>
        </w:rPr>
        <w:t xml:space="preserve">. Kummassakin säädöksessä annetut vuotta 2030 koskevat energiankulutusluvut kattavat 28 jäsenvaltiota (EU28). </w:t>
      </w:r>
    </w:p>
    <w:p>
      <w:pPr>
        <w:rPr>
          <w:noProof/>
        </w:rPr>
      </w:pPr>
      <w:r>
        <w:rPr>
          <w:noProof/>
        </w:rPr>
        <w:t>Direktiivissä 2012/27/EU, sellaisena kuin se on muutettuna direktiivillä 2018/XXX/EU, asetetaan unionin energiatehokkuustavoitteeksi vähintään 32,5 prosenttia vuoteen 2030 mennessä ja velvoitetaan jäsenvaltiot asettamaan ohjeelliset kansalliset energiatehokkuuspanokset. Jäsenvaltioiden olisi tällöin otettava huomioon unionin energiankulutus vuonna 2030</w:t>
      </w:r>
      <w:r>
        <w:rPr>
          <w:rStyle w:val="FootnoteReference"/>
          <w:noProof/>
        </w:rPr>
        <w:footnoteReference w:id="3"/>
      </w:r>
      <w:r>
        <w:rPr>
          <w:noProof/>
        </w:rPr>
        <w:t>. [Energiaunionin hallinnosta annettu] asetus (EU) 2018/XXX velvoittaa jäsenvaltiot ottamaan huomioon unionin energiankulutuksen vuonna 2030, kun ne asettavat omia energiatehokkuuspanoksiaan unionin vuodelle 2030 asetetun tavoitteen saavuttamiseksi. Energiankulutus unionin tasolla otetaan huomioon myös Euroopan komission arvioinnissa, joka koskee edistymistä unionin tavoitteiden saavuttamisessa yhteisesti.</w:t>
      </w:r>
    </w:p>
    <w:p>
      <w:pPr>
        <w:rPr>
          <w:noProof/>
        </w:rPr>
      </w:pPr>
      <w:r>
        <w:rPr>
          <w:noProof/>
        </w:rPr>
        <w:t xml:space="preserve">Vuodelle 2030 asetettu unionin yleinen vähintään 32,5 prosentin energiatehokkuustavoite muutetaan tarkistetussa energiatehokkuusdirektiivissä absoluuttisiksi arvoiksi primäärienergian kulutuksessa ja energian loppukulutuksessa. Edellinen saa olla enintään 1 273 Mtoe ja jälkimmäinen enintään 956 Mtoe 28 jäsenvaltion unionissa. Nämä arvot lasketaan pienentämällä 2007 PRIMES -viiteskenaarion EU:ta koskevia vuoteen 2030 ulottuvia ennusteita 32,5 prosentilla. Kun Yhdistynyt kuningaskunta jätetään pois laskuista, vastaavien EU27:ää koskevien ennusteiden pohjalta saadaan absoluuttisiksi energiankulutustasoiksi enintään 1 128 Mtoe primäärienergiaa ja enintään 846 Mtoe loppuenergiaa vuonna 2030. </w:t>
      </w:r>
    </w:p>
    <w:p>
      <w:pPr>
        <w:rPr>
          <w:rFonts w:eastAsia="Arial Unicode MS"/>
          <w:noProof/>
        </w:rPr>
      </w:pPr>
      <w:r>
        <w:rPr>
          <w:noProof/>
        </w:rPr>
        <w:t>Yhdistyneen kuningaskunnan eroamisen vuoksi unionin vuoden 2030 energiankulutustasot on tarpeen mukauttaa vastaamaan EU27:n tilannetta. Tätä voidaan pitää teknisenä mukautuksena, koska muutos perustuu aiemmin käytettyihin energiamalleihin sisältyneisiin määriin.</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noProof/>
        </w:rPr>
      </w:pPr>
      <w:r>
        <w:rPr>
          <w:noProof/>
        </w:rPr>
        <w:t>Ei sovelleta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rPr>
          <w:noProof/>
        </w:rPr>
      </w:pPr>
      <w:r>
        <w:rPr>
          <w:noProof/>
        </w:rPr>
        <w:t>Ehdotuksen oikeusperusta on Euroopan unionin toiminnasta tehty sopimus ja erityisesti sen 192 artiklan 1 kohta ja 194 artiklan 2 kohta. Nämä muodostavat oikeusperustan myös energiatehokkuudesta annetulle direktiiville 2012/27/EU [sellaisena kuin se on muutettuna direktiivillä 2018/XXX/EU] ja [energiaunionin hallinnosta annetulle] asetukselle (EU) 2018/XXX, joita tällä ehdotuksella muutetaan. Koska perussopimukseen sisältyy erityinen energiaan liittyvä oikeusperusta, sitä on aiheellista käyttää.</w:t>
      </w:r>
    </w:p>
    <w:p>
      <w:pPr>
        <w:pStyle w:val="ManualHeading2"/>
        <w:rPr>
          <w:rFonts w:eastAsia="Arial Unicode MS"/>
          <w:noProof/>
          <w:u w:color="000000"/>
          <w:bdr w:val="nil"/>
        </w:rPr>
      </w:pPr>
      <w:r>
        <w:rPr>
          <w:noProof/>
        </w:rPr>
        <w:t>•</w:t>
      </w:r>
      <w:r>
        <w:rPr>
          <w:noProof/>
        </w:rPr>
        <w:tab/>
        <w:t xml:space="preserve">Toissijaisuusperiaate (jaetun toimivallan osalta) </w:t>
      </w:r>
    </w:p>
    <w:p>
      <w:pPr>
        <w:rPr>
          <w:rFonts w:eastAsia="Arial Unicode MS"/>
          <w:noProof/>
          <w:highlight w:val="yellow"/>
        </w:rPr>
      </w:pPr>
      <w:r>
        <w:rPr>
          <w:noProof/>
        </w:rPr>
        <w:t xml:space="preserve">Toissijaisuus- ja suhteellisuusperiaatteet toteutuvat ehdotuksessa täysimääräisesti. Unionin toimia tarvitaan toissijaisuusperiaatteen mukaisesti (SEU-sopimuksen 5 artiklan 3 kohta), koska ehdotuksessa on kyse teknisistä mukautuksista unionin säädöksiin. </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highlight w:val="yellow"/>
        </w:rPr>
      </w:pPr>
      <w:r>
        <w:rPr>
          <w:noProof/>
        </w:rPr>
        <w:t>Ehdotus on suhteellisuusperiaatteen mukainen (SEU-sopimuksen 5 artiklan 4 kohta), koska siinä ei ylitetä sitä, mikä on tarpeen tavoitteen saavuttamiseksi. Voimassa olevaan lainsäädäntöön ehdotetut muutokset mukauttavat sen vuoden 2030 aikajänteelle ja takaavat johdonmukaisuuden. Muutosten soveltamisala rajoittuu näkökohtiin, jotka edellyttävät unionin toimintaa.</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noProof/>
        </w:rPr>
      </w:pPr>
      <w:r>
        <w:rPr>
          <w:noProof/>
        </w:rPr>
        <w:t>Koska tällä ehdotuksella muutetaan voimassa olevaa direktiiviä ja asetusta, asianmukainen säädöstyyppi on Euroopan parlamentin ja neuvoston päätös.</w:t>
      </w:r>
    </w:p>
    <w:p>
      <w:pPr>
        <w:pStyle w:val="ManualHeading1"/>
        <w:rPr>
          <w:noProof/>
        </w:rPr>
      </w:pPr>
      <w:r>
        <w:rPr>
          <w:noProof/>
        </w:rPr>
        <w:t>3.</w:t>
      </w:r>
      <w:r>
        <w:rPr>
          <w:noProof/>
        </w:rPr>
        <w:tab/>
        <w:t>JÄLKIARVIOINTIEN, SIDOSRYHMIEN KUULEMISTEN JA VAIKUTUSTENARVIOINTIEN TULOKSET</w:t>
      </w:r>
    </w:p>
    <w:p>
      <w:pPr>
        <w:rPr>
          <w:rFonts w:eastAsia="Arial Unicode MS"/>
          <w:noProof/>
        </w:rPr>
      </w:pPr>
      <w:r>
        <w:rPr>
          <w:noProof/>
        </w:rPr>
        <w:t>Koska tämä ehdotus on luonteeltaan pelkästään tekninen eikä siihen liity mitään poliittisia valintoja, intressitahojen kuuleminen ja vaikutustenarvioinnit ovat tarpeettomia.</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Perusoikeudet</w:t>
      </w:r>
    </w:p>
    <w:p>
      <w:pPr>
        <w:rPr>
          <w:noProof/>
        </w:rPr>
      </w:pPr>
      <w:r>
        <w:rPr>
          <w:noProof/>
        </w:rPr>
        <w:t>Ei sovelleta</w:t>
      </w:r>
    </w:p>
    <w:p>
      <w:pPr>
        <w:pStyle w:val="ManualHeading1"/>
        <w:rPr>
          <w:noProof/>
        </w:rPr>
      </w:pPr>
      <w:r>
        <w:rPr>
          <w:noProof/>
        </w:rPr>
        <w:t>4.</w:t>
      </w:r>
      <w:r>
        <w:rPr>
          <w:noProof/>
        </w:rPr>
        <w:tab/>
        <w:t>TALOUSARVIOVAIKUTUKSET</w:t>
      </w:r>
    </w:p>
    <w:p>
      <w:pPr>
        <w:rPr>
          <w:noProof/>
        </w:rPr>
      </w:pPr>
      <w:r>
        <w:rPr>
          <w:noProof/>
        </w:rPr>
        <w:t xml:space="preserve">Ehdotuksella ei ole talousarviovaikutuksia.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Selittävät asiakirjat (direktiivien osalta)</w:t>
      </w:r>
    </w:p>
    <w:p>
      <w:pPr>
        <w:pBdr>
          <w:top w:val="nil"/>
          <w:left w:val="nil"/>
          <w:bottom w:val="nil"/>
          <w:right w:val="nil"/>
          <w:between w:val="nil"/>
          <w:bar w:val="nil"/>
        </w:pBdr>
        <w:spacing w:before="0" w:after="240"/>
        <w:rPr>
          <w:rFonts w:eastAsia="Arial Unicode MS"/>
          <w:noProof/>
          <w:highlight w:val="yellow"/>
        </w:rPr>
      </w:pPr>
      <w:r>
        <w:rPr>
          <w:noProof/>
        </w:rPr>
        <w:t>Koska tämä ehdotus on luonteeltaan pelkästään tekninen, kansallisen lainsäädännön osaksi saattamista koskevat selittävät asiakirjat eivät ole tarpeen.</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rPr>
      </w:pPr>
      <w:r>
        <w:rPr>
          <w:noProof/>
        </w:rPr>
        <w:t>Ei sovelleta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2018/0385 (COD)</w:t>
      </w: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energiatehokkuudesta annetun Euroopan parlamentin ja neuvoston direktiivin 2012/27/EU [sellaisena kuin se on muutettuna direktiivillä 2018/XXX/EU] ja [energiaunionin hallinnosta annetun] Euroopan parlamentin ja neuvoston asetuksen (EU) 2018/XXX mukauttamisesta Yhdistyneen kuningaskunnan Euroopan unionista eroamisen vuoksi</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192 artiklan 1 kohdan ja 194 artiklan 2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4"/>
      </w:r>
      <w:r>
        <w:rPr>
          <w:noProof/>
        </w:rPr>
        <w:t xml:space="preserve">, </w:t>
      </w:r>
    </w:p>
    <w:p>
      <w:pPr>
        <w:rPr>
          <w:noProof/>
        </w:rPr>
      </w:pPr>
      <w:r>
        <w:rPr>
          <w:noProof/>
        </w:rPr>
        <w:t>ottavat huomioon alueiden komitean lausunnon</w:t>
      </w:r>
      <w:r>
        <w:rPr>
          <w:rStyle w:val="FootnoteReference"/>
          <w:noProof/>
        </w:rPr>
        <w:footnoteReference w:id="5"/>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 xml:space="preserve">Yhdistynyt kuningaskunta ilmoitti 29 päivänä maaliskuuta 2017 Eurooppa-neuvostolle aikomuksestaan erota unionista Euroopan unionista tehdyn sopimuksen 50 artiklan nojalla. Tämä tarkoittaa sitä, että jollei erosopimuksessa määrätä eri päivämäärästä tai jollei Eurooppa-neuvosto yhteisymmärryksessä Yhdistyneen kuningaskunnan kanssa sovi eri päivämäärästä, unionin oikeuden soveltaminen Yhdistyneeseen kuningaskuntaan lakkaa 30 päivästä maaliskuuta 2019. Tämän seurauksena Yhdistyneestä kuningaskunnasta tulee kolmas maa. </w:t>
      </w:r>
    </w:p>
    <w:p>
      <w:pPr>
        <w:pStyle w:val="ManualConsidrant"/>
        <w:rPr>
          <w:noProof/>
        </w:rPr>
      </w:pPr>
      <w:r>
        <w:rPr>
          <w:noProof/>
        </w:rPr>
        <w:t>(2)</w:t>
      </w:r>
      <w:r>
        <w:rPr>
          <w:noProof/>
        </w:rPr>
        <w:tab/>
        <w:t>Energiatehokkuudesta 25 päivänä lokakuuta 2012 annettu Euroopan parlamentin ja neuvoston direktiivi 2012/27/EU</w:t>
      </w:r>
      <w:r>
        <w:rPr>
          <w:rStyle w:val="FootnoteReference"/>
          <w:noProof/>
        </w:rPr>
        <w:footnoteReference w:id="6"/>
      </w:r>
      <w:r>
        <w:rPr>
          <w:noProof/>
        </w:rPr>
        <w:t>, sellaisena kuin se on muutettuna direktiivillä 2018/XXX/EU</w:t>
      </w:r>
      <w:r>
        <w:rPr>
          <w:rStyle w:val="FootnoteReference"/>
          <w:noProof/>
        </w:rPr>
        <w:footnoteReference w:id="7"/>
      </w:r>
      <w:r>
        <w:rPr>
          <w:noProof/>
        </w:rPr>
        <w:t>, velvoittaa jäsenvaltiot asettamaan ohjeelliset kansalliset energiatehokkuuspanokset unionin vähintään 32,5 prosentin energiatehokkuustavoitteen saavuttamiseksi vuoteen 2030 mennessä. Jäsenvaltioiden olisi tällöin otettava huomioon unionin energiankulutus vuonna 2030</w:t>
      </w:r>
      <w:r>
        <w:rPr>
          <w:rStyle w:val="FootnoteReference"/>
          <w:noProof/>
        </w:rPr>
        <w:footnoteReference w:id="8"/>
      </w:r>
      <w:r>
        <w:rPr>
          <w:noProof/>
        </w:rPr>
        <w:t>.</w:t>
      </w:r>
    </w:p>
    <w:p>
      <w:pPr>
        <w:pStyle w:val="ManualConsidrant"/>
        <w:rPr>
          <w:noProof/>
        </w:rPr>
      </w:pPr>
      <w:r>
        <w:rPr>
          <w:noProof/>
        </w:rPr>
        <w:t>(3)</w:t>
      </w:r>
      <w:r>
        <w:rPr>
          <w:noProof/>
        </w:rPr>
        <w:tab/>
        <w:t>[Energiaunionin hallinnosta annettu] asetus (EU) 2018/XXX</w:t>
      </w:r>
      <w:r>
        <w:rPr>
          <w:rStyle w:val="FootnoteReference"/>
          <w:noProof/>
        </w:rPr>
        <w:footnoteReference w:id="9"/>
      </w:r>
      <w:r>
        <w:rPr>
          <w:noProof/>
        </w:rPr>
        <w:t xml:space="preserve"> velvoittaa jäsenvaltiot ottamaan huomioon unionin energiankulutuksen vuonna 2030, kun ne asettavat omia energiatehokkuuspanoksiaan unionin tavoitteiden saavuttamiseksi</w:t>
      </w:r>
      <w:r>
        <w:rPr>
          <w:rStyle w:val="FootnoteReference"/>
          <w:noProof/>
        </w:rPr>
        <w:footnoteReference w:id="10"/>
      </w:r>
      <w:r>
        <w:rPr>
          <w:noProof/>
        </w:rPr>
        <w:t>. Energiankulutus unionin tasolla otetaan huomioon myös Euroopan komission arvioinnissa, joka koskee edistymistä unionin tavoitteiden saavuttamisessa yhteisesti</w:t>
      </w:r>
      <w:r>
        <w:rPr>
          <w:rStyle w:val="FootnoteReference"/>
          <w:noProof/>
        </w:rPr>
        <w:footnoteReference w:id="11"/>
      </w:r>
      <w:r>
        <w:rPr>
          <w:noProof/>
        </w:rPr>
        <w:t>.</w:t>
      </w:r>
    </w:p>
    <w:p>
      <w:pPr>
        <w:pStyle w:val="ManualConsidrant"/>
        <w:rPr>
          <w:noProof/>
        </w:rPr>
      </w:pPr>
      <w:r>
        <w:rPr>
          <w:noProof/>
        </w:rPr>
        <w:t>(4)</w:t>
      </w:r>
      <w:r>
        <w:rPr>
          <w:noProof/>
        </w:rPr>
        <w:tab/>
        <w:t xml:space="preserve">Koska Yhdistynyt kuningaskunta eroaa unionista, on tarpeen mukauttaa teknisesti vuodeksi 2030 esitettyjä Euroopan unionin energiankulutusennusteita, jotta ne vastaisivat 27 jäsenvaltion unionia, jäljempänä ’EU 27’. Unionin vähintään 32,5 prosentin yleistavoitteen osalta tehtyjen ennusteiden mukaan vuonna 2030 primäärienergian kulutuksen tulisi olla 1 273 miljoonaa öljyekvivalenttitonnia (Mtoe) ja energian loppukulutuksen 956 Mtoe 28 jäsenvaltion unionissa. Kun Yhdistynyt kuningaskunta jätetään pois laskuista, vastaavien EU27:ää koskevien ennusteiden pohjalta primäärienergian kulutuksen tulisi olla 1 128 Mtoe ja energian loppukulutuksen 846 Mtoe vuonna 2030. Tämä edellyttää vuoden 2030 energiankulutustasoja koskevien lukujen mukauttamista. </w:t>
      </w:r>
    </w:p>
    <w:p>
      <w:pPr>
        <w:pStyle w:val="ManualConsidrant"/>
        <w:rPr>
          <w:noProof/>
        </w:rPr>
      </w:pPr>
      <w:r>
        <w:rPr>
          <w:noProof/>
        </w:rPr>
        <w:t>(5)</w:t>
      </w:r>
      <w:r>
        <w:rPr>
          <w:noProof/>
        </w:rPr>
        <w:tab/>
        <w:t xml:space="preserve">Samat energiankulutusta koskevat ennusteet vuodelle 2030 ovat merkityksellisiä myös [energiaunionin hallinnosta annetun] asetuksen (EU) 2018/XXX 6 ja 29 artiklan kannalta. </w:t>
      </w:r>
    </w:p>
    <w:p>
      <w:pPr>
        <w:pStyle w:val="ManualConsidrant"/>
        <w:rPr>
          <w:noProof/>
        </w:rPr>
      </w:pPr>
      <w:r>
        <w:rPr>
          <w:noProof/>
        </w:rPr>
        <w:t>(6)</w:t>
      </w:r>
      <w:r>
        <w:rPr>
          <w:noProof/>
        </w:rPr>
        <w:tab/>
        <w:t>Direktiiviä 2012/27/EU [sellaisena kuin se on muutettuna direktiivillä 2018/XXX/EU] ja [energiaunionin hallinnosta annettua] asetusta (EU) 2018/XXX olisi sen vuoksi muutettava,</w:t>
      </w:r>
    </w:p>
    <w:p>
      <w:pPr>
        <w:pStyle w:val="Formuledadoption"/>
        <w:rPr>
          <w:noProof/>
        </w:rPr>
      </w:pPr>
      <w:r>
        <w:rPr>
          <w:noProof/>
        </w:rPr>
        <w:t xml:space="preserve">OVAT HYVÄKSYNEET TÄMÄN PÄÄTÖKSEN: </w:t>
      </w:r>
    </w:p>
    <w:p>
      <w:pPr>
        <w:pStyle w:val="Titrearticle"/>
        <w:rPr>
          <w:noProof/>
        </w:rPr>
      </w:pPr>
      <w:r>
        <w:rPr>
          <w:noProof/>
        </w:rPr>
        <w:t>1 artikla</w:t>
      </w:r>
    </w:p>
    <w:p>
      <w:pPr>
        <w:rPr>
          <w:noProof/>
        </w:rPr>
      </w:pPr>
      <w:r>
        <w:rPr>
          <w:noProof/>
        </w:rPr>
        <w:t>Korvataan direktiivin 2012/27/EU, [sellaisena kuin se on muutettuna direktiivillä 2018/XXX/EU], 3 artiklan 5 kohta seuraavasti:</w:t>
      </w:r>
    </w:p>
    <w:p>
      <w:pPr>
        <w:rPr>
          <w:noProof/>
        </w:rPr>
      </w:pPr>
      <w:r>
        <w:rPr>
          <w:noProof/>
        </w:rPr>
        <w:t>”5. Kunkin jäsenvaltion on asetettava ohjeelliset kansalliset energiatehokkuuspanokset tämän direktiivin 1 artiklan 1 kohdassa tarkoitettujen unionin vuoden 2030 tavoitteiden saavuttamiseksi [energiaunionin hallinnosta annetun] asetuksen (EU) 2018/XXX [4] ja [6] artiklan mukaisesti. Näitä panoksia asettaessaan jäsenvaltioiden on otettava huomioon, että unionin energiankulutus vuonna 2030 saa olla enintään 1 128 Mtoe primäärienergiaa ja/tai enintään 846 Mtoe loppuenergiaa. Jäsenvaltioiden on ilmoitettava näistä panoksista komissiolle osana [energiaunionin hallinnosta annetun] asetuksen (EU) 2018/XXX [3] ja [7]–[12] artiklassa tarkoitettuja yhdennettyjä kansallisia energia- ja ilmastosuunnitelmiaan ja kyseisissä artikloissa säädetyn menettelyn mukaisesti.”</w:t>
      </w:r>
    </w:p>
    <w:p>
      <w:pPr>
        <w:pStyle w:val="Titrearticle"/>
        <w:rPr>
          <w:noProof/>
        </w:rPr>
      </w:pPr>
      <w:r>
        <w:rPr>
          <w:noProof/>
        </w:rPr>
        <w:t>2 artikla</w:t>
      </w:r>
    </w:p>
    <w:p>
      <w:pPr>
        <w:rPr>
          <w:noProof/>
        </w:rPr>
      </w:pPr>
      <w:r>
        <w:rPr>
          <w:noProof/>
        </w:rPr>
        <w:t xml:space="preserve">Muutetaan [energiaunionin hallinnosta annettu] asetus (EU) 2018/XXX seuraavasti: </w:t>
      </w:r>
    </w:p>
    <w:p>
      <w:pPr>
        <w:pStyle w:val="Point0"/>
        <w:rPr>
          <w:noProof/>
        </w:rPr>
      </w:pPr>
      <w:r>
        <w:rPr>
          <w:noProof/>
        </w:rPr>
        <w:t>a)</w:t>
      </w:r>
      <w:r>
        <w:rPr>
          <w:noProof/>
        </w:rPr>
        <w:tab/>
        <w:t>Korvataan 6 artiklan 1 kohdan ensimmäisessä alakohdassa</w:t>
      </w:r>
    </w:p>
    <w:p>
      <w:pPr>
        <w:pStyle w:val="Point1"/>
        <w:rPr>
          <w:noProof/>
        </w:rPr>
      </w:pPr>
      <w:r>
        <w:rPr>
          <w:noProof/>
        </w:rPr>
        <w:t>i)</w:t>
      </w:r>
      <w:r>
        <w:rPr>
          <w:noProof/>
        </w:rPr>
        <w:tab/>
        <w:t>luku ”1 273 Mtoe” luvulla ”1 128 Mtoe”;</w:t>
      </w:r>
    </w:p>
    <w:p>
      <w:pPr>
        <w:pStyle w:val="Point1"/>
        <w:rPr>
          <w:noProof/>
        </w:rPr>
      </w:pPr>
      <w:r>
        <w:rPr>
          <w:noProof/>
        </w:rPr>
        <w:t>ii)</w:t>
      </w:r>
      <w:r>
        <w:rPr>
          <w:noProof/>
        </w:rPr>
        <w:tab/>
        <w:t>luku ”956 Mtoe” luvulla ”846 Mtoe”.</w:t>
      </w:r>
    </w:p>
    <w:p>
      <w:pPr>
        <w:pStyle w:val="Point0"/>
        <w:rPr>
          <w:noProof/>
        </w:rPr>
      </w:pPr>
      <w:r>
        <w:rPr>
          <w:noProof/>
        </w:rPr>
        <w:t>b)</w:t>
      </w:r>
      <w:r>
        <w:rPr>
          <w:noProof/>
        </w:rPr>
        <w:tab/>
        <w:t>Korvataan 29 artiklan 3 kohdan ensimmäinen alakohta seuraavasti:</w:t>
      </w:r>
    </w:p>
    <w:p>
      <w:pPr>
        <w:pStyle w:val="Text1"/>
        <w:rPr>
          <w:noProof/>
        </w:rPr>
      </w:pPr>
      <w:r>
        <w:rPr>
          <w:noProof/>
        </w:rPr>
        <w:t>”Energiatehokkuuden alalla komissio arvioi osana 1 kohdassa tarkoitettua arviointia edistymisen siltä osin kuin on kyse tavoitteesta saavuttaa yhteisesti energiankulutuksen taso, joka on unionin tasolla enintään 1 128 Mtoe primäärienergiaa ja enintään 846 Mtoe loppuenergiaa vuonna 2030, direktiivin 2012/27/EU [sellaisena kuin se on muutettuna direktiivillä 2018/XXX/EU] 3 artiklan 5 kohdan mukaisesti.”</w:t>
      </w:r>
    </w:p>
    <w:p>
      <w:pPr>
        <w:pStyle w:val="Titrearticle"/>
        <w:rPr>
          <w:noProof/>
        </w:rPr>
      </w:pPr>
      <w:r>
        <w:rPr>
          <w:noProof/>
        </w:rPr>
        <w:t>3 artikla</w:t>
      </w:r>
    </w:p>
    <w:p>
      <w:pPr>
        <w:rPr>
          <w:noProof/>
        </w:rPr>
      </w:pPr>
      <w:r>
        <w:rPr>
          <w:noProof/>
        </w:rPr>
        <w:t>Tämän päätöksen 1 ja 2 artikla eivät rajoita direktiivin 2012/27/EU [sellaisena kuin se on muutettuna direktiivillä 2018/XXX/EU] 28 artiklassa ja [energiaunionin hallinnosta annetun] asetuksen (EU) 2018/XXX 59 artiklassa säädetyn määräajan soveltamista.</w:t>
      </w:r>
    </w:p>
    <w:p>
      <w:pPr>
        <w:pStyle w:val="Titrearticle"/>
        <w:rPr>
          <w:noProof/>
        </w:rPr>
      </w:pPr>
      <w:r>
        <w:rPr>
          <w:noProof/>
        </w:rPr>
        <w:t>4 artikla</w:t>
      </w:r>
    </w:p>
    <w:p>
      <w:pPr>
        <w:rPr>
          <w:noProof/>
        </w:rPr>
      </w:pPr>
      <w:r>
        <w:rPr>
          <w:noProof/>
        </w:rPr>
        <w:t xml:space="preserve">Tämä päätös tulee voimaan kahdentenakymmenentenä päivänä sen jälkeen, kun se on julkaistu </w:t>
      </w:r>
      <w:r>
        <w:rPr>
          <w:i/>
          <w:noProof/>
        </w:rPr>
        <w:t>Euroopan unionin virallisessa lehdessä</w:t>
      </w:r>
      <w:r>
        <w:rPr>
          <w:noProof/>
        </w:rPr>
        <w:t>, ja sitä sovelletaan sitä päivää seuraavasta päivästä, jona unionin oikeutta ei enää sovelleta Yhdistyneeseen kuningaskuntaan.</w:t>
      </w:r>
    </w:p>
    <w:p>
      <w:pPr>
        <w:pStyle w:val="Fait"/>
        <w:rPr>
          <w:noProof/>
        </w:rPr>
      </w:pPr>
      <w:r>
        <w:t>Tehty Strasbourgissa</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XXX.</w:t>
      </w:r>
    </w:p>
  </w:footnote>
  <w:footnote w:id="2">
    <w:p>
      <w:pPr>
        <w:pStyle w:val="FootnoteText"/>
      </w:pPr>
      <w:r>
        <w:rPr>
          <w:rStyle w:val="FootnoteReference"/>
        </w:rPr>
        <w:footnoteRef/>
      </w:r>
      <w:r>
        <w:tab/>
        <w:t>Lainsäätäjät pääsivät 19 päivänä kesäkuuta 2018 alustavaan poliittiseen yhteisymmärrykseen energiatehokkuusdirektiivin ja energiaunionin hallintoa koskevan asetuksen tarkistamisesta. Euroopan parlamentin täysistunto yhteiskeskustelua varten ja äänestys ensimmäisessä käsittelyssä on määrä pitää kummankin säädöksen osalta marraskuussa. Energiatehokkuusdirektiivi ja energiaunionin hallintoa koskeva asetus tuodaan yleisten asioiden neuvostoon, ja kun ne on hyväksytty, kumpikin lainsäätäjä allekirjoittaa ne virallisesti.</w:t>
      </w:r>
    </w:p>
  </w:footnote>
  <w:footnote w:id="3">
    <w:p>
      <w:pPr>
        <w:pStyle w:val="FootnoteText"/>
      </w:pPr>
      <w:r>
        <w:rPr>
          <w:rStyle w:val="FootnoteReference"/>
        </w:rPr>
        <w:footnoteRef/>
      </w:r>
      <w:r>
        <w:tab/>
        <w:t>Direktiivin 2012/27/EY, sellaisena kuin se on muutettuna direktiivillä 2018/XX/EU, 3 artiklan 1 kohdan a alakohta ja 3 artiklan 5 kohta.</w:t>
      </w:r>
    </w:p>
  </w:footnote>
  <w:footnote w:id="4">
    <w:p>
      <w:pPr>
        <w:pStyle w:val="FootnoteText"/>
      </w:pPr>
      <w:r>
        <w:rPr>
          <w:rStyle w:val="FootnoteReference"/>
        </w:rPr>
        <w:footnoteRef/>
      </w:r>
      <w:r>
        <w:tab/>
        <w:t>EUVL C , , s. .</w:t>
      </w:r>
    </w:p>
  </w:footnote>
  <w:footnote w:id="5">
    <w:p>
      <w:pPr>
        <w:pStyle w:val="FootnoteText"/>
      </w:pPr>
      <w:r>
        <w:rPr>
          <w:rStyle w:val="FootnoteReference"/>
        </w:rPr>
        <w:footnoteRef/>
      </w:r>
      <w:r>
        <w:tab/>
        <w:t>EUVL C , , s. .</w:t>
      </w:r>
    </w:p>
  </w:footnote>
  <w:footnote w:id="6">
    <w:p>
      <w:pPr>
        <w:pStyle w:val="FootnoteText"/>
      </w:pPr>
      <w:r>
        <w:rPr>
          <w:rStyle w:val="FootnoteReference"/>
        </w:rPr>
        <w:footnoteRef/>
      </w:r>
      <w:r>
        <w:tab/>
        <w:t>Euroopan parlamentin ja neuvoston direktiivi 2012/27/EU, annettu 25 päivänä lokakuuta 2012, energiatehokkuudesta, direktiivien 2009/125/EY ja 2010/30/EU muuttamisesta sekä direktiivien 2004/8/EY ja 2006/32/EY kumoamisesta (EUVL L 315, 14.11.2012, s. 1–56).</w:t>
      </w:r>
    </w:p>
  </w:footnote>
  <w:footnote w:id="7">
    <w:p>
      <w:pPr>
        <w:pStyle w:val="FootnoteText"/>
      </w:pPr>
      <w:r>
        <w:rPr>
          <w:rStyle w:val="FootnoteReference"/>
        </w:rPr>
        <w:footnoteRef/>
      </w:r>
      <w:r>
        <w:tab/>
        <w:t>EUVL</w:t>
      </w:r>
    </w:p>
  </w:footnote>
  <w:footnote w:id="8">
    <w:p>
      <w:pPr>
        <w:pStyle w:val="FootnoteText"/>
      </w:pPr>
      <w:r>
        <w:rPr>
          <w:rStyle w:val="FootnoteReference"/>
        </w:rPr>
        <w:footnoteRef/>
      </w:r>
      <w:r>
        <w:tab/>
        <w:t>Direktiivin 2012/27/EU 3 artiklan 5 kohta, sellaisena kuin se on muutettuna direktiivillä 2018/XXX/EU.</w:t>
      </w:r>
    </w:p>
  </w:footnote>
  <w:footnote w:id="9">
    <w:p>
      <w:pPr>
        <w:pStyle w:val="FootnoteText"/>
      </w:pPr>
      <w:r>
        <w:rPr>
          <w:rStyle w:val="FootnoteReference"/>
        </w:rPr>
        <w:footnoteRef/>
      </w:r>
      <w:r>
        <w:tab/>
        <w:t>EUVL</w:t>
      </w:r>
    </w:p>
  </w:footnote>
  <w:footnote w:id="10">
    <w:p>
      <w:pPr>
        <w:pStyle w:val="FootnoteText"/>
      </w:pPr>
      <w:r>
        <w:rPr>
          <w:rStyle w:val="FootnoteReference"/>
        </w:rPr>
        <w:footnoteRef/>
      </w:r>
      <w:r>
        <w:tab/>
        <w:t>[Energiaunionin hallinnosta annetun] asetuksen (EU) 2018/XXX 6 artiklan 1 kohdan ensimmäinen alakohta.</w:t>
      </w:r>
    </w:p>
  </w:footnote>
  <w:footnote w:id="11">
    <w:p>
      <w:pPr>
        <w:pStyle w:val="FootnoteText"/>
        <w:tabs>
          <w:tab w:val="left" w:pos="709"/>
          <w:tab w:val="left" w:pos="993"/>
        </w:tabs>
        <w:ind w:left="567" w:hanging="567"/>
        <w:jc w:val="left"/>
      </w:pPr>
      <w:r>
        <w:rPr>
          <w:rStyle w:val="FootnoteReference"/>
        </w:rPr>
        <w:footnoteRef/>
      </w:r>
      <w:r>
        <w:tab/>
        <w:t>[Energiaunionin hallinnosta annetun] asetuksen (EU) 2018/XXX 29 artiklan 3 kohdan ensimmäinen alakohta.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209C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D4D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0C5B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1897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489C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5AA5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58D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708892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1-14 16:57: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86D9E6-A961-4B24-A865-7D0FBB5253FC"/>
    <w:docVar w:name="LW_COVERPAGE_TYPE" w:val="1"/>
    <w:docVar w:name="LW_CROSSREFERENCE" w:val="&lt;UNUSED&gt;"/>
    <w:docVar w:name="LW_DocType" w:val="COM"/>
    <w:docVar w:name="LW_EMISSION" w:val="13.11.2018"/>
    <w:docVar w:name="LW_EMISSION_ISODATE" w:val="2018-11-13"/>
    <w:docVar w:name="LW_EMISSION_LOCATION" w:val="STR"/>
    <w:docVar w:name="LW_EMISSION_PREFIX" w:val="Strasbourg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385"/>
    <w:docVar w:name="LW_REF.II.NEW.CP_YEAR" w:val="2018"/>
    <w:docVar w:name="LW_REF.INST.NEW" w:val="COM"/>
    <w:docVar w:name="LW_REF.INST.NEW_ADOPTED" w:val="final"/>
    <w:docVar w:name="LW_REF.INST.NEW_TEXT" w:val="(2018) 7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nergiatehokkuudesta annetun Euroopan parlamentin ja neuvoston direktiivin 2012/27/EU [sellaisena kuin se on muutettuna direktiivillä 2018/XXX/EU] ja [energiaunionin hallinnosta annetun] Euroopan parlamentin ja neuvoston asetuksen (EU) 2018/XXX mukauttamisesta Yhdistyneen kuningaskunnan Euroopan unionista eroamisen vuoksi"/>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8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B63C-A500-4523-BB71-42B9E32E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1252</Words>
  <Characters>10296</Characters>
  <Application>Microsoft Office Word</Application>
  <DocSecurity>0</DocSecurity>
  <Lines>190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2018-11-06T16:43:00Z</cp:lastPrinted>
  <dcterms:created xsi:type="dcterms:W3CDTF">2018-11-14T12:39:00Z</dcterms:created>
  <dcterms:modified xsi:type="dcterms:W3CDTF">2018-11-14T15:57:00Z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