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5736E" w:rsidRPr="0015736E" w:rsidRDefault="0015736E" w:rsidP="0015736E">
      <w:pPr>
        <w:jc w:val="right"/>
        <w:rPr>
          <w:b/>
          <w:color w:val="0070C0"/>
          <w:sz w:val="36"/>
          <w:szCs w:val="36"/>
        </w:rPr>
      </w:pPr>
      <w:r w:rsidRPr="00E3443C">
        <w:rPr>
          <w:rFonts w:cs="Helvetica"/>
          <w:noProof/>
          <w:lang w:eastAsia="fr-LU"/>
        </w:rPr>
        <w:drawing>
          <wp:inline distT="0" distB="0" distL="0" distR="0" wp14:anchorId="3298A94E" wp14:editId="25A3D540">
            <wp:extent cx="2470425" cy="704427"/>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437" cy="707852"/>
                    </a:xfrm>
                    <a:prstGeom prst="rect">
                      <a:avLst/>
                    </a:prstGeom>
                    <a:noFill/>
                    <a:ln>
                      <a:noFill/>
                    </a:ln>
                  </pic:spPr>
                </pic:pic>
              </a:graphicData>
            </a:graphic>
          </wp:inline>
        </w:drawing>
      </w:r>
      <w:r w:rsidRPr="0015736E">
        <w:rPr>
          <w:b/>
          <w:color w:val="0070C0"/>
          <w:sz w:val="52"/>
          <w:szCs w:val="36"/>
        </w:rPr>
        <w:t>_______________________________</w:t>
      </w:r>
    </w:p>
    <w:p w:rsidR="0015736E" w:rsidRPr="0015736E" w:rsidRDefault="0015736E" w:rsidP="0015736E">
      <w:pPr>
        <w:jc w:val="right"/>
        <w:rPr>
          <w:color w:val="0070C0"/>
          <w:sz w:val="48"/>
          <w:szCs w:val="36"/>
        </w:rPr>
      </w:pPr>
      <w:r w:rsidRPr="0015736E">
        <w:rPr>
          <w:color w:val="0070C0"/>
          <w:sz w:val="48"/>
          <w:szCs w:val="36"/>
        </w:rPr>
        <w:t>Une</w:t>
      </w:r>
      <w:r w:rsidRPr="0015736E">
        <w:rPr>
          <w:color w:val="0070C0"/>
          <w:sz w:val="48"/>
          <w:szCs w:val="36"/>
        </w:rPr>
        <w:t xml:space="preserve"> </w:t>
      </w:r>
      <w:r w:rsidRPr="0015736E">
        <w:rPr>
          <w:color w:val="0070C0"/>
          <w:sz w:val="48"/>
          <w:szCs w:val="36"/>
        </w:rPr>
        <w:t>stratégie digitale pour</w:t>
      </w:r>
      <w:r w:rsidRPr="0015736E">
        <w:rPr>
          <w:color w:val="0070C0"/>
          <w:sz w:val="48"/>
          <w:szCs w:val="36"/>
        </w:rPr>
        <w:t xml:space="preserve"> IPEX</w:t>
      </w:r>
    </w:p>
    <w:p w:rsidR="001B02DD" w:rsidRDefault="001B02DD" w:rsidP="00BA1FEC">
      <w:pPr>
        <w:tabs>
          <w:tab w:val="left" w:pos="0"/>
        </w:tabs>
        <w:jc w:val="center"/>
        <w:rPr>
          <w:sz w:val="32"/>
          <w:szCs w:val="32"/>
        </w:rPr>
      </w:pPr>
    </w:p>
    <w:p w:rsidR="001B02DD" w:rsidRDefault="001B02DD" w:rsidP="00BA1FEC">
      <w:pPr>
        <w:tabs>
          <w:tab w:val="left" w:pos="0"/>
        </w:tabs>
        <w:jc w:val="center"/>
        <w:rPr>
          <w:sz w:val="32"/>
          <w:szCs w:val="32"/>
        </w:rPr>
      </w:pPr>
    </w:p>
    <w:p w:rsidR="001B02DD" w:rsidRDefault="001B02DD" w:rsidP="00BA1FEC">
      <w:pPr>
        <w:tabs>
          <w:tab w:val="left" w:pos="0"/>
        </w:tabs>
      </w:pPr>
    </w:p>
    <w:p w:rsidR="001B02DD" w:rsidRDefault="00E35FBD" w:rsidP="0015736E">
      <w:pPr>
        <w:tabs>
          <w:tab w:val="left" w:pos="0"/>
        </w:tabs>
        <w:jc w:val="right"/>
      </w:pPr>
      <w:r>
        <w:t>(</w:t>
      </w:r>
      <w:proofErr w:type="gramStart"/>
      <w:r>
        <w:t>traduction</w:t>
      </w:r>
      <w:proofErr w:type="gramEnd"/>
      <w:r>
        <w:t xml:space="preserve"> de courtoisie)</w:t>
      </w: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pPr>
    </w:p>
    <w:p w:rsidR="001B02DD" w:rsidRDefault="001B02DD" w:rsidP="00BA1FEC">
      <w:pPr>
        <w:tabs>
          <w:tab w:val="left" w:pos="0"/>
        </w:tabs>
        <w:rPr>
          <w:rFonts w:ascii="Arial" w:hAnsi="Arial" w:cs="Arial"/>
          <w:b/>
          <w:sz w:val="28"/>
          <w:szCs w:val="28"/>
        </w:rPr>
      </w:pPr>
    </w:p>
    <w:p w:rsidR="001B02DD" w:rsidRPr="001127FF" w:rsidRDefault="00E35FBD" w:rsidP="00BA1FEC">
      <w:pPr>
        <w:pStyle w:val="Titre1"/>
        <w:numPr>
          <w:ilvl w:val="0"/>
          <w:numId w:val="10"/>
        </w:numPr>
        <w:tabs>
          <w:tab w:val="left" w:pos="0"/>
        </w:tabs>
      </w:pPr>
      <w:bookmarkStart w:id="0" w:name="_Toc475103150"/>
      <w:r w:rsidRPr="001127FF">
        <w:t>Table des matières</w:t>
      </w:r>
      <w:bookmarkEnd w:id="0"/>
    </w:p>
    <w:p w:rsidR="00BA1FEC" w:rsidRDefault="00BA1FEC" w:rsidP="00BA1FEC">
      <w:pPr>
        <w:tabs>
          <w:tab w:val="left" w:pos="0"/>
        </w:tabs>
        <w:ind w:left="708" w:hanging="708"/>
        <w:rPr>
          <w:rFonts w:ascii="Arial" w:hAnsi="Arial" w:cs="Arial"/>
        </w:rPr>
      </w:pPr>
    </w:p>
    <w:sdt>
      <w:sdtPr>
        <w:rPr>
          <w:rFonts w:ascii="Calibri" w:eastAsia="Calibri" w:hAnsi="Calibri" w:cs="Times New Roman"/>
          <w:color w:val="auto"/>
          <w:sz w:val="22"/>
          <w:szCs w:val="22"/>
          <w:lang w:val="fr-FR" w:eastAsia="en-US"/>
        </w:rPr>
        <w:id w:val="1412045719"/>
        <w:docPartObj>
          <w:docPartGallery w:val="Table of Contents"/>
          <w:docPartUnique/>
        </w:docPartObj>
      </w:sdtPr>
      <w:sdtEndPr>
        <w:rPr>
          <w:b/>
          <w:bCs/>
        </w:rPr>
      </w:sdtEndPr>
      <w:sdtContent>
        <w:p w:rsidR="00BA1FEC" w:rsidRDefault="00BA1FEC" w:rsidP="00BA1FEC">
          <w:pPr>
            <w:pStyle w:val="En-ttedetabledesmatires"/>
            <w:tabs>
              <w:tab w:val="left" w:pos="0"/>
            </w:tabs>
          </w:pPr>
          <w:r>
            <w:rPr>
              <w:lang w:val="fr-FR"/>
            </w:rPr>
            <w:t>Table des matières</w:t>
          </w:r>
        </w:p>
        <w:p w:rsidR="002A5B57" w:rsidRDefault="00BA1FEC">
          <w:pPr>
            <w:pStyle w:val="TM1"/>
            <w:tabs>
              <w:tab w:val="left" w:pos="440"/>
              <w:tab w:val="right" w:leader="dot" w:pos="9062"/>
            </w:tabs>
            <w:rPr>
              <w:rFonts w:asciiTheme="minorHAnsi" w:eastAsiaTheme="minorEastAsia" w:hAnsiTheme="minorHAnsi" w:cstheme="minorBidi"/>
              <w:noProof/>
              <w:lang w:eastAsia="fr-LU"/>
            </w:rPr>
          </w:pPr>
          <w:r>
            <w:fldChar w:fldCharType="begin"/>
          </w:r>
          <w:r>
            <w:instrText xml:space="preserve"> TOC \o "1-3" \h \z \u </w:instrText>
          </w:r>
          <w:r>
            <w:fldChar w:fldCharType="separate"/>
          </w:r>
          <w:hyperlink w:anchor="_Toc475103150" w:history="1">
            <w:r w:rsidR="002A5B57" w:rsidRPr="00E3722C">
              <w:rPr>
                <w:rStyle w:val="Lienhypertexte"/>
                <w:noProof/>
              </w:rPr>
              <w:t>1.</w:t>
            </w:r>
            <w:r w:rsidR="002A5B57">
              <w:rPr>
                <w:rFonts w:asciiTheme="minorHAnsi" w:eastAsiaTheme="minorEastAsia" w:hAnsiTheme="minorHAnsi" w:cstheme="minorBidi"/>
                <w:noProof/>
                <w:lang w:eastAsia="fr-LU"/>
              </w:rPr>
              <w:tab/>
            </w:r>
            <w:r w:rsidR="002A5B57" w:rsidRPr="00E3722C">
              <w:rPr>
                <w:rStyle w:val="Lienhypertexte"/>
                <w:noProof/>
              </w:rPr>
              <w:t>Table des matières</w:t>
            </w:r>
            <w:r w:rsidR="002A5B57">
              <w:rPr>
                <w:noProof/>
                <w:webHidden/>
              </w:rPr>
              <w:tab/>
            </w:r>
            <w:r w:rsidR="002A5B57">
              <w:rPr>
                <w:noProof/>
                <w:webHidden/>
              </w:rPr>
              <w:fldChar w:fldCharType="begin"/>
            </w:r>
            <w:r w:rsidR="002A5B57">
              <w:rPr>
                <w:noProof/>
                <w:webHidden/>
              </w:rPr>
              <w:instrText xml:space="preserve"> PAGEREF _Toc475103150 \h </w:instrText>
            </w:r>
            <w:r w:rsidR="002A5B57">
              <w:rPr>
                <w:noProof/>
                <w:webHidden/>
              </w:rPr>
            </w:r>
            <w:r w:rsidR="002A5B57">
              <w:rPr>
                <w:noProof/>
                <w:webHidden/>
              </w:rPr>
              <w:fldChar w:fldCharType="separate"/>
            </w:r>
            <w:r w:rsidR="002A5B57">
              <w:rPr>
                <w:noProof/>
                <w:webHidden/>
              </w:rPr>
              <w:t>2</w:t>
            </w:r>
            <w:r w:rsidR="002A5B57">
              <w:rPr>
                <w:noProof/>
                <w:webHidden/>
              </w:rPr>
              <w:fldChar w:fldCharType="end"/>
            </w:r>
          </w:hyperlink>
        </w:p>
        <w:p w:rsidR="002A5B57" w:rsidRDefault="002A5B57">
          <w:pPr>
            <w:pStyle w:val="TM1"/>
            <w:tabs>
              <w:tab w:val="left" w:pos="440"/>
              <w:tab w:val="right" w:leader="dot" w:pos="9062"/>
            </w:tabs>
            <w:rPr>
              <w:rFonts w:asciiTheme="minorHAnsi" w:eastAsiaTheme="minorEastAsia" w:hAnsiTheme="minorHAnsi" w:cstheme="minorBidi"/>
              <w:noProof/>
              <w:lang w:eastAsia="fr-LU"/>
            </w:rPr>
          </w:pPr>
          <w:hyperlink w:anchor="_Toc475103151" w:history="1">
            <w:r w:rsidRPr="00E3722C">
              <w:rPr>
                <w:rStyle w:val="Lienhypertexte"/>
                <w:noProof/>
              </w:rPr>
              <w:t>2.</w:t>
            </w:r>
            <w:r>
              <w:rPr>
                <w:rFonts w:asciiTheme="minorHAnsi" w:eastAsiaTheme="minorEastAsia" w:hAnsiTheme="minorHAnsi" w:cstheme="minorBidi"/>
                <w:noProof/>
                <w:lang w:eastAsia="fr-LU"/>
              </w:rPr>
              <w:tab/>
            </w:r>
            <w:r w:rsidRPr="00E3722C">
              <w:rPr>
                <w:rStyle w:val="Lienhypertexte"/>
                <w:noProof/>
              </w:rPr>
              <w:t>Introduction</w:t>
            </w:r>
            <w:r>
              <w:rPr>
                <w:noProof/>
                <w:webHidden/>
              </w:rPr>
              <w:tab/>
            </w:r>
            <w:r>
              <w:rPr>
                <w:noProof/>
                <w:webHidden/>
              </w:rPr>
              <w:fldChar w:fldCharType="begin"/>
            </w:r>
            <w:r>
              <w:rPr>
                <w:noProof/>
                <w:webHidden/>
              </w:rPr>
              <w:instrText xml:space="preserve"> PAGEREF _Toc475103151 \h </w:instrText>
            </w:r>
            <w:r>
              <w:rPr>
                <w:noProof/>
                <w:webHidden/>
              </w:rPr>
            </w:r>
            <w:r>
              <w:rPr>
                <w:noProof/>
                <w:webHidden/>
              </w:rPr>
              <w:fldChar w:fldCharType="separate"/>
            </w:r>
            <w:r>
              <w:rPr>
                <w:noProof/>
                <w:webHidden/>
              </w:rPr>
              <w:t>3</w:t>
            </w:r>
            <w:r>
              <w:rPr>
                <w:noProof/>
                <w:webHidden/>
              </w:rPr>
              <w:fldChar w:fldCharType="end"/>
            </w:r>
          </w:hyperlink>
        </w:p>
        <w:p w:rsidR="002A5B57" w:rsidRDefault="002A5B57">
          <w:pPr>
            <w:pStyle w:val="TM1"/>
            <w:tabs>
              <w:tab w:val="left" w:pos="440"/>
              <w:tab w:val="right" w:leader="dot" w:pos="9062"/>
            </w:tabs>
            <w:rPr>
              <w:rFonts w:asciiTheme="minorHAnsi" w:eastAsiaTheme="minorEastAsia" w:hAnsiTheme="minorHAnsi" w:cstheme="minorBidi"/>
              <w:noProof/>
              <w:lang w:eastAsia="fr-LU"/>
            </w:rPr>
          </w:pPr>
          <w:hyperlink w:anchor="_Toc475103152" w:history="1">
            <w:r w:rsidRPr="00E3722C">
              <w:rPr>
                <w:rStyle w:val="Lienhypertexte"/>
                <w:noProof/>
              </w:rPr>
              <w:t>3.</w:t>
            </w:r>
            <w:r>
              <w:rPr>
                <w:rFonts w:asciiTheme="minorHAnsi" w:eastAsiaTheme="minorEastAsia" w:hAnsiTheme="minorHAnsi" w:cstheme="minorBidi"/>
                <w:noProof/>
                <w:lang w:eastAsia="fr-LU"/>
              </w:rPr>
              <w:tab/>
            </w:r>
            <w:r w:rsidRPr="00E3722C">
              <w:rPr>
                <w:rStyle w:val="Lienhypertexte"/>
                <w:noProof/>
              </w:rPr>
              <w:t>La stratégie digitale</w:t>
            </w:r>
            <w:r>
              <w:rPr>
                <w:noProof/>
                <w:webHidden/>
              </w:rPr>
              <w:tab/>
            </w:r>
            <w:r>
              <w:rPr>
                <w:noProof/>
                <w:webHidden/>
              </w:rPr>
              <w:fldChar w:fldCharType="begin"/>
            </w:r>
            <w:r>
              <w:rPr>
                <w:noProof/>
                <w:webHidden/>
              </w:rPr>
              <w:instrText xml:space="preserve"> PAGEREF _Toc475103152 \h </w:instrText>
            </w:r>
            <w:r>
              <w:rPr>
                <w:noProof/>
                <w:webHidden/>
              </w:rPr>
            </w:r>
            <w:r>
              <w:rPr>
                <w:noProof/>
                <w:webHidden/>
              </w:rPr>
              <w:fldChar w:fldCharType="separate"/>
            </w:r>
            <w:r>
              <w:rPr>
                <w:noProof/>
                <w:webHidden/>
              </w:rPr>
              <w:t>4</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3" w:history="1">
            <w:r w:rsidRPr="00E3722C">
              <w:rPr>
                <w:rStyle w:val="Lienhypertexte"/>
                <w:noProof/>
              </w:rPr>
              <w:t>3.1</w:t>
            </w:r>
            <w:r>
              <w:rPr>
                <w:rFonts w:asciiTheme="minorHAnsi" w:eastAsiaTheme="minorEastAsia" w:hAnsiTheme="minorHAnsi" w:cstheme="minorBidi"/>
                <w:noProof/>
                <w:lang w:eastAsia="fr-LU"/>
              </w:rPr>
              <w:tab/>
            </w:r>
            <w:r w:rsidRPr="00E3722C">
              <w:rPr>
                <w:rStyle w:val="Lienhypertexte"/>
                <w:noProof/>
              </w:rPr>
              <w:t>Public visé</w:t>
            </w:r>
            <w:r>
              <w:rPr>
                <w:noProof/>
                <w:webHidden/>
              </w:rPr>
              <w:tab/>
            </w:r>
            <w:r>
              <w:rPr>
                <w:noProof/>
                <w:webHidden/>
              </w:rPr>
              <w:fldChar w:fldCharType="begin"/>
            </w:r>
            <w:r>
              <w:rPr>
                <w:noProof/>
                <w:webHidden/>
              </w:rPr>
              <w:instrText xml:space="preserve"> PAGEREF _Toc475103153 \h </w:instrText>
            </w:r>
            <w:r>
              <w:rPr>
                <w:noProof/>
                <w:webHidden/>
              </w:rPr>
            </w:r>
            <w:r>
              <w:rPr>
                <w:noProof/>
                <w:webHidden/>
              </w:rPr>
              <w:fldChar w:fldCharType="separate"/>
            </w:r>
            <w:r>
              <w:rPr>
                <w:noProof/>
                <w:webHidden/>
              </w:rPr>
              <w:t>5</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4" w:history="1">
            <w:r w:rsidRPr="00E3722C">
              <w:rPr>
                <w:rStyle w:val="Lienhypertexte"/>
                <w:noProof/>
              </w:rPr>
              <w:t>3.2</w:t>
            </w:r>
            <w:r>
              <w:rPr>
                <w:rFonts w:asciiTheme="minorHAnsi" w:eastAsiaTheme="minorEastAsia" w:hAnsiTheme="minorHAnsi" w:cstheme="minorBidi"/>
                <w:noProof/>
                <w:lang w:eastAsia="fr-LU"/>
              </w:rPr>
              <w:tab/>
            </w:r>
            <w:r w:rsidRPr="00E3722C">
              <w:rPr>
                <w:rStyle w:val="Lienhypertexte"/>
                <w:noProof/>
              </w:rPr>
              <w:t>Types d’informations à échanger</w:t>
            </w:r>
            <w:r>
              <w:rPr>
                <w:noProof/>
                <w:webHidden/>
              </w:rPr>
              <w:tab/>
            </w:r>
            <w:r>
              <w:rPr>
                <w:noProof/>
                <w:webHidden/>
              </w:rPr>
              <w:fldChar w:fldCharType="begin"/>
            </w:r>
            <w:r>
              <w:rPr>
                <w:noProof/>
                <w:webHidden/>
              </w:rPr>
              <w:instrText xml:space="preserve"> PAGEREF _Toc475103154 \h </w:instrText>
            </w:r>
            <w:r>
              <w:rPr>
                <w:noProof/>
                <w:webHidden/>
              </w:rPr>
            </w:r>
            <w:r>
              <w:rPr>
                <w:noProof/>
                <w:webHidden/>
              </w:rPr>
              <w:fldChar w:fldCharType="separate"/>
            </w:r>
            <w:r>
              <w:rPr>
                <w:noProof/>
                <w:webHidden/>
              </w:rPr>
              <w:t>5</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5" w:history="1">
            <w:r w:rsidRPr="00E3722C">
              <w:rPr>
                <w:rStyle w:val="Lienhypertexte"/>
                <w:noProof/>
              </w:rPr>
              <w:t>3.3</w:t>
            </w:r>
            <w:r>
              <w:rPr>
                <w:rFonts w:asciiTheme="minorHAnsi" w:eastAsiaTheme="minorEastAsia" w:hAnsiTheme="minorHAnsi" w:cstheme="minorBidi"/>
                <w:noProof/>
                <w:lang w:eastAsia="fr-LU"/>
              </w:rPr>
              <w:tab/>
            </w:r>
            <w:r w:rsidRPr="00E3722C">
              <w:rPr>
                <w:rStyle w:val="Lienhypertexte"/>
                <w:noProof/>
              </w:rPr>
              <w:t>Services à fournir</w:t>
            </w:r>
            <w:r>
              <w:rPr>
                <w:noProof/>
                <w:webHidden/>
              </w:rPr>
              <w:tab/>
            </w:r>
            <w:r>
              <w:rPr>
                <w:noProof/>
                <w:webHidden/>
              </w:rPr>
              <w:fldChar w:fldCharType="begin"/>
            </w:r>
            <w:r>
              <w:rPr>
                <w:noProof/>
                <w:webHidden/>
              </w:rPr>
              <w:instrText xml:space="preserve"> PAGEREF _Toc475103155 \h </w:instrText>
            </w:r>
            <w:r>
              <w:rPr>
                <w:noProof/>
                <w:webHidden/>
              </w:rPr>
            </w:r>
            <w:r>
              <w:rPr>
                <w:noProof/>
                <w:webHidden/>
              </w:rPr>
              <w:fldChar w:fldCharType="separate"/>
            </w:r>
            <w:r>
              <w:rPr>
                <w:noProof/>
                <w:webHidden/>
              </w:rPr>
              <w:t>6</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6" w:history="1">
            <w:r w:rsidRPr="00E3722C">
              <w:rPr>
                <w:rStyle w:val="Lienhypertexte"/>
                <w:noProof/>
              </w:rPr>
              <w:t>3.4</w:t>
            </w:r>
            <w:r>
              <w:rPr>
                <w:rFonts w:asciiTheme="minorHAnsi" w:eastAsiaTheme="minorEastAsia" w:hAnsiTheme="minorHAnsi" w:cstheme="minorBidi"/>
                <w:noProof/>
                <w:lang w:eastAsia="fr-LU"/>
              </w:rPr>
              <w:tab/>
            </w:r>
            <w:r w:rsidRPr="00E3722C">
              <w:rPr>
                <w:rStyle w:val="Lienhypertexte"/>
                <w:noProof/>
              </w:rPr>
              <w:t>Outils et méthodes pour promouvoir IPEX</w:t>
            </w:r>
            <w:r>
              <w:rPr>
                <w:noProof/>
                <w:webHidden/>
              </w:rPr>
              <w:tab/>
            </w:r>
            <w:r>
              <w:rPr>
                <w:noProof/>
                <w:webHidden/>
              </w:rPr>
              <w:fldChar w:fldCharType="begin"/>
            </w:r>
            <w:r>
              <w:rPr>
                <w:noProof/>
                <w:webHidden/>
              </w:rPr>
              <w:instrText xml:space="preserve"> PAGEREF _Toc475103156 \h </w:instrText>
            </w:r>
            <w:r>
              <w:rPr>
                <w:noProof/>
                <w:webHidden/>
              </w:rPr>
            </w:r>
            <w:r>
              <w:rPr>
                <w:noProof/>
                <w:webHidden/>
              </w:rPr>
              <w:fldChar w:fldCharType="separate"/>
            </w:r>
            <w:r>
              <w:rPr>
                <w:noProof/>
                <w:webHidden/>
              </w:rPr>
              <w:t>6</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7" w:history="1">
            <w:r w:rsidRPr="00E3722C">
              <w:rPr>
                <w:rStyle w:val="Lienhypertexte"/>
                <w:noProof/>
              </w:rPr>
              <w:t>3.5</w:t>
            </w:r>
            <w:r>
              <w:rPr>
                <w:rFonts w:asciiTheme="minorHAnsi" w:eastAsiaTheme="minorEastAsia" w:hAnsiTheme="minorHAnsi" w:cstheme="minorBidi"/>
                <w:noProof/>
                <w:lang w:eastAsia="fr-LU"/>
              </w:rPr>
              <w:tab/>
            </w:r>
            <w:r w:rsidRPr="00E3722C">
              <w:rPr>
                <w:rStyle w:val="Lienhypertexte"/>
                <w:noProof/>
              </w:rPr>
              <w:t>Lignes directrices sur l’entretien à court terme du site internet</w:t>
            </w:r>
            <w:r>
              <w:rPr>
                <w:noProof/>
                <w:webHidden/>
              </w:rPr>
              <w:tab/>
            </w:r>
            <w:r>
              <w:rPr>
                <w:noProof/>
                <w:webHidden/>
              </w:rPr>
              <w:fldChar w:fldCharType="begin"/>
            </w:r>
            <w:r>
              <w:rPr>
                <w:noProof/>
                <w:webHidden/>
              </w:rPr>
              <w:instrText xml:space="preserve"> PAGEREF _Toc475103157 \h </w:instrText>
            </w:r>
            <w:r>
              <w:rPr>
                <w:noProof/>
                <w:webHidden/>
              </w:rPr>
            </w:r>
            <w:r>
              <w:rPr>
                <w:noProof/>
                <w:webHidden/>
              </w:rPr>
              <w:fldChar w:fldCharType="separate"/>
            </w:r>
            <w:r>
              <w:rPr>
                <w:noProof/>
                <w:webHidden/>
              </w:rPr>
              <w:t>7</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8" w:history="1">
            <w:r w:rsidRPr="00E3722C">
              <w:rPr>
                <w:rStyle w:val="Lienhypertexte"/>
                <w:noProof/>
              </w:rPr>
              <w:t>3.6</w:t>
            </w:r>
            <w:r>
              <w:rPr>
                <w:rFonts w:asciiTheme="minorHAnsi" w:eastAsiaTheme="minorEastAsia" w:hAnsiTheme="minorHAnsi" w:cstheme="minorBidi"/>
                <w:noProof/>
                <w:lang w:eastAsia="fr-LU"/>
              </w:rPr>
              <w:tab/>
            </w:r>
            <w:r w:rsidRPr="00E3722C">
              <w:rPr>
                <w:rStyle w:val="Lienhypertexte"/>
                <w:noProof/>
              </w:rPr>
              <w:t>Relations avec les autres acteurs dans le cadre de l’échange d’information de l’UE</w:t>
            </w:r>
            <w:r>
              <w:rPr>
                <w:noProof/>
                <w:webHidden/>
              </w:rPr>
              <w:tab/>
            </w:r>
            <w:r>
              <w:rPr>
                <w:noProof/>
                <w:webHidden/>
              </w:rPr>
              <w:fldChar w:fldCharType="begin"/>
            </w:r>
            <w:r>
              <w:rPr>
                <w:noProof/>
                <w:webHidden/>
              </w:rPr>
              <w:instrText xml:space="preserve"> PAGEREF _Toc475103158 \h </w:instrText>
            </w:r>
            <w:r>
              <w:rPr>
                <w:noProof/>
                <w:webHidden/>
              </w:rPr>
            </w:r>
            <w:r>
              <w:rPr>
                <w:noProof/>
                <w:webHidden/>
              </w:rPr>
              <w:fldChar w:fldCharType="separate"/>
            </w:r>
            <w:r>
              <w:rPr>
                <w:noProof/>
                <w:webHidden/>
              </w:rPr>
              <w:t>8</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59" w:history="1">
            <w:r w:rsidRPr="00E3722C">
              <w:rPr>
                <w:rStyle w:val="Lienhypertexte"/>
                <w:noProof/>
              </w:rPr>
              <w:t>3.7</w:t>
            </w:r>
            <w:r>
              <w:rPr>
                <w:rFonts w:asciiTheme="minorHAnsi" w:eastAsiaTheme="minorEastAsia" w:hAnsiTheme="minorHAnsi" w:cstheme="minorBidi"/>
                <w:noProof/>
                <w:lang w:eastAsia="fr-LU"/>
              </w:rPr>
              <w:tab/>
            </w:r>
            <w:r w:rsidRPr="00E3722C">
              <w:rPr>
                <w:rStyle w:val="Lienhypertexte"/>
                <w:noProof/>
              </w:rPr>
              <w:t>Impliquer les Correspondants nationaux</w:t>
            </w:r>
            <w:r>
              <w:rPr>
                <w:noProof/>
                <w:webHidden/>
              </w:rPr>
              <w:tab/>
            </w:r>
            <w:r>
              <w:rPr>
                <w:noProof/>
                <w:webHidden/>
              </w:rPr>
              <w:fldChar w:fldCharType="begin"/>
            </w:r>
            <w:r>
              <w:rPr>
                <w:noProof/>
                <w:webHidden/>
              </w:rPr>
              <w:instrText xml:space="preserve"> PAGEREF _Toc475103159 \h </w:instrText>
            </w:r>
            <w:r>
              <w:rPr>
                <w:noProof/>
                <w:webHidden/>
              </w:rPr>
            </w:r>
            <w:r>
              <w:rPr>
                <w:noProof/>
                <w:webHidden/>
              </w:rPr>
              <w:fldChar w:fldCharType="separate"/>
            </w:r>
            <w:r>
              <w:rPr>
                <w:noProof/>
                <w:webHidden/>
              </w:rPr>
              <w:t>9</w:t>
            </w:r>
            <w:r>
              <w:rPr>
                <w:noProof/>
                <w:webHidden/>
              </w:rPr>
              <w:fldChar w:fldCharType="end"/>
            </w:r>
          </w:hyperlink>
        </w:p>
        <w:p w:rsidR="002A5B57" w:rsidRDefault="002A5B57">
          <w:pPr>
            <w:pStyle w:val="TM1"/>
            <w:tabs>
              <w:tab w:val="left" w:pos="440"/>
              <w:tab w:val="right" w:leader="dot" w:pos="9062"/>
            </w:tabs>
            <w:rPr>
              <w:rFonts w:asciiTheme="minorHAnsi" w:eastAsiaTheme="minorEastAsia" w:hAnsiTheme="minorHAnsi" w:cstheme="minorBidi"/>
              <w:noProof/>
              <w:lang w:eastAsia="fr-LU"/>
            </w:rPr>
          </w:pPr>
          <w:hyperlink w:anchor="_Toc475103160" w:history="1">
            <w:r w:rsidRPr="00E3722C">
              <w:rPr>
                <w:rStyle w:val="Lienhypertexte"/>
                <w:noProof/>
              </w:rPr>
              <w:t>4.</w:t>
            </w:r>
            <w:r>
              <w:rPr>
                <w:rFonts w:asciiTheme="minorHAnsi" w:eastAsiaTheme="minorEastAsia" w:hAnsiTheme="minorHAnsi" w:cstheme="minorBidi"/>
                <w:noProof/>
                <w:lang w:eastAsia="fr-LU"/>
              </w:rPr>
              <w:tab/>
            </w:r>
            <w:r w:rsidRPr="00E3722C">
              <w:rPr>
                <w:rStyle w:val="Lienhypertexte"/>
                <w:noProof/>
              </w:rPr>
              <w:t>Annexes</w:t>
            </w:r>
            <w:r>
              <w:rPr>
                <w:noProof/>
                <w:webHidden/>
              </w:rPr>
              <w:tab/>
            </w:r>
            <w:r>
              <w:rPr>
                <w:noProof/>
                <w:webHidden/>
              </w:rPr>
              <w:fldChar w:fldCharType="begin"/>
            </w:r>
            <w:r>
              <w:rPr>
                <w:noProof/>
                <w:webHidden/>
              </w:rPr>
              <w:instrText xml:space="preserve"> PAGEREF _Toc475103160 \h </w:instrText>
            </w:r>
            <w:r>
              <w:rPr>
                <w:noProof/>
                <w:webHidden/>
              </w:rPr>
            </w:r>
            <w:r>
              <w:rPr>
                <w:noProof/>
                <w:webHidden/>
              </w:rPr>
              <w:fldChar w:fldCharType="separate"/>
            </w:r>
            <w:r>
              <w:rPr>
                <w:noProof/>
                <w:webHidden/>
              </w:rPr>
              <w:t>9</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61" w:history="1">
            <w:r w:rsidRPr="00E3722C">
              <w:rPr>
                <w:rStyle w:val="Lienhypertexte"/>
                <w:noProof/>
              </w:rPr>
              <w:t>4.1</w:t>
            </w:r>
            <w:r>
              <w:rPr>
                <w:rFonts w:asciiTheme="minorHAnsi" w:eastAsiaTheme="minorEastAsia" w:hAnsiTheme="minorHAnsi" w:cstheme="minorBidi"/>
                <w:noProof/>
                <w:lang w:eastAsia="fr-LU"/>
              </w:rPr>
              <w:tab/>
            </w:r>
            <w:r w:rsidRPr="00E3722C">
              <w:rPr>
                <w:rStyle w:val="Lienhypertexte"/>
                <w:noProof/>
              </w:rPr>
              <w:t>Glossaire</w:t>
            </w:r>
            <w:r>
              <w:rPr>
                <w:noProof/>
                <w:webHidden/>
              </w:rPr>
              <w:tab/>
            </w:r>
            <w:r>
              <w:rPr>
                <w:noProof/>
                <w:webHidden/>
              </w:rPr>
              <w:fldChar w:fldCharType="begin"/>
            </w:r>
            <w:r>
              <w:rPr>
                <w:noProof/>
                <w:webHidden/>
              </w:rPr>
              <w:instrText xml:space="preserve"> PAGEREF _Toc475103161 \h </w:instrText>
            </w:r>
            <w:r>
              <w:rPr>
                <w:noProof/>
                <w:webHidden/>
              </w:rPr>
            </w:r>
            <w:r>
              <w:rPr>
                <w:noProof/>
                <w:webHidden/>
              </w:rPr>
              <w:fldChar w:fldCharType="separate"/>
            </w:r>
            <w:r>
              <w:rPr>
                <w:noProof/>
                <w:webHidden/>
              </w:rPr>
              <w:t>9</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62" w:history="1">
            <w:r w:rsidRPr="00E3722C">
              <w:rPr>
                <w:rStyle w:val="Lienhypertexte"/>
                <w:noProof/>
              </w:rPr>
              <w:t>4.2</w:t>
            </w:r>
            <w:r>
              <w:rPr>
                <w:rFonts w:asciiTheme="minorHAnsi" w:eastAsiaTheme="minorEastAsia" w:hAnsiTheme="minorHAnsi" w:cstheme="minorBidi"/>
                <w:noProof/>
                <w:lang w:eastAsia="fr-LU"/>
              </w:rPr>
              <w:tab/>
            </w:r>
            <w:r w:rsidRPr="00E3722C">
              <w:rPr>
                <w:rStyle w:val="Lienhypertexte"/>
                <w:noProof/>
              </w:rPr>
              <w:t>Le système digital d’IPEX</w:t>
            </w:r>
            <w:r>
              <w:rPr>
                <w:noProof/>
                <w:webHidden/>
              </w:rPr>
              <w:tab/>
            </w:r>
            <w:r>
              <w:rPr>
                <w:noProof/>
                <w:webHidden/>
              </w:rPr>
              <w:fldChar w:fldCharType="begin"/>
            </w:r>
            <w:r>
              <w:rPr>
                <w:noProof/>
                <w:webHidden/>
              </w:rPr>
              <w:instrText xml:space="preserve"> PAGEREF _Toc475103162 \h </w:instrText>
            </w:r>
            <w:r>
              <w:rPr>
                <w:noProof/>
                <w:webHidden/>
              </w:rPr>
            </w:r>
            <w:r>
              <w:rPr>
                <w:noProof/>
                <w:webHidden/>
              </w:rPr>
              <w:fldChar w:fldCharType="separate"/>
            </w:r>
            <w:r>
              <w:rPr>
                <w:noProof/>
                <w:webHidden/>
              </w:rPr>
              <w:t>10</w:t>
            </w:r>
            <w:r>
              <w:rPr>
                <w:noProof/>
                <w:webHidden/>
              </w:rPr>
              <w:fldChar w:fldCharType="end"/>
            </w:r>
          </w:hyperlink>
        </w:p>
        <w:p w:rsidR="002A5B57" w:rsidRDefault="002A5B57">
          <w:pPr>
            <w:pStyle w:val="TM2"/>
            <w:tabs>
              <w:tab w:val="left" w:pos="880"/>
              <w:tab w:val="right" w:leader="dot" w:pos="9062"/>
            </w:tabs>
            <w:rPr>
              <w:rFonts w:asciiTheme="minorHAnsi" w:eastAsiaTheme="minorEastAsia" w:hAnsiTheme="minorHAnsi" w:cstheme="minorBidi"/>
              <w:noProof/>
              <w:lang w:eastAsia="fr-LU"/>
            </w:rPr>
          </w:pPr>
          <w:hyperlink w:anchor="_Toc475103163" w:history="1">
            <w:r w:rsidRPr="00E3722C">
              <w:rPr>
                <w:rStyle w:val="Lienhypertexte"/>
                <w:noProof/>
              </w:rPr>
              <w:t>4.3</w:t>
            </w:r>
            <w:r>
              <w:rPr>
                <w:rFonts w:asciiTheme="minorHAnsi" w:eastAsiaTheme="minorEastAsia" w:hAnsiTheme="minorHAnsi" w:cstheme="minorBidi"/>
                <w:noProof/>
                <w:lang w:eastAsia="fr-LU"/>
              </w:rPr>
              <w:tab/>
            </w:r>
            <w:r w:rsidRPr="00E3722C">
              <w:rPr>
                <w:rStyle w:val="Lienhypertexte"/>
                <w:noProof/>
              </w:rPr>
              <w:t>Relations d’IPEX avec les autres acteurs</w:t>
            </w:r>
            <w:r>
              <w:rPr>
                <w:noProof/>
                <w:webHidden/>
              </w:rPr>
              <w:tab/>
            </w:r>
            <w:r>
              <w:rPr>
                <w:noProof/>
                <w:webHidden/>
              </w:rPr>
              <w:fldChar w:fldCharType="begin"/>
            </w:r>
            <w:r>
              <w:rPr>
                <w:noProof/>
                <w:webHidden/>
              </w:rPr>
              <w:instrText xml:space="preserve"> PAGEREF _Toc475103163 \h </w:instrText>
            </w:r>
            <w:r>
              <w:rPr>
                <w:noProof/>
                <w:webHidden/>
              </w:rPr>
            </w:r>
            <w:r>
              <w:rPr>
                <w:noProof/>
                <w:webHidden/>
              </w:rPr>
              <w:fldChar w:fldCharType="separate"/>
            </w:r>
            <w:r>
              <w:rPr>
                <w:noProof/>
                <w:webHidden/>
              </w:rPr>
              <w:t>11</w:t>
            </w:r>
            <w:r>
              <w:rPr>
                <w:noProof/>
                <w:webHidden/>
              </w:rPr>
              <w:fldChar w:fldCharType="end"/>
            </w:r>
          </w:hyperlink>
        </w:p>
        <w:p w:rsidR="00BA1FEC" w:rsidRDefault="00BA1FEC" w:rsidP="00BA1FEC">
          <w:pPr>
            <w:tabs>
              <w:tab w:val="left" w:pos="0"/>
            </w:tabs>
          </w:pPr>
          <w:r>
            <w:rPr>
              <w:b/>
              <w:bCs/>
              <w:lang w:val="fr-FR"/>
            </w:rPr>
            <w:fldChar w:fldCharType="end"/>
          </w:r>
        </w:p>
      </w:sdtContent>
    </w:sdt>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1B02DD" w:rsidRDefault="001B02DD" w:rsidP="00BA1FEC">
      <w:pPr>
        <w:tabs>
          <w:tab w:val="left" w:pos="0"/>
        </w:tabs>
        <w:ind w:left="708" w:hanging="708"/>
        <w:rPr>
          <w:rFonts w:ascii="Arial" w:hAnsi="Arial" w:cs="Arial"/>
        </w:rPr>
      </w:pPr>
    </w:p>
    <w:p w:rsidR="00D34E92" w:rsidRDefault="00D34E92">
      <w:pPr>
        <w:suppressAutoHyphens w:val="0"/>
        <w:rPr>
          <w:rFonts w:ascii="Arial" w:hAnsi="Arial" w:cs="Arial"/>
        </w:rPr>
      </w:pPr>
      <w:r>
        <w:rPr>
          <w:rFonts w:ascii="Arial" w:hAnsi="Arial" w:cs="Arial"/>
        </w:rPr>
        <w:br w:type="page"/>
      </w:r>
    </w:p>
    <w:p w:rsidR="001B02DD" w:rsidRDefault="00E35FBD" w:rsidP="00BA1FEC">
      <w:pPr>
        <w:pStyle w:val="Titre1"/>
        <w:numPr>
          <w:ilvl w:val="0"/>
          <w:numId w:val="10"/>
        </w:numPr>
        <w:tabs>
          <w:tab w:val="left" w:pos="0"/>
        </w:tabs>
      </w:pPr>
      <w:bookmarkStart w:id="1" w:name="_Toc475103151"/>
      <w:r>
        <w:lastRenderedPageBreak/>
        <w:t>Introduction</w:t>
      </w:r>
      <w:bookmarkEnd w:id="1"/>
    </w:p>
    <w:p w:rsidR="001B02DD" w:rsidRDefault="001B02DD" w:rsidP="00BA1FEC">
      <w:pPr>
        <w:tabs>
          <w:tab w:val="left" w:pos="0"/>
        </w:tabs>
        <w:ind w:left="708" w:hanging="708"/>
        <w:rPr>
          <w:rFonts w:ascii="Arial" w:hAnsi="Arial" w:cs="Arial"/>
        </w:rPr>
      </w:pPr>
    </w:p>
    <w:p w:rsidR="001B02DD" w:rsidRDefault="00E35FBD" w:rsidP="00BA1FEC">
      <w:pPr>
        <w:tabs>
          <w:tab w:val="left" w:pos="0"/>
        </w:tabs>
        <w:jc w:val="both"/>
        <w:rPr>
          <w:rFonts w:ascii="Arial" w:hAnsi="Arial" w:cs="Arial"/>
        </w:rPr>
      </w:pPr>
      <w:r>
        <w:rPr>
          <w:rFonts w:ascii="Arial" w:hAnsi="Arial" w:cs="Arial"/>
        </w:rPr>
        <w:t xml:space="preserve">A leur dernière réunion tenue au Luxembourg le 15 février 2016, les Secrétaires </w:t>
      </w:r>
      <w:r w:rsidR="00BA1FEC">
        <w:rPr>
          <w:rFonts w:ascii="Arial" w:hAnsi="Arial" w:cs="Arial"/>
        </w:rPr>
        <w:t>g</w:t>
      </w:r>
      <w:r>
        <w:rPr>
          <w:rFonts w:ascii="Arial" w:hAnsi="Arial" w:cs="Arial"/>
        </w:rPr>
        <w:t>énéraux, après avoir approuvé la note sur le rôle d’IPEX, ont dans leurs conclusions « appelé le Conseil d’IPEX à présenter des propositions pour définir une stratégie digitale, afin de fournir à IPEX une stratégie efficace et complète en vue d’établir un programme de travail à moyen terme qui sera exécuté par les présidences tournantes ».</w:t>
      </w:r>
    </w:p>
    <w:p w:rsidR="001B02DD" w:rsidRDefault="00E35FBD" w:rsidP="00BA1FEC">
      <w:pPr>
        <w:tabs>
          <w:tab w:val="left" w:pos="0"/>
        </w:tabs>
        <w:jc w:val="both"/>
        <w:rPr>
          <w:rFonts w:ascii="Arial" w:hAnsi="Arial" w:cs="Arial"/>
        </w:rPr>
      </w:pPr>
      <w:r>
        <w:rPr>
          <w:rFonts w:ascii="Arial" w:hAnsi="Arial" w:cs="Arial"/>
        </w:rPr>
        <w:t>L’objectif principal établi pour IPEX par la Conférence des Présidents est mentionné dans les lignes directrices d’IPEX :</w:t>
      </w:r>
    </w:p>
    <w:p w:rsidR="001B02DD" w:rsidRDefault="00E35FBD" w:rsidP="00BA1FEC">
      <w:pPr>
        <w:tabs>
          <w:tab w:val="left" w:pos="0"/>
        </w:tabs>
        <w:jc w:val="both"/>
      </w:pPr>
      <w:r>
        <w:rPr>
          <w:rFonts w:ascii="Arial" w:hAnsi="Arial" w:cs="Arial"/>
        </w:rPr>
        <w:t>« L’objectif d’IPEX est de soutenir la coopération i</w:t>
      </w:r>
      <w:r w:rsidR="002A5B57">
        <w:rPr>
          <w:rFonts w:ascii="Arial" w:hAnsi="Arial" w:cs="Arial"/>
        </w:rPr>
        <w:t>nterparlementaire dans l’Union e</w:t>
      </w:r>
      <w:r>
        <w:rPr>
          <w:rFonts w:ascii="Arial" w:hAnsi="Arial" w:cs="Arial"/>
        </w:rPr>
        <w:t>uropéenne en fournissant une plateforme pour l’échange électronique d’informations relatives à l’UE entre les Parlements de l’Union (…).</w:t>
      </w:r>
      <w:r>
        <w:rPr>
          <w:rStyle w:val="Appelnotedebasdep"/>
          <w:rFonts w:ascii="Arial" w:hAnsi="Arial" w:cs="Arial"/>
        </w:rPr>
        <w:footnoteReference w:id="1"/>
      </w:r>
    </w:p>
    <w:p w:rsidR="001B02DD" w:rsidRDefault="001B02DD" w:rsidP="00BA1FEC">
      <w:pPr>
        <w:tabs>
          <w:tab w:val="left" w:pos="0"/>
        </w:tabs>
        <w:ind w:left="708" w:hanging="708"/>
        <w:jc w:val="both"/>
        <w:rPr>
          <w:rFonts w:ascii="Arial" w:hAnsi="Arial" w:cs="Arial"/>
        </w:rPr>
      </w:pPr>
    </w:p>
    <w:p w:rsidR="001B02DD" w:rsidRDefault="00E35FBD" w:rsidP="00BA1FEC">
      <w:pPr>
        <w:tabs>
          <w:tab w:val="left" w:pos="0"/>
        </w:tabs>
        <w:ind w:left="708" w:hanging="708"/>
        <w:jc w:val="both"/>
        <w:rPr>
          <w:rFonts w:ascii="Arial" w:hAnsi="Arial" w:cs="Arial"/>
          <w:b/>
        </w:rPr>
      </w:pPr>
      <w:r>
        <w:rPr>
          <w:rFonts w:ascii="Arial" w:hAnsi="Arial" w:cs="Arial"/>
          <w:b/>
        </w:rPr>
        <w:t>QUESTIONS PROCEDURALES</w:t>
      </w:r>
    </w:p>
    <w:p w:rsidR="001B02DD" w:rsidRDefault="00E35FBD" w:rsidP="00BA1FEC">
      <w:pPr>
        <w:tabs>
          <w:tab w:val="left" w:pos="0"/>
        </w:tabs>
        <w:ind w:left="708" w:hanging="708"/>
        <w:jc w:val="both"/>
        <w:rPr>
          <w:rFonts w:ascii="Arial" w:hAnsi="Arial" w:cs="Arial"/>
          <w:b/>
        </w:rPr>
      </w:pPr>
      <w:r>
        <w:rPr>
          <w:rFonts w:ascii="Arial" w:hAnsi="Arial" w:cs="Arial"/>
          <w:b/>
        </w:rPr>
        <w:t>Adoption</w:t>
      </w:r>
    </w:p>
    <w:p w:rsidR="001B02DD" w:rsidRDefault="00E35FBD" w:rsidP="00BA1FEC">
      <w:pPr>
        <w:tabs>
          <w:tab w:val="left" w:pos="0"/>
        </w:tabs>
        <w:jc w:val="both"/>
      </w:pPr>
      <w:r>
        <w:rPr>
          <w:rFonts w:ascii="Arial" w:hAnsi="Arial" w:cs="Arial"/>
        </w:rPr>
        <w:t xml:space="preserve">La </w:t>
      </w:r>
      <w:r w:rsidR="003021BB">
        <w:rPr>
          <w:rFonts w:ascii="Arial" w:hAnsi="Arial" w:cs="Arial"/>
        </w:rPr>
        <w:t>s</w:t>
      </w:r>
      <w:r>
        <w:rPr>
          <w:rFonts w:ascii="Arial" w:hAnsi="Arial" w:cs="Arial"/>
        </w:rPr>
        <w:t xml:space="preserve">tratégie </w:t>
      </w:r>
      <w:r w:rsidR="003021BB">
        <w:rPr>
          <w:rFonts w:ascii="Arial" w:hAnsi="Arial" w:cs="Arial"/>
        </w:rPr>
        <w:t>d</w:t>
      </w:r>
      <w:r>
        <w:rPr>
          <w:rFonts w:ascii="Arial" w:hAnsi="Arial" w:cs="Arial"/>
        </w:rPr>
        <w:t xml:space="preserve">igitale d’IPEX (décrite dans ce document) a été rédigée par le groupe de travail mis en place </w:t>
      </w:r>
      <w:r w:rsidR="00613A04">
        <w:rPr>
          <w:rFonts w:ascii="Arial" w:hAnsi="Arial" w:cs="Arial"/>
        </w:rPr>
        <w:t xml:space="preserve"> à cette fin </w:t>
      </w:r>
      <w:r>
        <w:rPr>
          <w:rFonts w:ascii="Arial" w:hAnsi="Arial" w:cs="Arial"/>
        </w:rPr>
        <w:t>par le Conseil</w:t>
      </w:r>
      <w:r>
        <w:rPr>
          <w:rStyle w:val="Appelnotedebasdep"/>
          <w:rFonts w:ascii="Arial" w:hAnsi="Arial" w:cs="Arial"/>
        </w:rPr>
        <w:footnoteReference w:id="2"/>
      </w:r>
      <w:r>
        <w:rPr>
          <w:rFonts w:ascii="Arial" w:hAnsi="Arial" w:cs="Arial"/>
        </w:rPr>
        <w:t>. Ce docum</w:t>
      </w:r>
      <w:r w:rsidR="00360D99">
        <w:rPr>
          <w:rFonts w:ascii="Arial" w:hAnsi="Arial" w:cs="Arial"/>
        </w:rPr>
        <w:t>ent prend en compte le résultat</w:t>
      </w:r>
      <w:r w:rsidR="00613A04">
        <w:rPr>
          <w:rFonts w:ascii="Arial" w:hAnsi="Arial" w:cs="Arial"/>
        </w:rPr>
        <w:t xml:space="preserve"> les délibérations </w:t>
      </w:r>
      <w:r>
        <w:rPr>
          <w:rFonts w:ascii="Arial" w:hAnsi="Arial" w:cs="Arial"/>
        </w:rPr>
        <w:t xml:space="preserve">avec les Correspondants </w:t>
      </w:r>
      <w:r w:rsidR="00360D99">
        <w:rPr>
          <w:rFonts w:ascii="Arial" w:hAnsi="Arial" w:cs="Arial"/>
        </w:rPr>
        <w:t>nationaux</w:t>
      </w:r>
      <w:r>
        <w:rPr>
          <w:rFonts w:ascii="Arial" w:hAnsi="Arial" w:cs="Arial"/>
        </w:rPr>
        <w:t>.</w:t>
      </w:r>
    </w:p>
    <w:p w:rsidR="001B02DD" w:rsidRDefault="00E35FBD" w:rsidP="00BA1FEC">
      <w:pPr>
        <w:tabs>
          <w:tab w:val="left" w:pos="0"/>
        </w:tabs>
        <w:jc w:val="both"/>
        <w:rPr>
          <w:rFonts w:ascii="Arial" w:hAnsi="Arial" w:cs="Arial"/>
        </w:rPr>
      </w:pPr>
      <w:r>
        <w:rPr>
          <w:rFonts w:ascii="Arial" w:hAnsi="Arial" w:cs="Arial"/>
        </w:rPr>
        <w:t xml:space="preserve">Le </w:t>
      </w:r>
      <w:r w:rsidR="00613A04">
        <w:rPr>
          <w:rFonts w:ascii="Arial" w:hAnsi="Arial" w:cs="Arial"/>
        </w:rPr>
        <w:t xml:space="preserve">projet </w:t>
      </w:r>
      <w:r>
        <w:rPr>
          <w:rFonts w:ascii="Arial" w:hAnsi="Arial" w:cs="Arial"/>
        </w:rPr>
        <w:t xml:space="preserve">final, après avoir été approuvé par le Conseil d’IPEX </w:t>
      </w:r>
      <w:r w:rsidR="00613A04">
        <w:rPr>
          <w:rFonts w:ascii="Arial" w:hAnsi="Arial" w:cs="Arial"/>
        </w:rPr>
        <w:t xml:space="preserve">à l’occasion de la </w:t>
      </w:r>
      <w:r>
        <w:rPr>
          <w:rFonts w:ascii="Arial" w:hAnsi="Arial" w:cs="Arial"/>
        </w:rPr>
        <w:t xml:space="preserve">réunion du 27 janvier 2017 </w:t>
      </w:r>
      <w:r w:rsidR="00613A04">
        <w:rPr>
          <w:rFonts w:ascii="Arial" w:hAnsi="Arial" w:cs="Arial"/>
        </w:rPr>
        <w:t>à</w:t>
      </w:r>
      <w:r w:rsidR="00360D99">
        <w:rPr>
          <w:rFonts w:ascii="Arial" w:hAnsi="Arial" w:cs="Arial"/>
        </w:rPr>
        <w:t xml:space="preserve"> </w:t>
      </w:r>
      <w:r>
        <w:rPr>
          <w:rFonts w:ascii="Arial" w:hAnsi="Arial" w:cs="Arial"/>
        </w:rPr>
        <w:t xml:space="preserve">Luxembourg, sera présenté par le Conseil d’IPEX aux Secrétaires </w:t>
      </w:r>
      <w:r w:rsidR="003021BB">
        <w:rPr>
          <w:rFonts w:ascii="Arial" w:hAnsi="Arial" w:cs="Arial"/>
        </w:rPr>
        <w:t>g</w:t>
      </w:r>
      <w:r>
        <w:rPr>
          <w:rFonts w:ascii="Arial" w:hAnsi="Arial" w:cs="Arial"/>
        </w:rPr>
        <w:t>énéraux pour être adopté à leur réunion les 20-21 février 2017.</w:t>
      </w:r>
    </w:p>
    <w:p w:rsidR="001B02DD" w:rsidRDefault="00E35FBD" w:rsidP="00BA1FEC">
      <w:pPr>
        <w:tabs>
          <w:tab w:val="left" w:pos="0"/>
        </w:tabs>
        <w:jc w:val="both"/>
      </w:pPr>
      <w:r>
        <w:rPr>
          <w:rFonts w:ascii="Arial" w:hAnsi="Arial" w:cs="Arial"/>
        </w:rPr>
        <w:t xml:space="preserve">La </w:t>
      </w:r>
      <w:r w:rsidR="00613A04">
        <w:rPr>
          <w:rFonts w:ascii="Arial" w:hAnsi="Arial" w:cs="Arial"/>
        </w:rPr>
        <w:t>s</w:t>
      </w:r>
      <w:r>
        <w:rPr>
          <w:rFonts w:ascii="Arial" w:hAnsi="Arial" w:cs="Arial"/>
        </w:rPr>
        <w:t xml:space="preserve">tratégie </w:t>
      </w:r>
      <w:r w:rsidR="00360D99">
        <w:rPr>
          <w:rFonts w:ascii="Arial" w:hAnsi="Arial" w:cs="Arial"/>
        </w:rPr>
        <w:t>d</w:t>
      </w:r>
      <w:r>
        <w:rPr>
          <w:rFonts w:ascii="Arial" w:hAnsi="Arial" w:cs="Arial"/>
        </w:rPr>
        <w:t xml:space="preserve">igitale (SD) est mise en œuvre à travers un </w:t>
      </w:r>
      <w:r w:rsidR="00613A04">
        <w:rPr>
          <w:rFonts w:ascii="Arial" w:hAnsi="Arial" w:cs="Arial"/>
        </w:rPr>
        <w:t>p</w:t>
      </w:r>
      <w:r>
        <w:rPr>
          <w:rFonts w:ascii="Arial" w:hAnsi="Arial" w:cs="Arial"/>
        </w:rPr>
        <w:t xml:space="preserve">rogramme de </w:t>
      </w:r>
      <w:r w:rsidR="00613A04">
        <w:rPr>
          <w:rFonts w:ascii="Arial" w:hAnsi="Arial" w:cs="Arial"/>
        </w:rPr>
        <w:t>t</w:t>
      </w:r>
      <w:r>
        <w:rPr>
          <w:rFonts w:ascii="Arial" w:hAnsi="Arial" w:cs="Arial"/>
        </w:rPr>
        <w:t>ravail (PT)de 3 ans.</w:t>
      </w:r>
      <w:r>
        <w:rPr>
          <w:rStyle w:val="Appelnotedebasdep"/>
          <w:rFonts w:ascii="Arial" w:hAnsi="Arial" w:cs="Arial"/>
        </w:rPr>
        <w:footnoteReference w:id="3"/>
      </w:r>
    </w:p>
    <w:p w:rsidR="001B02DD" w:rsidRDefault="00E35FBD" w:rsidP="00BA1FEC">
      <w:pPr>
        <w:tabs>
          <w:tab w:val="left" w:pos="0"/>
        </w:tabs>
        <w:jc w:val="both"/>
        <w:rPr>
          <w:rFonts w:ascii="Arial" w:hAnsi="Arial" w:cs="Arial"/>
        </w:rPr>
      </w:pPr>
      <w:r>
        <w:rPr>
          <w:rFonts w:ascii="Arial" w:hAnsi="Arial" w:cs="Arial"/>
        </w:rPr>
        <w:t xml:space="preserve">Le </w:t>
      </w:r>
      <w:r w:rsidR="00613A04">
        <w:rPr>
          <w:rFonts w:ascii="Arial" w:hAnsi="Arial" w:cs="Arial"/>
        </w:rPr>
        <w:t>p</w:t>
      </w:r>
      <w:r>
        <w:rPr>
          <w:rFonts w:ascii="Arial" w:hAnsi="Arial" w:cs="Arial"/>
        </w:rPr>
        <w:t xml:space="preserve">rogramme de </w:t>
      </w:r>
      <w:r w:rsidR="00613A04">
        <w:rPr>
          <w:rFonts w:ascii="Arial" w:hAnsi="Arial" w:cs="Arial"/>
        </w:rPr>
        <w:t>t</w:t>
      </w:r>
      <w:r>
        <w:rPr>
          <w:rFonts w:ascii="Arial" w:hAnsi="Arial" w:cs="Arial"/>
        </w:rPr>
        <w:t xml:space="preserve">ravail de 3 ans est adopté par le Conseil d’IPEX après l’adoption de la </w:t>
      </w:r>
      <w:r w:rsidR="00613A04">
        <w:rPr>
          <w:rFonts w:ascii="Arial" w:hAnsi="Arial" w:cs="Arial"/>
        </w:rPr>
        <w:t>s</w:t>
      </w:r>
      <w:r>
        <w:rPr>
          <w:rFonts w:ascii="Arial" w:hAnsi="Arial" w:cs="Arial"/>
        </w:rPr>
        <w:t xml:space="preserve">tratégie </w:t>
      </w:r>
      <w:r w:rsidR="00613A04">
        <w:rPr>
          <w:rFonts w:ascii="Arial" w:hAnsi="Arial" w:cs="Arial"/>
        </w:rPr>
        <w:t>d</w:t>
      </w:r>
      <w:r>
        <w:rPr>
          <w:rFonts w:ascii="Arial" w:hAnsi="Arial" w:cs="Arial"/>
        </w:rPr>
        <w:t xml:space="preserve">igitale d’IPEX par les Secrétaires </w:t>
      </w:r>
      <w:r w:rsidR="00613A04">
        <w:rPr>
          <w:rFonts w:ascii="Arial" w:hAnsi="Arial" w:cs="Arial"/>
        </w:rPr>
        <w:t>g</w:t>
      </w:r>
      <w:r>
        <w:rPr>
          <w:rFonts w:ascii="Arial" w:hAnsi="Arial" w:cs="Arial"/>
        </w:rPr>
        <w:t>énéraux.</w:t>
      </w:r>
    </w:p>
    <w:p w:rsidR="001B02DD" w:rsidRDefault="00E35FBD" w:rsidP="00BA1FEC">
      <w:pPr>
        <w:tabs>
          <w:tab w:val="left" w:pos="0"/>
        </w:tabs>
        <w:jc w:val="both"/>
        <w:rPr>
          <w:rFonts w:ascii="Arial" w:hAnsi="Arial" w:cs="Arial"/>
          <w:b/>
        </w:rPr>
      </w:pPr>
      <w:r>
        <w:rPr>
          <w:rFonts w:ascii="Arial" w:hAnsi="Arial" w:cs="Arial"/>
          <w:b/>
        </w:rPr>
        <w:t>Mise en œuvre</w:t>
      </w:r>
    </w:p>
    <w:p w:rsidR="001B02DD" w:rsidRDefault="00E35FBD" w:rsidP="00BA1FEC">
      <w:pPr>
        <w:tabs>
          <w:tab w:val="left" w:pos="0"/>
        </w:tabs>
        <w:jc w:val="both"/>
        <w:rPr>
          <w:rFonts w:ascii="Arial" w:hAnsi="Arial" w:cs="Arial"/>
        </w:rPr>
      </w:pPr>
      <w:r>
        <w:rPr>
          <w:rFonts w:ascii="Arial" w:hAnsi="Arial" w:cs="Arial"/>
        </w:rPr>
        <w:t xml:space="preserve">Le Conseil est responsable de la mise en œuvre de la </w:t>
      </w:r>
      <w:r w:rsidR="00613A04">
        <w:rPr>
          <w:rFonts w:ascii="Arial" w:hAnsi="Arial" w:cs="Arial"/>
        </w:rPr>
        <w:t>s</w:t>
      </w:r>
      <w:r>
        <w:rPr>
          <w:rFonts w:ascii="Arial" w:hAnsi="Arial" w:cs="Arial"/>
        </w:rPr>
        <w:t xml:space="preserve">tratégie </w:t>
      </w:r>
      <w:r w:rsidR="00613A04">
        <w:rPr>
          <w:rFonts w:ascii="Arial" w:hAnsi="Arial" w:cs="Arial"/>
        </w:rPr>
        <w:t>d</w:t>
      </w:r>
      <w:r>
        <w:rPr>
          <w:rFonts w:ascii="Arial" w:hAnsi="Arial" w:cs="Arial"/>
        </w:rPr>
        <w:t xml:space="preserve">igitale et du </w:t>
      </w:r>
      <w:r w:rsidR="00613A04">
        <w:rPr>
          <w:rFonts w:ascii="Arial" w:hAnsi="Arial" w:cs="Arial"/>
        </w:rPr>
        <w:t>p</w:t>
      </w:r>
      <w:r>
        <w:rPr>
          <w:rFonts w:ascii="Arial" w:hAnsi="Arial" w:cs="Arial"/>
        </w:rPr>
        <w:t xml:space="preserve">rogramme de </w:t>
      </w:r>
      <w:r w:rsidR="00613A04">
        <w:rPr>
          <w:rFonts w:ascii="Arial" w:hAnsi="Arial" w:cs="Arial"/>
        </w:rPr>
        <w:t>t</w:t>
      </w:r>
      <w:r>
        <w:rPr>
          <w:rFonts w:ascii="Arial" w:hAnsi="Arial" w:cs="Arial"/>
        </w:rPr>
        <w:t xml:space="preserve">ravail. Les Correspondants </w:t>
      </w:r>
      <w:r w:rsidR="00613A04">
        <w:rPr>
          <w:rFonts w:ascii="Arial" w:hAnsi="Arial" w:cs="Arial"/>
        </w:rPr>
        <w:t>n</w:t>
      </w:r>
      <w:r>
        <w:rPr>
          <w:rFonts w:ascii="Arial" w:hAnsi="Arial" w:cs="Arial"/>
        </w:rPr>
        <w:t xml:space="preserve">ationaux prennent une part active dans la mise en œuvre de la SD et du PT. La mise en œuvre de la SD et du PT constituent un point régulier dans l’agenda des rencontres des Correspondants </w:t>
      </w:r>
      <w:r w:rsidR="00613A04">
        <w:rPr>
          <w:rFonts w:ascii="Arial" w:hAnsi="Arial" w:cs="Arial"/>
        </w:rPr>
        <w:t>n</w:t>
      </w:r>
      <w:r>
        <w:rPr>
          <w:rFonts w:ascii="Arial" w:hAnsi="Arial" w:cs="Arial"/>
        </w:rPr>
        <w:t>ationaux.</w:t>
      </w:r>
    </w:p>
    <w:p w:rsidR="001B02DD" w:rsidRDefault="00E35FBD" w:rsidP="00BA1FEC">
      <w:pPr>
        <w:tabs>
          <w:tab w:val="left" w:pos="0"/>
        </w:tabs>
        <w:ind w:left="708" w:hanging="708"/>
        <w:jc w:val="both"/>
        <w:rPr>
          <w:rFonts w:ascii="Arial" w:hAnsi="Arial" w:cs="Arial"/>
          <w:b/>
        </w:rPr>
      </w:pPr>
      <w:r>
        <w:rPr>
          <w:rFonts w:ascii="Arial" w:hAnsi="Arial" w:cs="Arial"/>
          <w:b/>
        </w:rPr>
        <w:t>Financement</w:t>
      </w:r>
    </w:p>
    <w:p w:rsidR="001B02DD" w:rsidRDefault="00E35FBD" w:rsidP="00613A04">
      <w:pPr>
        <w:tabs>
          <w:tab w:val="left" w:pos="0"/>
        </w:tabs>
        <w:jc w:val="both"/>
        <w:rPr>
          <w:rFonts w:ascii="Arial" w:hAnsi="Arial" w:cs="Arial"/>
        </w:rPr>
      </w:pPr>
      <w:r>
        <w:rPr>
          <w:rFonts w:ascii="Arial" w:hAnsi="Arial" w:cs="Arial"/>
        </w:rPr>
        <w:t xml:space="preserve">Pour chaque action ou activité inclus dans le </w:t>
      </w:r>
      <w:r w:rsidR="00613A04">
        <w:rPr>
          <w:rFonts w:ascii="Arial" w:hAnsi="Arial" w:cs="Arial"/>
        </w:rPr>
        <w:t>p</w:t>
      </w:r>
      <w:r>
        <w:rPr>
          <w:rFonts w:ascii="Arial" w:hAnsi="Arial" w:cs="Arial"/>
        </w:rPr>
        <w:t xml:space="preserve">rogramme de </w:t>
      </w:r>
      <w:r w:rsidR="00613A04">
        <w:rPr>
          <w:rFonts w:ascii="Arial" w:hAnsi="Arial" w:cs="Arial"/>
        </w:rPr>
        <w:t>t</w:t>
      </w:r>
      <w:r>
        <w:rPr>
          <w:rFonts w:ascii="Arial" w:hAnsi="Arial" w:cs="Arial"/>
        </w:rPr>
        <w:t xml:space="preserve">ravail affectant le </w:t>
      </w:r>
      <w:r w:rsidR="00613A04">
        <w:rPr>
          <w:rFonts w:ascii="Arial" w:hAnsi="Arial" w:cs="Arial"/>
        </w:rPr>
        <w:t>s</w:t>
      </w:r>
      <w:r>
        <w:rPr>
          <w:rFonts w:ascii="Arial" w:hAnsi="Arial" w:cs="Arial"/>
        </w:rPr>
        <w:t xml:space="preserve">ystème </w:t>
      </w:r>
      <w:r w:rsidR="00613A04">
        <w:rPr>
          <w:rFonts w:ascii="Arial" w:hAnsi="Arial" w:cs="Arial"/>
        </w:rPr>
        <w:t>d</w:t>
      </w:r>
      <w:r>
        <w:rPr>
          <w:rFonts w:ascii="Arial" w:hAnsi="Arial" w:cs="Arial"/>
        </w:rPr>
        <w:t>igital d’IPEX, la procédure suivante sera à suivre :</w:t>
      </w:r>
    </w:p>
    <w:p w:rsidR="001B02DD" w:rsidRDefault="00E35FBD" w:rsidP="00BA1FEC">
      <w:pPr>
        <w:pStyle w:val="Paragraphedeliste"/>
        <w:numPr>
          <w:ilvl w:val="0"/>
          <w:numId w:val="1"/>
        </w:numPr>
        <w:tabs>
          <w:tab w:val="left" w:pos="0"/>
        </w:tabs>
        <w:jc w:val="both"/>
        <w:rPr>
          <w:rFonts w:ascii="Arial" w:hAnsi="Arial" w:cs="Arial"/>
        </w:rPr>
      </w:pPr>
      <w:r>
        <w:rPr>
          <w:rFonts w:ascii="Arial" w:hAnsi="Arial" w:cs="Arial"/>
        </w:rPr>
        <w:t xml:space="preserve">Le Parlement </w:t>
      </w:r>
      <w:r w:rsidR="006F52F8">
        <w:rPr>
          <w:rFonts w:ascii="Arial" w:hAnsi="Arial" w:cs="Arial"/>
        </w:rPr>
        <w:t>e</w:t>
      </w:r>
      <w:r>
        <w:rPr>
          <w:rFonts w:ascii="Arial" w:hAnsi="Arial" w:cs="Arial"/>
        </w:rPr>
        <w:t xml:space="preserve">uropéen –qui héberge le </w:t>
      </w:r>
      <w:r w:rsidR="00613A04">
        <w:rPr>
          <w:rFonts w:ascii="Arial" w:hAnsi="Arial" w:cs="Arial"/>
        </w:rPr>
        <w:t>s</w:t>
      </w:r>
      <w:r>
        <w:rPr>
          <w:rFonts w:ascii="Arial" w:hAnsi="Arial" w:cs="Arial"/>
        </w:rPr>
        <w:t xml:space="preserve">ystème </w:t>
      </w:r>
      <w:r w:rsidR="00613A04">
        <w:rPr>
          <w:rFonts w:ascii="Arial" w:hAnsi="Arial" w:cs="Arial"/>
        </w:rPr>
        <w:t>d</w:t>
      </w:r>
      <w:r>
        <w:rPr>
          <w:rFonts w:ascii="Arial" w:hAnsi="Arial" w:cs="Arial"/>
        </w:rPr>
        <w:t>igital d’IPEX- évaluera l’activité à la fois en termes de faisabilité technique et en termes d’estimation des coûts pour la mise en œuvre.</w:t>
      </w:r>
    </w:p>
    <w:p w:rsidR="001B02DD" w:rsidRDefault="00E35FBD" w:rsidP="00BA1FEC">
      <w:pPr>
        <w:pStyle w:val="Paragraphedeliste"/>
        <w:numPr>
          <w:ilvl w:val="0"/>
          <w:numId w:val="1"/>
        </w:numPr>
        <w:tabs>
          <w:tab w:val="left" w:pos="0"/>
        </w:tabs>
        <w:jc w:val="both"/>
      </w:pPr>
      <w:r>
        <w:rPr>
          <w:rFonts w:ascii="Arial" w:hAnsi="Arial" w:cs="Arial"/>
        </w:rPr>
        <w:t>Si l’évaluation de l’activité démontre qu’elle peut être mise en place sans ou avec peu de frais (par exemple : activités d’édition qui peuvent être accomplies par l’</w:t>
      </w:r>
      <w:r w:rsidRPr="002C5363">
        <w:rPr>
          <w:rFonts w:ascii="Arial" w:hAnsi="Arial" w:cs="Arial"/>
          <w:i/>
        </w:rPr>
        <w:t xml:space="preserve">Information </w:t>
      </w:r>
      <w:proofErr w:type="spellStart"/>
      <w:r w:rsidRPr="002C5363">
        <w:rPr>
          <w:rFonts w:ascii="Arial" w:hAnsi="Arial" w:cs="Arial"/>
          <w:i/>
        </w:rPr>
        <w:lastRenderedPageBreak/>
        <w:t>Officer</w:t>
      </w:r>
      <w:proofErr w:type="spellEnd"/>
      <w:r>
        <w:rPr>
          <w:rFonts w:ascii="Arial" w:hAnsi="Arial" w:cs="Arial"/>
        </w:rPr>
        <w:t xml:space="preserve">, actions réalisables par les Correspondants </w:t>
      </w:r>
      <w:r w:rsidR="00613A04">
        <w:rPr>
          <w:rFonts w:ascii="Arial" w:hAnsi="Arial" w:cs="Arial"/>
        </w:rPr>
        <w:t>n</w:t>
      </w:r>
      <w:r>
        <w:rPr>
          <w:rFonts w:ascii="Arial" w:hAnsi="Arial" w:cs="Arial"/>
        </w:rPr>
        <w:t xml:space="preserve">ationaux, etc.) le Conseil d’IPEX </w:t>
      </w:r>
      <w:r w:rsidR="005463A8">
        <w:rPr>
          <w:rFonts w:ascii="Arial" w:hAnsi="Arial" w:cs="Arial"/>
        </w:rPr>
        <w:t xml:space="preserve">peut demander </w:t>
      </w:r>
      <w:r>
        <w:rPr>
          <w:rFonts w:ascii="Arial" w:hAnsi="Arial" w:cs="Arial"/>
        </w:rPr>
        <w:t xml:space="preserve">le lancement de </w:t>
      </w:r>
      <w:r w:rsidR="006F52F8">
        <w:rPr>
          <w:rFonts w:ascii="Arial" w:hAnsi="Arial" w:cs="Arial"/>
        </w:rPr>
        <w:t>cette</w:t>
      </w:r>
      <w:r w:rsidR="00360D99">
        <w:rPr>
          <w:rFonts w:ascii="Arial" w:hAnsi="Arial" w:cs="Arial"/>
        </w:rPr>
        <w:t xml:space="preserve"> </w:t>
      </w:r>
      <w:r>
        <w:rPr>
          <w:rFonts w:ascii="Arial" w:hAnsi="Arial" w:cs="Arial"/>
        </w:rPr>
        <w:t xml:space="preserve">activité. </w:t>
      </w:r>
    </w:p>
    <w:p w:rsidR="001B02DD" w:rsidRDefault="00E35FBD" w:rsidP="00BA1FEC">
      <w:pPr>
        <w:pStyle w:val="Paragraphedeliste"/>
        <w:numPr>
          <w:ilvl w:val="0"/>
          <w:numId w:val="1"/>
        </w:numPr>
        <w:tabs>
          <w:tab w:val="left" w:pos="0"/>
        </w:tabs>
        <w:jc w:val="both"/>
        <w:rPr>
          <w:rFonts w:ascii="Arial" w:hAnsi="Arial" w:cs="Arial"/>
        </w:rPr>
      </w:pPr>
      <w:r>
        <w:rPr>
          <w:rFonts w:ascii="Arial" w:hAnsi="Arial" w:cs="Arial"/>
        </w:rPr>
        <w:t xml:space="preserve">Si l’analyse identifie qu’un effort financier est requis, le Conseil soumet aux Secrétaires </w:t>
      </w:r>
      <w:r w:rsidR="005463A8">
        <w:rPr>
          <w:rFonts w:ascii="Arial" w:hAnsi="Arial" w:cs="Arial"/>
        </w:rPr>
        <w:t>g</w:t>
      </w:r>
      <w:r>
        <w:rPr>
          <w:rFonts w:ascii="Arial" w:hAnsi="Arial" w:cs="Arial"/>
        </w:rPr>
        <w:t>énéraux pour approbation, une proposition pour l’activité et un schéma de co-financement</w:t>
      </w:r>
      <w:r w:rsidR="00360D99">
        <w:rPr>
          <w:rFonts w:ascii="Arial" w:hAnsi="Arial" w:cs="Arial"/>
        </w:rPr>
        <w:t xml:space="preserve"> </w:t>
      </w:r>
      <w:r w:rsidR="005463A8">
        <w:rPr>
          <w:rFonts w:ascii="Arial" w:hAnsi="Arial" w:cs="Arial"/>
        </w:rPr>
        <w:t>en vue de son exécution</w:t>
      </w:r>
      <w:r>
        <w:rPr>
          <w:rFonts w:ascii="Arial" w:hAnsi="Arial" w:cs="Arial"/>
        </w:rPr>
        <w:t xml:space="preserve">. Les Secrétaires </w:t>
      </w:r>
      <w:r w:rsidR="005463A8">
        <w:rPr>
          <w:rFonts w:ascii="Arial" w:hAnsi="Arial" w:cs="Arial"/>
        </w:rPr>
        <w:t>g</w:t>
      </w:r>
      <w:r>
        <w:rPr>
          <w:rFonts w:ascii="Arial" w:hAnsi="Arial" w:cs="Arial"/>
        </w:rPr>
        <w:t xml:space="preserve">énéraux décident si et comment assurer le co-financement de cette activité par les </w:t>
      </w:r>
      <w:r w:rsidR="006F52F8">
        <w:rPr>
          <w:rFonts w:ascii="Arial" w:hAnsi="Arial" w:cs="Arial"/>
        </w:rPr>
        <w:t>P</w:t>
      </w:r>
      <w:r>
        <w:rPr>
          <w:rFonts w:ascii="Arial" w:hAnsi="Arial" w:cs="Arial"/>
        </w:rPr>
        <w:t>arlements membres d’IPEX. Seulement quand il aura été décidé</w:t>
      </w:r>
      <w:r w:rsidR="00360D99">
        <w:rPr>
          <w:rFonts w:ascii="Arial" w:hAnsi="Arial" w:cs="Arial"/>
        </w:rPr>
        <w:t xml:space="preserve"> (</w:t>
      </w:r>
      <w:r w:rsidR="005463A8">
        <w:rPr>
          <w:rFonts w:ascii="Arial" w:hAnsi="Arial" w:cs="Arial"/>
        </w:rPr>
        <w:t>et les frais couverts)</w:t>
      </w:r>
      <w:r>
        <w:rPr>
          <w:rFonts w:ascii="Arial" w:hAnsi="Arial" w:cs="Arial"/>
        </w:rPr>
        <w:t xml:space="preserve">, le Conseil d’IPEX </w:t>
      </w:r>
      <w:r w:rsidR="005463A8">
        <w:rPr>
          <w:rFonts w:ascii="Arial" w:hAnsi="Arial" w:cs="Arial"/>
        </w:rPr>
        <w:t xml:space="preserve">peut demander à </w:t>
      </w:r>
      <w:r>
        <w:rPr>
          <w:rFonts w:ascii="Arial" w:hAnsi="Arial" w:cs="Arial"/>
        </w:rPr>
        <w:t xml:space="preserve">commencer </w:t>
      </w:r>
      <w:r w:rsidR="005463A8">
        <w:rPr>
          <w:rFonts w:ascii="Arial" w:hAnsi="Arial" w:cs="Arial"/>
        </w:rPr>
        <w:t xml:space="preserve">cette </w:t>
      </w:r>
      <w:r>
        <w:rPr>
          <w:rFonts w:ascii="Arial" w:hAnsi="Arial" w:cs="Arial"/>
        </w:rPr>
        <w:t>activité.</w:t>
      </w:r>
    </w:p>
    <w:p w:rsidR="001B02DD" w:rsidRDefault="00E35FBD" w:rsidP="00BA1FEC">
      <w:pPr>
        <w:tabs>
          <w:tab w:val="left" w:pos="0"/>
        </w:tabs>
        <w:jc w:val="both"/>
        <w:rPr>
          <w:rFonts w:ascii="Arial" w:hAnsi="Arial" w:cs="Arial"/>
          <w:b/>
        </w:rPr>
      </w:pPr>
      <w:r>
        <w:rPr>
          <w:rFonts w:ascii="Arial" w:hAnsi="Arial" w:cs="Arial"/>
          <w:b/>
        </w:rPr>
        <w:t>Surveillance</w:t>
      </w:r>
    </w:p>
    <w:p w:rsidR="001B02DD" w:rsidRDefault="00E35FBD" w:rsidP="00BA1FEC">
      <w:pPr>
        <w:tabs>
          <w:tab w:val="left" w:pos="0"/>
        </w:tabs>
        <w:jc w:val="both"/>
      </w:pPr>
      <w:r>
        <w:rPr>
          <w:rFonts w:ascii="Arial" w:hAnsi="Arial" w:cs="Arial"/>
        </w:rPr>
        <w:t>La surveillance</w:t>
      </w:r>
      <w:r w:rsidR="006F52F8">
        <w:rPr>
          <w:rFonts w:ascii="Arial" w:hAnsi="Arial" w:cs="Arial"/>
        </w:rPr>
        <w:t>/suivi</w:t>
      </w:r>
      <w:r>
        <w:rPr>
          <w:rFonts w:ascii="Arial" w:hAnsi="Arial" w:cs="Arial"/>
        </w:rPr>
        <w:t xml:space="preserve"> constante de l’exécution de la SG et du PT est la responsabilité de la Présidence d’IPEX dans le cadre de ses rapports annuels d’IPEX </w:t>
      </w:r>
      <w:r w:rsidR="005463A8">
        <w:rPr>
          <w:rFonts w:ascii="Arial" w:hAnsi="Arial" w:cs="Arial"/>
        </w:rPr>
        <w:t xml:space="preserve">soumis </w:t>
      </w:r>
      <w:r>
        <w:rPr>
          <w:rFonts w:ascii="Arial" w:hAnsi="Arial" w:cs="Arial"/>
        </w:rPr>
        <w:t xml:space="preserve">aux Secrétaires </w:t>
      </w:r>
      <w:r w:rsidR="005463A8">
        <w:rPr>
          <w:rFonts w:ascii="Arial" w:hAnsi="Arial" w:cs="Arial"/>
        </w:rPr>
        <w:t>g</w:t>
      </w:r>
      <w:r>
        <w:rPr>
          <w:rFonts w:ascii="Arial" w:hAnsi="Arial" w:cs="Arial"/>
        </w:rPr>
        <w:t>énéraux –</w:t>
      </w:r>
      <w:r w:rsidR="005463A8">
        <w:rPr>
          <w:rFonts w:ascii="Arial" w:hAnsi="Arial" w:cs="Arial"/>
        </w:rPr>
        <w:t xml:space="preserve"> </w:t>
      </w:r>
      <w:r>
        <w:rPr>
          <w:rFonts w:ascii="Arial" w:hAnsi="Arial" w:cs="Arial"/>
        </w:rPr>
        <w:t xml:space="preserve">eu égard des parties exécutées par une Présidence du Conseil d’IPEX. Le rapport couvre aussi les questions </w:t>
      </w:r>
      <w:r w:rsidR="005463A8">
        <w:rPr>
          <w:rFonts w:ascii="Arial" w:hAnsi="Arial" w:cs="Arial"/>
        </w:rPr>
        <w:t xml:space="preserve">relatives à </w:t>
      </w:r>
      <w:r>
        <w:rPr>
          <w:rFonts w:ascii="Arial" w:hAnsi="Arial" w:cs="Arial"/>
        </w:rPr>
        <w:t>la conformité de l’exécution des tâches avec les objectifs définis dans l’IPEX PT et SD.</w:t>
      </w:r>
    </w:p>
    <w:p w:rsidR="001B02DD" w:rsidRDefault="00E35FBD" w:rsidP="00BA1FEC">
      <w:pPr>
        <w:tabs>
          <w:tab w:val="left" w:pos="0"/>
        </w:tabs>
        <w:jc w:val="both"/>
        <w:rPr>
          <w:rFonts w:ascii="Arial" w:hAnsi="Arial" w:cs="Arial"/>
        </w:rPr>
      </w:pPr>
      <w:r>
        <w:rPr>
          <w:rFonts w:ascii="Arial" w:hAnsi="Arial" w:cs="Arial"/>
        </w:rPr>
        <w:t xml:space="preserve">Le rapport présentant la mise en place de la SD et du PT prend en compte les informations écrites et envoyés par les Correspondants </w:t>
      </w:r>
      <w:r w:rsidR="005463A8">
        <w:rPr>
          <w:rFonts w:ascii="Arial" w:hAnsi="Arial" w:cs="Arial"/>
        </w:rPr>
        <w:t>n</w:t>
      </w:r>
      <w:r>
        <w:rPr>
          <w:rFonts w:ascii="Arial" w:hAnsi="Arial" w:cs="Arial"/>
        </w:rPr>
        <w:t>ationaux</w:t>
      </w:r>
      <w:r w:rsidR="005463A8">
        <w:rPr>
          <w:rFonts w:ascii="Arial" w:hAnsi="Arial" w:cs="Arial"/>
        </w:rPr>
        <w:t xml:space="preserve"> dans ce contexte</w:t>
      </w:r>
      <w:r>
        <w:rPr>
          <w:rFonts w:ascii="Arial" w:hAnsi="Arial" w:cs="Arial"/>
        </w:rPr>
        <w:t>. L’organisation et l’édition des contributions des Correspondants nationaux au rapport sont du devoir de la Pré</w:t>
      </w:r>
      <w:r w:rsidR="00360D99">
        <w:rPr>
          <w:rFonts w:ascii="Arial" w:hAnsi="Arial" w:cs="Arial"/>
        </w:rPr>
        <w:t>sidence d’IPEX en charge du</w:t>
      </w:r>
      <w:r>
        <w:rPr>
          <w:rFonts w:ascii="Arial" w:hAnsi="Arial" w:cs="Arial"/>
        </w:rPr>
        <w:t xml:space="preserve"> rapport.</w:t>
      </w:r>
    </w:p>
    <w:p w:rsidR="001B02DD" w:rsidRDefault="00E35FBD" w:rsidP="00BA1FEC">
      <w:pPr>
        <w:tabs>
          <w:tab w:val="left" w:pos="0"/>
        </w:tabs>
        <w:jc w:val="both"/>
        <w:rPr>
          <w:rFonts w:ascii="Arial" w:hAnsi="Arial" w:cs="Arial"/>
        </w:rPr>
      </w:pPr>
      <w:r>
        <w:rPr>
          <w:rFonts w:ascii="Arial" w:hAnsi="Arial" w:cs="Arial"/>
        </w:rPr>
        <w:t xml:space="preserve">Les Secrétaires généraux procèdent à un examen et une évaluation de la stratégie digitale après la fin de la première période de 3 ans du PT, sur la base d’une proposition soumise à eux par le Conseil d’IPEX et rédigée par un groupe de travail instauré par le Conseil d’IPEX. </w:t>
      </w:r>
    </w:p>
    <w:p w:rsidR="001B02DD" w:rsidRDefault="00E35FBD" w:rsidP="00BA1FEC">
      <w:pPr>
        <w:tabs>
          <w:tab w:val="left" w:pos="0"/>
        </w:tabs>
        <w:jc w:val="both"/>
        <w:rPr>
          <w:rFonts w:ascii="Arial" w:hAnsi="Arial" w:cs="Arial"/>
          <w:b/>
        </w:rPr>
      </w:pPr>
      <w:r>
        <w:rPr>
          <w:rFonts w:ascii="Arial" w:hAnsi="Arial" w:cs="Arial"/>
          <w:b/>
        </w:rPr>
        <w:t>Révision et amendements</w:t>
      </w:r>
    </w:p>
    <w:p w:rsidR="001B02DD" w:rsidRDefault="00E35FBD" w:rsidP="00BA1FEC">
      <w:pPr>
        <w:tabs>
          <w:tab w:val="left" w:pos="0"/>
        </w:tabs>
        <w:jc w:val="both"/>
        <w:rPr>
          <w:rFonts w:ascii="Arial" w:hAnsi="Arial" w:cs="Arial"/>
        </w:rPr>
      </w:pPr>
      <w:r>
        <w:rPr>
          <w:rFonts w:ascii="Arial" w:hAnsi="Arial" w:cs="Arial"/>
        </w:rPr>
        <w:t>La révision de la stratégie digitale est la responsabilité des Secrétaires géné</w:t>
      </w:r>
      <w:r w:rsidR="002A5B57">
        <w:rPr>
          <w:rFonts w:ascii="Arial" w:hAnsi="Arial" w:cs="Arial"/>
        </w:rPr>
        <w:t>raux des Parlements de l’Union e</w:t>
      </w:r>
      <w:r>
        <w:rPr>
          <w:rFonts w:ascii="Arial" w:hAnsi="Arial" w:cs="Arial"/>
        </w:rPr>
        <w:t xml:space="preserve">uropéenne. </w:t>
      </w:r>
    </w:p>
    <w:p w:rsidR="001B02DD" w:rsidRDefault="00E35FBD" w:rsidP="00BA1FEC">
      <w:pPr>
        <w:tabs>
          <w:tab w:val="left" w:pos="0"/>
        </w:tabs>
        <w:jc w:val="both"/>
        <w:rPr>
          <w:rFonts w:ascii="Arial" w:hAnsi="Arial" w:cs="Arial"/>
        </w:rPr>
      </w:pPr>
      <w:r>
        <w:rPr>
          <w:rFonts w:ascii="Arial" w:hAnsi="Arial" w:cs="Arial"/>
        </w:rPr>
        <w:t>Les amendements du programme de travail sont la responsabilité du Conseil d’IPEX.</w:t>
      </w:r>
    </w:p>
    <w:p w:rsidR="001B02DD" w:rsidRDefault="001B02DD" w:rsidP="00BA1FEC">
      <w:pPr>
        <w:tabs>
          <w:tab w:val="left" w:pos="0"/>
        </w:tabs>
        <w:jc w:val="both"/>
        <w:rPr>
          <w:rFonts w:ascii="Arial" w:hAnsi="Arial" w:cs="Arial"/>
        </w:rPr>
      </w:pPr>
    </w:p>
    <w:p w:rsidR="001B02DD" w:rsidRDefault="00E35FBD" w:rsidP="00BA1FEC">
      <w:pPr>
        <w:pStyle w:val="Titre1"/>
        <w:numPr>
          <w:ilvl w:val="0"/>
          <w:numId w:val="10"/>
        </w:numPr>
        <w:tabs>
          <w:tab w:val="left" w:pos="0"/>
        </w:tabs>
      </w:pPr>
      <w:bookmarkStart w:id="2" w:name="_Toc475103152"/>
      <w:r>
        <w:t xml:space="preserve">La </w:t>
      </w:r>
      <w:r w:rsidR="00A23378">
        <w:t>s</w:t>
      </w:r>
      <w:r>
        <w:t xml:space="preserve">tratégie </w:t>
      </w:r>
      <w:r w:rsidR="00A23378">
        <w:t>d</w:t>
      </w:r>
      <w:r>
        <w:t>igitale</w:t>
      </w:r>
      <w:bookmarkEnd w:id="2"/>
    </w:p>
    <w:p w:rsidR="001127FF" w:rsidRPr="001127FF" w:rsidRDefault="001127FF" w:rsidP="00BA1FEC">
      <w:pPr>
        <w:tabs>
          <w:tab w:val="left" w:pos="0"/>
        </w:tabs>
      </w:pPr>
    </w:p>
    <w:p w:rsidR="001B02DD" w:rsidRDefault="00E35FBD" w:rsidP="00BA1FEC">
      <w:pPr>
        <w:tabs>
          <w:tab w:val="left" w:pos="0"/>
        </w:tabs>
        <w:jc w:val="both"/>
        <w:rPr>
          <w:rFonts w:ascii="Arial" w:hAnsi="Arial" w:cs="Arial"/>
        </w:rPr>
      </w:pPr>
      <w:r>
        <w:rPr>
          <w:rFonts w:ascii="Arial" w:hAnsi="Arial" w:cs="Arial"/>
        </w:rPr>
        <w:t>La stratégie digitale d’IPEX :</w:t>
      </w:r>
    </w:p>
    <w:p w:rsidR="001B02DD" w:rsidRDefault="00377A80" w:rsidP="00BA1FEC">
      <w:pPr>
        <w:pStyle w:val="Paragraphedeliste"/>
        <w:numPr>
          <w:ilvl w:val="0"/>
          <w:numId w:val="2"/>
        </w:numPr>
        <w:tabs>
          <w:tab w:val="left" w:pos="0"/>
        </w:tabs>
        <w:jc w:val="both"/>
        <w:rPr>
          <w:rFonts w:ascii="Arial" w:hAnsi="Arial" w:cs="Arial"/>
        </w:rPr>
      </w:pPr>
      <w:r>
        <w:rPr>
          <w:rFonts w:ascii="Arial" w:hAnsi="Arial" w:cs="Arial"/>
        </w:rPr>
        <w:t>E</w:t>
      </w:r>
      <w:r w:rsidR="00E35FBD">
        <w:rPr>
          <w:rFonts w:ascii="Arial" w:hAnsi="Arial" w:cs="Arial"/>
        </w:rPr>
        <w:t>st un projet exhaustif qui guidera les décisions du Conseil d’IPEX en vue du développement futur d’IPEX. Après son adoption par les Secrétaires géné</w:t>
      </w:r>
      <w:r w:rsidR="002A5B57">
        <w:rPr>
          <w:rFonts w:ascii="Arial" w:hAnsi="Arial" w:cs="Arial"/>
        </w:rPr>
        <w:t>raux des Parlements de l’Union e</w:t>
      </w:r>
      <w:r w:rsidR="00E35FBD">
        <w:rPr>
          <w:rFonts w:ascii="Arial" w:hAnsi="Arial" w:cs="Arial"/>
        </w:rPr>
        <w:t>uropéenne, la stratégie digitale d’IPEX sera complétée par un programme de travail de 3 ans qui assurera la continuité dans la gestion des projets s’étendant sur plusieurs présidences tournantes et indiquera :</w:t>
      </w:r>
    </w:p>
    <w:p w:rsidR="001B02DD" w:rsidRDefault="00E35FBD" w:rsidP="00BA1FEC">
      <w:pPr>
        <w:pStyle w:val="Paragraphedeliste"/>
        <w:numPr>
          <w:ilvl w:val="0"/>
          <w:numId w:val="3"/>
        </w:numPr>
        <w:tabs>
          <w:tab w:val="left" w:pos="0"/>
        </w:tabs>
        <w:jc w:val="both"/>
        <w:rPr>
          <w:rFonts w:ascii="Arial" w:hAnsi="Arial" w:cs="Arial"/>
        </w:rPr>
      </w:pPr>
      <w:r>
        <w:rPr>
          <w:rFonts w:ascii="Arial" w:hAnsi="Arial" w:cs="Arial"/>
        </w:rPr>
        <w:t>Les priorités</w:t>
      </w:r>
    </w:p>
    <w:p w:rsidR="001B02DD" w:rsidRDefault="00E35FBD" w:rsidP="00BA1FEC">
      <w:pPr>
        <w:pStyle w:val="Paragraphedeliste"/>
        <w:numPr>
          <w:ilvl w:val="0"/>
          <w:numId w:val="3"/>
        </w:numPr>
        <w:tabs>
          <w:tab w:val="left" w:pos="0"/>
        </w:tabs>
        <w:jc w:val="both"/>
        <w:rPr>
          <w:rFonts w:ascii="Arial" w:hAnsi="Arial" w:cs="Arial"/>
        </w:rPr>
      </w:pPr>
      <w:r>
        <w:rPr>
          <w:rFonts w:ascii="Arial" w:hAnsi="Arial" w:cs="Arial"/>
        </w:rPr>
        <w:t>Les projets et activités à entreprendre</w:t>
      </w:r>
    </w:p>
    <w:p w:rsidR="001B02DD" w:rsidRDefault="00E35FBD" w:rsidP="00BA1FEC">
      <w:pPr>
        <w:pStyle w:val="Paragraphedeliste"/>
        <w:numPr>
          <w:ilvl w:val="0"/>
          <w:numId w:val="3"/>
        </w:numPr>
        <w:tabs>
          <w:tab w:val="left" w:pos="0"/>
        </w:tabs>
        <w:jc w:val="both"/>
        <w:rPr>
          <w:rFonts w:ascii="Arial" w:hAnsi="Arial" w:cs="Arial"/>
        </w:rPr>
      </w:pPr>
      <w:r>
        <w:rPr>
          <w:rFonts w:ascii="Arial" w:hAnsi="Arial" w:cs="Arial"/>
        </w:rPr>
        <w:t>Le délai des projets individuels.</w:t>
      </w:r>
    </w:p>
    <w:p w:rsidR="001B02DD" w:rsidRDefault="001B02DD" w:rsidP="00BA1FEC">
      <w:pPr>
        <w:pStyle w:val="Paragraphedeliste"/>
        <w:tabs>
          <w:tab w:val="left" w:pos="0"/>
        </w:tabs>
        <w:jc w:val="both"/>
        <w:rPr>
          <w:rFonts w:ascii="Arial" w:hAnsi="Arial" w:cs="Arial"/>
        </w:rPr>
      </w:pPr>
    </w:p>
    <w:p w:rsidR="001B02DD" w:rsidRDefault="00E35FBD" w:rsidP="00BA1FEC">
      <w:pPr>
        <w:pStyle w:val="Paragraphedeliste"/>
        <w:numPr>
          <w:ilvl w:val="0"/>
          <w:numId w:val="2"/>
        </w:numPr>
        <w:tabs>
          <w:tab w:val="left" w:pos="0"/>
        </w:tabs>
        <w:jc w:val="both"/>
      </w:pPr>
      <w:r>
        <w:rPr>
          <w:rFonts w:ascii="Arial" w:hAnsi="Arial" w:cs="Arial"/>
        </w:rPr>
        <w:t xml:space="preserve">Souligne les approches stratégiques à prendre pour atteindre et mettre en place les objectifs d’IPEX, comme établis par la Conférence des Présidents et expliqués par les </w:t>
      </w:r>
      <w:r>
        <w:rPr>
          <w:rFonts w:ascii="Arial" w:hAnsi="Arial" w:cs="Arial"/>
        </w:rPr>
        <w:lastRenderedPageBreak/>
        <w:t xml:space="preserve">Secrétaires </w:t>
      </w:r>
      <w:r w:rsidR="00244E53">
        <w:rPr>
          <w:rFonts w:ascii="Arial" w:hAnsi="Arial" w:cs="Arial"/>
        </w:rPr>
        <w:t>g</w:t>
      </w:r>
      <w:r>
        <w:rPr>
          <w:rFonts w:ascii="Arial" w:hAnsi="Arial" w:cs="Arial"/>
        </w:rPr>
        <w:t>énéraux dans les documents de base d’IPEX</w:t>
      </w:r>
      <w:r>
        <w:rPr>
          <w:rStyle w:val="Appelnotedebasdep"/>
          <w:rFonts w:ascii="Arial" w:hAnsi="Arial" w:cs="Arial"/>
        </w:rPr>
        <w:footnoteReference w:id="4"/>
      </w:r>
      <w:r>
        <w:rPr>
          <w:rFonts w:ascii="Arial" w:hAnsi="Arial" w:cs="Arial"/>
        </w:rPr>
        <w:t xml:space="preserve">, en lien avec le public visé et les informations et services fournis par IPEX. </w:t>
      </w:r>
    </w:p>
    <w:p w:rsidR="001B02DD" w:rsidRDefault="001B02DD" w:rsidP="00BA1FEC">
      <w:pPr>
        <w:pStyle w:val="Paragraphedeliste"/>
        <w:tabs>
          <w:tab w:val="left" w:pos="0"/>
        </w:tabs>
        <w:jc w:val="both"/>
        <w:rPr>
          <w:rFonts w:ascii="Arial" w:hAnsi="Arial" w:cs="Arial"/>
        </w:rPr>
      </w:pPr>
    </w:p>
    <w:p w:rsidR="001B02DD" w:rsidRDefault="00E35FBD" w:rsidP="00BA1FEC">
      <w:pPr>
        <w:pStyle w:val="Paragraphedeliste"/>
        <w:numPr>
          <w:ilvl w:val="0"/>
          <w:numId w:val="2"/>
        </w:numPr>
        <w:tabs>
          <w:tab w:val="left" w:pos="0"/>
        </w:tabs>
        <w:jc w:val="both"/>
      </w:pPr>
      <w:r>
        <w:rPr>
          <w:rFonts w:ascii="Arial" w:hAnsi="Arial" w:cs="Arial"/>
        </w:rPr>
        <w:t>Définit les lignes directrices de l’entretien à court-terme et de la maintenance du site</w:t>
      </w:r>
      <w:r w:rsidR="00244E53">
        <w:rPr>
          <w:rFonts w:ascii="Arial" w:hAnsi="Arial" w:cs="Arial"/>
        </w:rPr>
        <w:t xml:space="preserve"> web</w:t>
      </w:r>
      <w:r>
        <w:rPr>
          <w:rFonts w:ascii="Arial" w:hAnsi="Arial" w:cs="Arial"/>
        </w:rPr>
        <w:t xml:space="preserve">, </w:t>
      </w:r>
      <w:r w:rsidR="00244E53">
        <w:rPr>
          <w:rFonts w:ascii="Arial" w:hAnsi="Arial" w:cs="Arial"/>
        </w:rPr>
        <w:t xml:space="preserve">dont </w:t>
      </w:r>
      <w:r>
        <w:rPr>
          <w:rFonts w:ascii="Arial" w:hAnsi="Arial" w:cs="Arial"/>
        </w:rPr>
        <w:t>la procédure et les acteurs (flux de travail) pour valider les changements en cours et les mises à jour, prenant en compte les « règles d’éditions générales d’IPEX » adoptées par le Conseil.</w:t>
      </w:r>
      <w:r>
        <w:rPr>
          <w:rStyle w:val="Appelnotedebasdep"/>
          <w:rFonts w:ascii="Arial" w:hAnsi="Arial" w:cs="Arial"/>
        </w:rPr>
        <w:footnoteReference w:id="5"/>
      </w:r>
    </w:p>
    <w:p w:rsidR="001B02DD" w:rsidRDefault="001B02DD" w:rsidP="00BA1FEC">
      <w:pPr>
        <w:pStyle w:val="Paragraphedeliste"/>
        <w:tabs>
          <w:tab w:val="left" w:pos="0"/>
        </w:tabs>
        <w:jc w:val="both"/>
        <w:rPr>
          <w:rFonts w:ascii="Arial" w:hAnsi="Arial" w:cs="Arial"/>
        </w:rPr>
      </w:pPr>
    </w:p>
    <w:p w:rsidR="001B02DD" w:rsidRDefault="00E35FBD" w:rsidP="00BA1FEC">
      <w:pPr>
        <w:pStyle w:val="Paragraphedeliste"/>
        <w:numPr>
          <w:ilvl w:val="0"/>
          <w:numId w:val="2"/>
        </w:numPr>
        <w:tabs>
          <w:tab w:val="left" w:pos="0"/>
        </w:tabs>
        <w:jc w:val="both"/>
        <w:rPr>
          <w:rFonts w:ascii="Arial" w:hAnsi="Arial" w:cs="Arial"/>
        </w:rPr>
      </w:pPr>
      <w:r>
        <w:rPr>
          <w:rFonts w:ascii="Arial" w:hAnsi="Arial" w:cs="Arial"/>
        </w:rPr>
        <w:t xml:space="preserve">Identifie comment impliquer activement les Correspondants </w:t>
      </w:r>
      <w:r w:rsidR="00331AD7">
        <w:rPr>
          <w:rFonts w:ascii="Arial" w:hAnsi="Arial" w:cs="Arial"/>
        </w:rPr>
        <w:t>n</w:t>
      </w:r>
      <w:r>
        <w:rPr>
          <w:rFonts w:ascii="Arial" w:hAnsi="Arial" w:cs="Arial"/>
        </w:rPr>
        <w:t>ationaux dans l’accomplissement</w:t>
      </w:r>
      <w:r w:rsidR="00331AD7">
        <w:rPr>
          <w:rFonts w:ascii="Arial" w:hAnsi="Arial" w:cs="Arial"/>
        </w:rPr>
        <w:t>/réalisation</w:t>
      </w:r>
      <w:r>
        <w:rPr>
          <w:rFonts w:ascii="Arial" w:hAnsi="Arial" w:cs="Arial"/>
        </w:rPr>
        <w:t xml:space="preserve"> des buts de la SD.</w:t>
      </w:r>
    </w:p>
    <w:p w:rsidR="001B02DD" w:rsidRDefault="001B02DD" w:rsidP="00BA1FEC">
      <w:pPr>
        <w:pStyle w:val="Paragraphedeliste"/>
        <w:tabs>
          <w:tab w:val="left" w:pos="0"/>
        </w:tabs>
        <w:jc w:val="both"/>
        <w:rPr>
          <w:rFonts w:ascii="Arial" w:hAnsi="Arial" w:cs="Arial"/>
        </w:rPr>
      </w:pPr>
    </w:p>
    <w:p w:rsidR="001B02DD" w:rsidRDefault="00E35FBD" w:rsidP="00BA1FEC">
      <w:pPr>
        <w:pStyle w:val="Paragraphedeliste"/>
        <w:numPr>
          <w:ilvl w:val="0"/>
          <w:numId w:val="2"/>
        </w:numPr>
        <w:tabs>
          <w:tab w:val="left" w:pos="0"/>
        </w:tabs>
        <w:jc w:val="both"/>
        <w:rPr>
          <w:rFonts w:ascii="Arial" w:hAnsi="Arial" w:cs="Arial"/>
        </w:rPr>
      </w:pPr>
      <w:r>
        <w:rPr>
          <w:rFonts w:ascii="Arial" w:hAnsi="Arial" w:cs="Arial"/>
        </w:rPr>
        <w:t>Décrit les relations avec les autres acteurs et plateformes dans le cadre de l’échange d’information de l’UE.</w:t>
      </w:r>
    </w:p>
    <w:p w:rsidR="001B02DD" w:rsidRDefault="001B02DD" w:rsidP="00BA1FEC">
      <w:pPr>
        <w:pStyle w:val="Paragraphedeliste"/>
        <w:tabs>
          <w:tab w:val="left" w:pos="0"/>
        </w:tabs>
        <w:jc w:val="both"/>
        <w:rPr>
          <w:rFonts w:ascii="Arial" w:hAnsi="Arial" w:cs="Arial"/>
        </w:rPr>
      </w:pPr>
    </w:p>
    <w:p w:rsidR="001B02DD" w:rsidRDefault="00E35FBD" w:rsidP="00BA1FEC">
      <w:pPr>
        <w:pStyle w:val="Paragraphedeliste"/>
        <w:numPr>
          <w:ilvl w:val="0"/>
          <w:numId w:val="2"/>
        </w:numPr>
        <w:tabs>
          <w:tab w:val="left" w:pos="0"/>
        </w:tabs>
        <w:jc w:val="both"/>
        <w:rPr>
          <w:rFonts w:ascii="Arial" w:hAnsi="Arial" w:cs="Arial"/>
        </w:rPr>
      </w:pPr>
      <w:r>
        <w:rPr>
          <w:rFonts w:ascii="Arial" w:hAnsi="Arial" w:cs="Arial"/>
        </w:rPr>
        <w:t>Identifie les actions</w:t>
      </w:r>
      <w:r w:rsidR="00331AD7">
        <w:rPr>
          <w:rFonts w:ascii="Arial" w:hAnsi="Arial" w:cs="Arial"/>
        </w:rPr>
        <w:t xml:space="preserve"> pertinentes</w:t>
      </w:r>
      <w:r>
        <w:rPr>
          <w:rFonts w:ascii="Arial" w:hAnsi="Arial" w:cs="Arial"/>
        </w:rPr>
        <w:t xml:space="preserve"> pour la promotion d’IPEX et présente des possibilités pour </w:t>
      </w:r>
      <w:r w:rsidR="00331AD7">
        <w:rPr>
          <w:rFonts w:ascii="Arial" w:hAnsi="Arial" w:cs="Arial"/>
        </w:rPr>
        <w:t>le développement futur de la communication.</w:t>
      </w:r>
      <w:r>
        <w:rPr>
          <w:rFonts w:ascii="Arial" w:hAnsi="Arial" w:cs="Arial"/>
        </w:rPr>
        <w:t xml:space="preserve"> </w:t>
      </w:r>
    </w:p>
    <w:p w:rsidR="001B02DD" w:rsidRDefault="001B02DD" w:rsidP="00BA1FEC">
      <w:pPr>
        <w:pStyle w:val="Paragraphedeliste"/>
        <w:tabs>
          <w:tab w:val="left" w:pos="0"/>
        </w:tabs>
        <w:jc w:val="both"/>
        <w:rPr>
          <w:rFonts w:ascii="Arial" w:hAnsi="Arial" w:cs="Arial"/>
        </w:rPr>
      </w:pPr>
    </w:p>
    <w:p w:rsidR="001B02DD" w:rsidRDefault="00E35FBD" w:rsidP="00BA1FEC">
      <w:pPr>
        <w:pStyle w:val="Titre2"/>
        <w:numPr>
          <w:ilvl w:val="1"/>
          <w:numId w:val="10"/>
        </w:numPr>
        <w:tabs>
          <w:tab w:val="left" w:pos="0"/>
        </w:tabs>
      </w:pPr>
      <w:bookmarkStart w:id="3" w:name="_Toc475103153"/>
      <w:r>
        <w:t>Public visé</w:t>
      </w:r>
      <w:bookmarkEnd w:id="3"/>
    </w:p>
    <w:p w:rsidR="001B02DD" w:rsidRDefault="00331AD7" w:rsidP="00BA1FEC">
      <w:pPr>
        <w:tabs>
          <w:tab w:val="left" w:pos="0"/>
        </w:tabs>
        <w:jc w:val="both"/>
        <w:rPr>
          <w:rFonts w:ascii="Arial" w:hAnsi="Arial" w:cs="Arial"/>
        </w:rPr>
      </w:pPr>
      <w:r>
        <w:rPr>
          <w:rFonts w:ascii="Arial" w:hAnsi="Arial" w:cs="Arial"/>
        </w:rPr>
        <w:t>Alors qu’</w:t>
      </w:r>
      <w:r w:rsidR="00E35FBD">
        <w:rPr>
          <w:rFonts w:ascii="Arial" w:hAnsi="Arial" w:cs="Arial"/>
        </w:rPr>
        <w:t xml:space="preserve">’IPEX est ouvert au public en général, les membres et leurs assistants, </w:t>
      </w:r>
      <w:r w:rsidR="00A23B73">
        <w:rPr>
          <w:rFonts w:ascii="Arial" w:hAnsi="Arial" w:cs="Arial"/>
        </w:rPr>
        <w:t xml:space="preserve">les </w:t>
      </w:r>
      <w:r w:rsidR="00E35FBD">
        <w:rPr>
          <w:rFonts w:ascii="Arial" w:hAnsi="Arial" w:cs="Arial"/>
        </w:rPr>
        <w:t xml:space="preserve">groupes politiques et les </w:t>
      </w:r>
      <w:proofErr w:type="gramStart"/>
      <w:r w:rsidR="00E35FBD">
        <w:rPr>
          <w:rFonts w:ascii="Arial" w:hAnsi="Arial" w:cs="Arial"/>
        </w:rPr>
        <w:t xml:space="preserve">fonctionnaires </w:t>
      </w:r>
      <w:r w:rsidR="00A23B73">
        <w:rPr>
          <w:rFonts w:ascii="Arial" w:hAnsi="Arial" w:cs="Arial"/>
        </w:rPr>
        <w:t xml:space="preserve"> des</w:t>
      </w:r>
      <w:proofErr w:type="gramEnd"/>
      <w:r w:rsidR="00A23B73">
        <w:rPr>
          <w:rFonts w:ascii="Arial" w:hAnsi="Arial" w:cs="Arial"/>
        </w:rPr>
        <w:t xml:space="preserve"> P</w:t>
      </w:r>
      <w:r w:rsidR="00E35FBD">
        <w:rPr>
          <w:rFonts w:ascii="Arial" w:hAnsi="Arial" w:cs="Arial"/>
        </w:rPr>
        <w:t xml:space="preserve">arlementaires de l’UE sont les </w:t>
      </w:r>
      <w:r w:rsidR="00A23B73">
        <w:rPr>
          <w:rFonts w:ascii="Arial" w:hAnsi="Arial" w:cs="Arial"/>
        </w:rPr>
        <w:t xml:space="preserve"> sont les groupes principalement visés par IPEX</w:t>
      </w:r>
      <w:r w:rsidR="00E35FBD">
        <w:rPr>
          <w:rFonts w:ascii="Arial" w:hAnsi="Arial" w:cs="Arial"/>
        </w:rPr>
        <w:t>. Les actions entreprises en vue du développement</w:t>
      </w:r>
      <w:r w:rsidR="00A23B73">
        <w:rPr>
          <w:rFonts w:ascii="Arial" w:hAnsi="Arial" w:cs="Arial"/>
        </w:rPr>
        <w:t xml:space="preserve"> futur</w:t>
      </w:r>
      <w:r w:rsidR="003A3B4D">
        <w:rPr>
          <w:rFonts w:ascii="Arial" w:hAnsi="Arial" w:cs="Arial"/>
        </w:rPr>
        <w:t xml:space="preserve"> </w:t>
      </w:r>
      <w:r w:rsidR="00E35FBD">
        <w:rPr>
          <w:rFonts w:ascii="Arial" w:hAnsi="Arial" w:cs="Arial"/>
        </w:rPr>
        <w:t>de la plateforme devront se focaliser principalement sur les besoins de ces groupes d’utilisateurs.</w:t>
      </w:r>
    </w:p>
    <w:p w:rsidR="001B02DD" w:rsidRDefault="001B02DD" w:rsidP="00BA1FEC">
      <w:pPr>
        <w:tabs>
          <w:tab w:val="left" w:pos="0"/>
        </w:tabs>
        <w:jc w:val="both"/>
        <w:rPr>
          <w:rFonts w:ascii="Arial" w:hAnsi="Arial" w:cs="Arial"/>
        </w:rPr>
      </w:pPr>
    </w:p>
    <w:p w:rsidR="001B02DD" w:rsidRDefault="00E35FBD" w:rsidP="00BA1FEC">
      <w:pPr>
        <w:pStyle w:val="Titre2"/>
        <w:numPr>
          <w:ilvl w:val="1"/>
          <w:numId w:val="10"/>
        </w:numPr>
        <w:tabs>
          <w:tab w:val="left" w:pos="0"/>
        </w:tabs>
      </w:pPr>
      <w:bookmarkStart w:id="4" w:name="_Toc475103154"/>
      <w:r>
        <w:t>Types d’informations à échanger</w:t>
      </w:r>
      <w:bookmarkEnd w:id="4"/>
    </w:p>
    <w:p w:rsidR="001B02DD" w:rsidRDefault="00E35FBD" w:rsidP="00BA1FEC">
      <w:pPr>
        <w:tabs>
          <w:tab w:val="left" w:pos="0"/>
        </w:tabs>
        <w:jc w:val="both"/>
        <w:rPr>
          <w:rFonts w:ascii="Arial" w:hAnsi="Arial" w:cs="Arial"/>
        </w:rPr>
      </w:pPr>
      <w:r>
        <w:rPr>
          <w:rFonts w:ascii="Arial" w:hAnsi="Arial" w:cs="Arial"/>
        </w:rPr>
        <w:t xml:space="preserve">IPEX en tant que réseau de personnes et plateforme multifonctionnelle </w:t>
      </w:r>
      <w:r w:rsidR="00A23B73">
        <w:rPr>
          <w:rFonts w:ascii="Arial" w:hAnsi="Arial" w:cs="Arial"/>
        </w:rPr>
        <w:t>doit</w:t>
      </w:r>
      <w:r w:rsidR="003A3B4D">
        <w:rPr>
          <w:rFonts w:ascii="Arial" w:hAnsi="Arial" w:cs="Arial"/>
        </w:rPr>
        <w:t xml:space="preserve"> </w:t>
      </w:r>
      <w:r>
        <w:rPr>
          <w:rFonts w:ascii="Arial" w:hAnsi="Arial" w:cs="Arial"/>
        </w:rPr>
        <w:t>fournir les types d’informations suivants :</w:t>
      </w:r>
    </w:p>
    <w:p w:rsidR="001B02DD" w:rsidRDefault="00E35FBD" w:rsidP="00360D99">
      <w:pPr>
        <w:tabs>
          <w:tab w:val="left" w:pos="0"/>
        </w:tabs>
        <w:ind w:left="709" w:hanging="709"/>
        <w:jc w:val="both"/>
      </w:pPr>
      <w:r>
        <w:rPr>
          <w:rFonts w:ascii="Arial" w:hAnsi="Arial" w:cs="Arial"/>
          <w:b/>
        </w:rPr>
        <w:t>I1.</w:t>
      </w:r>
      <w:r>
        <w:rPr>
          <w:rFonts w:ascii="Arial" w:hAnsi="Arial" w:cs="Arial"/>
        </w:rPr>
        <w:tab/>
      </w:r>
      <w:proofErr w:type="gramStart"/>
      <w:r w:rsidR="00360D99">
        <w:rPr>
          <w:rFonts w:ascii="Arial" w:hAnsi="Arial" w:cs="Arial"/>
        </w:rPr>
        <w:t>p</w:t>
      </w:r>
      <w:r>
        <w:rPr>
          <w:rFonts w:ascii="Arial" w:hAnsi="Arial" w:cs="Arial"/>
        </w:rPr>
        <w:t>r</w:t>
      </w:r>
      <w:r w:rsidR="00360D99">
        <w:rPr>
          <w:rFonts w:ascii="Arial" w:hAnsi="Arial" w:cs="Arial"/>
        </w:rPr>
        <w:t>ojets</w:t>
      </w:r>
      <w:proofErr w:type="gramEnd"/>
      <w:r w:rsidR="00360D99">
        <w:rPr>
          <w:rFonts w:ascii="Arial" w:hAnsi="Arial" w:cs="Arial"/>
        </w:rPr>
        <w:t xml:space="preserve"> </w:t>
      </w:r>
      <w:r>
        <w:rPr>
          <w:rFonts w:ascii="Arial" w:hAnsi="Arial" w:cs="Arial"/>
        </w:rPr>
        <w:t xml:space="preserve">d’actes législatifs de l’UE et autres documents transmis aux </w:t>
      </w:r>
      <w:r w:rsidR="00A23B73">
        <w:rPr>
          <w:rFonts w:ascii="Arial" w:hAnsi="Arial" w:cs="Arial"/>
        </w:rPr>
        <w:t xml:space="preserve">parlements nationaux </w:t>
      </w:r>
      <w:r>
        <w:rPr>
          <w:rFonts w:ascii="Arial" w:hAnsi="Arial" w:cs="Arial"/>
        </w:rPr>
        <w:t>par les institutions de l’UE</w:t>
      </w:r>
      <w:r w:rsidR="00A23B73">
        <w:rPr>
          <w:rFonts w:ascii="Arial" w:hAnsi="Arial" w:cs="Arial"/>
        </w:rPr>
        <w:t> ;</w:t>
      </w:r>
    </w:p>
    <w:p w:rsidR="001B02DD" w:rsidRDefault="00E35FBD" w:rsidP="00360D99">
      <w:pPr>
        <w:tabs>
          <w:tab w:val="left" w:pos="0"/>
        </w:tabs>
        <w:ind w:left="709" w:hanging="709"/>
        <w:jc w:val="both"/>
      </w:pPr>
      <w:r>
        <w:rPr>
          <w:rFonts w:ascii="Arial" w:hAnsi="Arial" w:cs="Arial"/>
          <w:b/>
        </w:rPr>
        <w:t>I2.</w:t>
      </w:r>
      <w:r>
        <w:rPr>
          <w:rFonts w:ascii="Arial" w:hAnsi="Arial" w:cs="Arial"/>
        </w:rPr>
        <w:t xml:space="preserve"> </w:t>
      </w:r>
      <w:r>
        <w:rPr>
          <w:rFonts w:ascii="Arial" w:hAnsi="Arial" w:cs="Arial"/>
        </w:rPr>
        <w:tab/>
      </w:r>
      <w:r w:rsidRPr="002C5363">
        <w:rPr>
          <w:rFonts w:ascii="Arial" w:hAnsi="Arial" w:cs="Arial"/>
          <w:i/>
        </w:rPr>
        <w:t>Lettres de saisine</w:t>
      </w:r>
      <w:r>
        <w:rPr>
          <w:rFonts w:ascii="Arial" w:hAnsi="Arial" w:cs="Arial"/>
        </w:rPr>
        <w:t xml:space="preserve"> et informations sur les délais indicatifs pour les examens de subsidiarité calculés sur la base de</w:t>
      </w:r>
      <w:r w:rsidR="00A23B73">
        <w:rPr>
          <w:rFonts w:ascii="Arial" w:hAnsi="Arial" w:cs="Arial"/>
        </w:rPr>
        <w:t>s</w:t>
      </w:r>
      <w:r>
        <w:rPr>
          <w:rFonts w:ascii="Arial" w:hAnsi="Arial" w:cs="Arial"/>
        </w:rPr>
        <w:t xml:space="preserve"> </w:t>
      </w:r>
      <w:r w:rsidRPr="002C5363">
        <w:rPr>
          <w:rFonts w:ascii="Arial" w:hAnsi="Arial" w:cs="Arial"/>
          <w:i/>
        </w:rPr>
        <w:t>lettres de saisine</w:t>
      </w:r>
      <w:r>
        <w:rPr>
          <w:rFonts w:ascii="Arial" w:hAnsi="Arial" w:cs="Arial"/>
        </w:rPr>
        <w:t>.</w:t>
      </w:r>
    </w:p>
    <w:p w:rsidR="001B02DD" w:rsidRDefault="00E35FBD" w:rsidP="00360D99">
      <w:pPr>
        <w:tabs>
          <w:tab w:val="left" w:pos="0"/>
        </w:tabs>
        <w:ind w:left="709" w:hanging="709"/>
        <w:jc w:val="both"/>
      </w:pPr>
      <w:r>
        <w:rPr>
          <w:rFonts w:ascii="Arial" w:hAnsi="Arial" w:cs="Arial"/>
          <w:b/>
        </w:rPr>
        <w:t>I3.</w:t>
      </w:r>
      <w:r w:rsidR="00360D99">
        <w:rPr>
          <w:rFonts w:ascii="Arial" w:hAnsi="Arial" w:cs="Arial"/>
        </w:rPr>
        <w:tab/>
      </w:r>
      <w:proofErr w:type="gramStart"/>
      <w:r w:rsidR="00A23B73">
        <w:rPr>
          <w:rFonts w:ascii="Arial" w:hAnsi="Arial" w:cs="Arial"/>
        </w:rPr>
        <w:t>d</w:t>
      </w:r>
      <w:r>
        <w:rPr>
          <w:rFonts w:ascii="Arial" w:hAnsi="Arial" w:cs="Arial"/>
        </w:rPr>
        <w:t>ocuments</w:t>
      </w:r>
      <w:proofErr w:type="gramEnd"/>
      <w:r>
        <w:rPr>
          <w:rFonts w:ascii="Arial" w:hAnsi="Arial" w:cs="Arial"/>
        </w:rPr>
        <w:t xml:space="preserve"> et informations des Parlements </w:t>
      </w:r>
      <w:r w:rsidR="00A23B73">
        <w:rPr>
          <w:rFonts w:ascii="Arial" w:hAnsi="Arial" w:cs="Arial"/>
        </w:rPr>
        <w:t>n</w:t>
      </w:r>
      <w:r>
        <w:rPr>
          <w:rFonts w:ascii="Arial" w:hAnsi="Arial" w:cs="Arial"/>
        </w:rPr>
        <w:t xml:space="preserve">ationaux concernant </w:t>
      </w:r>
      <w:r w:rsidR="00A23B73">
        <w:rPr>
          <w:rFonts w:ascii="Arial" w:hAnsi="Arial" w:cs="Arial"/>
        </w:rPr>
        <w:t xml:space="preserve">le contrôle parlementaire en général </w:t>
      </w:r>
      <w:r>
        <w:rPr>
          <w:rFonts w:ascii="Arial" w:hAnsi="Arial" w:cs="Arial"/>
        </w:rPr>
        <w:t>des documents de l’UE</w:t>
      </w:r>
      <w:r w:rsidR="00A23B73">
        <w:rPr>
          <w:rFonts w:ascii="Arial" w:hAnsi="Arial" w:cs="Arial"/>
        </w:rPr>
        <w:t> ;</w:t>
      </w:r>
    </w:p>
    <w:p w:rsidR="001B02DD" w:rsidRDefault="00E35FBD" w:rsidP="00360D99">
      <w:pPr>
        <w:tabs>
          <w:tab w:val="left" w:pos="0"/>
        </w:tabs>
        <w:ind w:left="709" w:hanging="709"/>
        <w:jc w:val="both"/>
      </w:pPr>
      <w:r>
        <w:rPr>
          <w:rFonts w:ascii="Arial" w:hAnsi="Arial" w:cs="Arial"/>
          <w:b/>
        </w:rPr>
        <w:t>I4.</w:t>
      </w:r>
      <w:r w:rsidR="00360D99">
        <w:rPr>
          <w:rFonts w:ascii="Arial" w:hAnsi="Arial" w:cs="Arial"/>
        </w:rPr>
        <w:tab/>
      </w:r>
      <w:proofErr w:type="gramStart"/>
      <w:r w:rsidR="00A23B73">
        <w:rPr>
          <w:rFonts w:ascii="Arial" w:hAnsi="Arial" w:cs="Arial"/>
        </w:rPr>
        <w:t>a</w:t>
      </w:r>
      <w:r>
        <w:rPr>
          <w:rFonts w:ascii="Arial" w:hAnsi="Arial" w:cs="Arial"/>
        </w:rPr>
        <w:t>vis</w:t>
      </w:r>
      <w:proofErr w:type="gramEnd"/>
      <w:r>
        <w:rPr>
          <w:rFonts w:ascii="Arial" w:hAnsi="Arial" w:cs="Arial"/>
        </w:rPr>
        <w:t xml:space="preserve"> motivés et autres informations </w:t>
      </w:r>
      <w:r w:rsidR="00360D99">
        <w:rPr>
          <w:rFonts w:ascii="Arial" w:hAnsi="Arial" w:cs="Arial"/>
        </w:rPr>
        <w:t xml:space="preserve">pertinentes </w:t>
      </w:r>
      <w:r>
        <w:rPr>
          <w:rFonts w:ascii="Arial" w:hAnsi="Arial" w:cs="Arial"/>
        </w:rPr>
        <w:t xml:space="preserve">des Parlements </w:t>
      </w:r>
      <w:r w:rsidR="00A23B73">
        <w:rPr>
          <w:rFonts w:ascii="Arial" w:hAnsi="Arial" w:cs="Arial"/>
        </w:rPr>
        <w:t>n</w:t>
      </w:r>
      <w:r>
        <w:rPr>
          <w:rFonts w:ascii="Arial" w:hAnsi="Arial" w:cs="Arial"/>
        </w:rPr>
        <w:t>ationaux concernant le contrôle de subsidiarité</w:t>
      </w:r>
      <w:r w:rsidR="00A23B73">
        <w:rPr>
          <w:rFonts w:ascii="Arial" w:hAnsi="Arial" w:cs="Arial"/>
        </w:rPr>
        <w:t> ;</w:t>
      </w:r>
    </w:p>
    <w:p w:rsidR="001B02DD" w:rsidRDefault="00E35FBD" w:rsidP="00360D99">
      <w:pPr>
        <w:tabs>
          <w:tab w:val="left" w:pos="0"/>
        </w:tabs>
        <w:ind w:left="709" w:hanging="709"/>
        <w:jc w:val="both"/>
      </w:pPr>
      <w:r>
        <w:rPr>
          <w:rFonts w:ascii="Arial" w:hAnsi="Arial" w:cs="Arial"/>
          <w:b/>
        </w:rPr>
        <w:t>I5.</w:t>
      </w:r>
      <w:r w:rsidR="00360D99">
        <w:rPr>
          <w:rFonts w:ascii="Arial" w:hAnsi="Arial" w:cs="Arial"/>
        </w:rPr>
        <w:tab/>
      </w:r>
      <w:proofErr w:type="gramStart"/>
      <w:r w:rsidR="00A23B73">
        <w:rPr>
          <w:rFonts w:ascii="Arial" w:hAnsi="Arial" w:cs="Arial"/>
        </w:rPr>
        <w:t>n</w:t>
      </w:r>
      <w:r>
        <w:rPr>
          <w:rFonts w:ascii="Arial" w:hAnsi="Arial" w:cs="Arial"/>
        </w:rPr>
        <w:t>ouvelles</w:t>
      </w:r>
      <w:proofErr w:type="gramEnd"/>
      <w:r>
        <w:rPr>
          <w:rFonts w:ascii="Arial" w:hAnsi="Arial" w:cs="Arial"/>
        </w:rPr>
        <w:t xml:space="preserve"> des Parlements, incluant des informations structurées (ex : bulletins)</w:t>
      </w:r>
      <w:r w:rsidR="00A23B73">
        <w:rPr>
          <w:rFonts w:ascii="Arial" w:hAnsi="Arial" w:cs="Arial"/>
        </w:rPr>
        <w:t> ;</w:t>
      </w:r>
    </w:p>
    <w:p w:rsidR="001B02DD" w:rsidRDefault="00E35FBD" w:rsidP="00360D99">
      <w:pPr>
        <w:tabs>
          <w:tab w:val="left" w:pos="0"/>
        </w:tabs>
        <w:ind w:left="709" w:hanging="709"/>
        <w:jc w:val="both"/>
      </w:pPr>
      <w:r>
        <w:rPr>
          <w:rFonts w:ascii="Arial" w:hAnsi="Arial" w:cs="Arial"/>
          <w:b/>
        </w:rPr>
        <w:lastRenderedPageBreak/>
        <w:t>I6.</w:t>
      </w:r>
      <w:r w:rsidR="00360D99">
        <w:rPr>
          <w:rFonts w:ascii="Arial" w:hAnsi="Arial" w:cs="Arial"/>
        </w:rPr>
        <w:tab/>
      </w:r>
      <w:proofErr w:type="gramStart"/>
      <w:r w:rsidR="00A23B73">
        <w:rPr>
          <w:rFonts w:ascii="Arial" w:hAnsi="Arial" w:cs="Arial"/>
        </w:rPr>
        <w:t>i</w:t>
      </w:r>
      <w:r>
        <w:rPr>
          <w:rFonts w:ascii="Arial" w:hAnsi="Arial" w:cs="Arial"/>
        </w:rPr>
        <w:t>nformations</w:t>
      </w:r>
      <w:proofErr w:type="gramEnd"/>
      <w:r>
        <w:rPr>
          <w:rFonts w:ascii="Arial" w:hAnsi="Arial" w:cs="Arial"/>
        </w:rPr>
        <w:t xml:space="preserve"> et documents </w:t>
      </w:r>
      <w:r w:rsidR="00A23B73">
        <w:rPr>
          <w:rFonts w:ascii="Arial" w:hAnsi="Arial" w:cs="Arial"/>
        </w:rPr>
        <w:t xml:space="preserve">sur la </w:t>
      </w:r>
      <w:r>
        <w:rPr>
          <w:rFonts w:ascii="Arial" w:hAnsi="Arial" w:cs="Arial"/>
        </w:rPr>
        <w:t xml:space="preserve">coopération interparlementaire, </w:t>
      </w:r>
      <w:r w:rsidR="00A23B73">
        <w:rPr>
          <w:rFonts w:ascii="Arial" w:hAnsi="Arial" w:cs="Arial"/>
        </w:rPr>
        <w:t xml:space="preserve">dont </w:t>
      </w:r>
      <w:r>
        <w:rPr>
          <w:rFonts w:ascii="Arial" w:hAnsi="Arial" w:cs="Arial"/>
        </w:rPr>
        <w:t>un calendrier des événements</w:t>
      </w:r>
      <w:r w:rsidR="00A23B73">
        <w:rPr>
          <w:rFonts w:ascii="Arial" w:hAnsi="Arial" w:cs="Arial"/>
        </w:rPr>
        <w:t> ;</w:t>
      </w:r>
    </w:p>
    <w:p w:rsidR="001B02DD" w:rsidRDefault="00E35FBD" w:rsidP="00360D99">
      <w:pPr>
        <w:tabs>
          <w:tab w:val="left" w:pos="0"/>
        </w:tabs>
        <w:ind w:left="709" w:hanging="709"/>
        <w:jc w:val="both"/>
      </w:pPr>
      <w:r>
        <w:rPr>
          <w:rFonts w:ascii="Arial" w:hAnsi="Arial" w:cs="Arial"/>
          <w:b/>
        </w:rPr>
        <w:t>I7.</w:t>
      </w:r>
      <w:r w:rsidR="00360D99">
        <w:rPr>
          <w:rFonts w:ascii="Arial" w:hAnsi="Arial" w:cs="Arial"/>
        </w:rPr>
        <w:tab/>
      </w:r>
      <w:proofErr w:type="gramStart"/>
      <w:r w:rsidR="00A23B73">
        <w:rPr>
          <w:rFonts w:ascii="Arial" w:hAnsi="Arial" w:cs="Arial"/>
        </w:rPr>
        <w:t>i</w:t>
      </w:r>
      <w:r>
        <w:rPr>
          <w:rFonts w:ascii="Arial" w:hAnsi="Arial" w:cs="Arial"/>
        </w:rPr>
        <w:t>nformations</w:t>
      </w:r>
      <w:proofErr w:type="gramEnd"/>
      <w:r>
        <w:rPr>
          <w:rFonts w:ascii="Arial" w:hAnsi="Arial" w:cs="Arial"/>
        </w:rPr>
        <w:t xml:space="preserve"> </w:t>
      </w:r>
      <w:r w:rsidR="00A23B73">
        <w:rPr>
          <w:rFonts w:ascii="Arial" w:hAnsi="Arial" w:cs="Arial"/>
        </w:rPr>
        <w:t>concernant les personnes de contact;</w:t>
      </w:r>
    </w:p>
    <w:p w:rsidR="00A23B73" w:rsidRPr="002C5363" w:rsidRDefault="00E35FBD" w:rsidP="00360D99">
      <w:pPr>
        <w:tabs>
          <w:tab w:val="left" w:pos="0"/>
        </w:tabs>
        <w:ind w:left="709" w:hanging="709"/>
        <w:jc w:val="both"/>
        <w:rPr>
          <w:rFonts w:ascii="Arial" w:hAnsi="Arial" w:cs="Arial"/>
        </w:rPr>
      </w:pPr>
      <w:r>
        <w:rPr>
          <w:rFonts w:ascii="Arial" w:hAnsi="Arial" w:cs="Arial"/>
          <w:b/>
        </w:rPr>
        <w:t>I8.</w:t>
      </w:r>
      <w:r w:rsidR="00360D99">
        <w:rPr>
          <w:rFonts w:ascii="Arial" w:hAnsi="Arial" w:cs="Arial"/>
        </w:rPr>
        <w:tab/>
      </w:r>
      <w:proofErr w:type="gramStart"/>
      <w:r w:rsidR="00A23B73">
        <w:rPr>
          <w:rFonts w:ascii="Arial" w:hAnsi="Arial" w:cs="Arial"/>
        </w:rPr>
        <w:t>i</w:t>
      </w:r>
      <w:r>
        <w:rPr>
          <w:rFonts w:ascii="Arial" w:hAnsi="Arial" w:cs="Arial"/>
        </w:rPr>
        <w:t>nformations</w:t>
      </w:r>
      <w:proofErr w:type="gramEnd"/>
      <w:r>
        <w:rPr>
          <w:rFonts w:ascii="Arial" w:hAnsi="Arial" w:cs="Arial"/>
        </w:rPr>
        <w:t xml:space="preserve"> essentielles sur les </w:t>
      </w:r>
      <w:r w:rsidR="00A23B73">
        <w:rPr>
          <w:rFonts w:ascii="Arial" w:hAnsi="Arial" w:cs="Arial"/>
        </w:rPr>
        <w:t>P</w:t>
      </w:r>
      <w:r>
        <w:rPr>
          <w:rFonts w:ascii="Arial" w:hAnsi="Arial" w:cs="Arial"/>
        </w:rPr>
        <w:t xml:space="preserve">arlements nationaux et leurs </w:t>
      </w:r>
      <w:r w:rsidR="00360D99">
        <w:rPr>
          <w:rFonts w:ascii="Arial" w:hAnsi="Arial" w:cs="Arial"/>
        </w:rPr>
        <w:t>procédures en</w:t>
      </w:r>
      <w:r w:rsidR="00A23B73">
        <w:rPr>
          <w:rFonts w:ascii="Arial" w:hAnsi="Arial" w:cs="Arial"/>
        </w:rPr>
        <w:t xml:space="preserve"> matière d’affaires européennes ;</w:t>
      </w:r>
    </w:p>
    <w:p w:rsidR="001B02DD" w:rsidRDefault="00E35FBD" w:rsidP="00360D99">
      <w:pPr>
        <w:tabs>
          <w:tab w:val="left" w:pos="0"/>
        </w:tabs>
        <w:ind w:left="709" w:hanging="709"/>
        <w:jc w:val="both"/>
      </w:pPr>
      <w:proofErr w:type="gramStart"/>
      <w:r>
        <w:rPr>
          <w:rFonts w:ascii="Arial" w:hAnsi="Arial" w:cs="Arial"/>
          <w:b/>
        </w:rPr>
        <w:t>l</w:t>
      </w:r>
      <w:proofErr w:type="gramEnd"/>
      <w:r>
        <w:rPr>
          <w:rFonts w:ascii="Arial" w:hAnsi="Arial" w:cs="Arial"/>
          <w:b/>
        </w:rPr>
        <w:t>9.</w:t>
      </w:r>
      <w:r>
        <w:rPr>
          <w:rFonts w:ascii="Arial" w:hAnsi="Arial" w:cs="Arial"/>
        </w:rPr>
        <w:tab/>
      </w:r>
      <w:proofErr w:type="gramStart"/>
      <w:r w:rsidR="00A23B73">
        <w:rPr>
          <w:rFonts w:ascii="Arial" w:hAnsi="Arial" w:cs="Arial"/>
        </w:rPr>
        <w:t>g</w:t>
      </w:r>
      <w:r>
        <w:rPr>
          <w:rFonts w:ascii="Arial" w:hAnsi="Arial" w:cs="Arial"/>
        </w:rPr>
        <w:t>lossaire</w:t>
      </w:r>
      <w:proofErr w:type="gramEnd"/>
      <w:r>
        <w:rPr>
          <w:rFonts w:ascii="Arial" w:hAnsi="Arial" w:cs="Arial"/>
        </w:rPr>
        <w:t xml:space="preserve"> des termes utilisés sur IPEX (sujets à des mises à jour)</w:t>
      </w:r>
      <w:r w:rsidR="00A23B73">
        <w:rPr>
          <w:rFonts w:ascii="Arial" w:hAnsi="Arial" w:cs="Arial"/>
        </w:rPr>
        <w:t> ;</w:t>
      </w:r>
    </w:p>
    <w:p w:rsidR="001B02DD" w:rsidRDefault="00E35FBD" w:rsidP="00360D99">
      <w:pPr>
        <w:tabs>
          <w:tab w:val="left" w:pos="0"/>
        </w:tabs>
        <w:ind w:left="709" w:hanging="709"/>
        <w:jc w:val="both"/>
      </w:pPr>
      <w:r>
        <w:rPr>
          <w:rFonts w:ascii="Arial" w:hAnsi="Arial" w:cs="Arial"/>
          <w:b/>
        </w:rPr>
        <w:t>I10.</w:t>
      </w:r>
      <w:r w:rsidR="00360D99">
        <w:rPr>
          <w:rFonts w:ascii="Arial" w:hAnsi="Arial" w:cs="Arial"/>
        </w:rPr>
        <w:tab/>
      </w:r>
      <w:proofErr w:type="gramStart"/>
      <w:r w:rsidR="00A23B73">
        <w:rPr>
          <w:rFonts w:ascii="Arial" w:hAnsi="Arial" w:cs="Arial"/>
        </w:rPr>
        <w:t>d</w:t>
      </w:r>
      <w:r>
        <w:rPr>
          <w:rFonts w:ascii="Arial" w:hAnsi="Arial" w:cs="Arial"/>
        </w:rPr>
        <w:t>ocuments</w:t>
      </w:r>
      <w:proofErr w:type="gramEnd"/>
      <w:r>
        <w:rPr>
          <w:rFonts w:ascii="Arial" w:hAnsi="Arial" w:cs="Arial"/>
        </w:rPr>
        <w:t xml:space="preserve"> de recherche des parlements de l’UE.</w:t>
      </w:r>
    </w:p>
    <w:p w:rsidR="001B02DD" w:rsidRDefault="00E35FBD" w:rsidP="00360D99">
      <w:pPr>
        <w:tabs>
          <w:tab w:val="left" w:pos="0"/>
        </w:tabs>
        <w:ind w:left="709" w:hanging="709"/>
        <w:jc w:val="both"/>
      </w:pPr>
      <w:r>
        <w:rPr>
          <w:rFonts w:ascii="Arial" w:hAnsi="Arial" w:cs="Arial"/>
          <w:b/>
        </w:rPr>
        <w:t>I11.</w:t>
      </w:r>
      <w:r>
        <w:rPr>
          <w:rFonts w:ascii="Arial" w:hAnsi="Arial" w:cs="Arial"/>
        </w:rPr>
        <w:t xml:space="preserve"> </w:t>
      </w:r>
      <w:r>
        <w:rPr>
          <w:rFonts w:ascii="Arial" w:hAnsi="Arial" w:cs="Arial"/>
        </w:rPr>
        <w:tab/>
      </w:r>
      <w:proofErr w:type="gramStart"/>
      <w:r w:rsidR="00BB1CBF">
        <w:rPr>
          <w:rFonts w:ascii="Arial" w:hAnsi="Arial" w:cs="Arial"/>
        </w:rPr>
        <w:t>études</w:t>
      </w:r>
      <w:proofErr w:type="gramEnd"/>
      <w:r w:rsidR="00BB1CBF">
        <w:rPr>
          <w:rFonts w:ascii="Arial" w:hAnsi="Arial" w:cs="Arial"/>
        </w:rPr>
        <w:t xml:space="preserve"> d’impact relatives sur les </w:t>
      </w:r>
      <w:r>
        <w:rPr>
          <w:rFonts w:ascii="Arial" w:hAnsi="Arial" w:cs="Arial"/>
        </w:rPr>
        <w:t xml:space="preserve">propositions </w:t>
      </w:r>
      <w:r w:rsidR="00BB1CBF">
        <w:rPr>
          <w:rFonts w:ascii="Arial" w:hAnsi="Arial" w:cs="Arial"/>
        </w:rPr>
        <w:t xml:space="preserve">d’actes législatives </w:t>
      </w:r>
      <w:r>
        <w:rPr>
          <w:rFonts w:ascii="Arial" w:hAnsi="Arial" w:cs="Arial"/>
        </w:rPr>
        <w:t>l’UE.</w:t>
      </w:r>
    </w:p>
    <w:p w:rsidR="001B02DD" w:rsidRDefault="00E35FBD" w:rsidP="00360D99">
      <w:pPr>
        <w:tabs>
          <w:tab w:val="left" w:pos="0"/>
        </w:tabs>
        <w:ind w:left="709" w:hanging="709"/>
        <w:jc w:val="both"/>
      </w:pPr>
      <w:r>
        <w:rPr>
          <w:rFonts w:ascii="Arial" w:hAnsi="Arial" w:cs="Arial"/>
          <w:b/>
        </w:rPr>
        <w:t>I12.</w:t>
      </w:r>
      <w:r>
        <w:rPr>
          <w:rFonts w:ascii="Arial" w:hAnsi="Arial" w:cs="Arial"/>
        </w:rPr>
        <w:tab/>
      </w:r>
      <w:proofErr w:type="gramStart"/>
      <w:r w:rsidR="00360D99">
        <w:rPr>
          <w:rFonts w:ascii="Arial" w:hAnsi="Arial" w:cs="Arial"/>
        </w:rPr>
        <w:t>i</w:t>
      </w:r>
      <w:r>
        <w:rPr>
          <w:rFonts w:ascii="Arial" w:hAnsi="Arial" w:cs="Arial"/>
        </w:rPr>
        <w:t>nformation</w:t>
      </w:r>
      <w:r w:rsidR="00360D99">
        <w:rPr>
          <w:rFonts w:ascii="Arial" w:hAnsi="Arial" w:cs="Arial"/>
        </w:rPr>
        <w:t>s</w:t>
      </w:r>
      <w:proofErr w:type="gramEnd"/>
      <w:r>
        <w:rPr>
          <w:rFonts w:ascii="Arial" w:hAnsi="Arial" w:cs="Arial"/>
        </w:rPr>
        <w:t xml:space="preserve"> des Parlements </w:t>
      </w:r>
      <w:r w:rsidR="00656242">
        <w:rPr>
          <w:rFonts w:ascii="Arial" w:hAnsi="Arial" w:cs="Arial"/>
        </w:rPr>
        <w:t>n</w:t>
      </w:r>
      <w:r>
        <w:rPr>
          <w:rFonts w:ascii="Arial" w:hAnsi="Arial" w:cs="Arial"/>
        </w:rPr>
        <w:t>ationaux concernant la dimension parlementaire des Présidences du Conseil de l’UE.</w:t>
      </w:r>
    </w:p>
    <w:p w:rsidR="001B02DD" w:rsidRDefault="001B02DD" w:rsidP="00360D99">
      <w:pPr>
        <w:tabs>
          <w:tab w:val="left" w:pos="0"/>
        </w:tabs>
        <w:ind w:left="709" w:hanging="709"/>
        <w:jc w:val="both"/>
        <w:rPr>
          <w:rFonts w:ascii="Arial" w:hAnsi="Arial" w:cs="Arial"/>
        </w:rPr>
      </w:pPr>
    </w:p>
    <w:p w:rsidR="006F52F8" w:rsidRPr="006F52F8" w:rsidRDefault="00E35FBD" w:rsidP="006F52F8">
      <w:pPr>
        <w:pStyle w:val="Titre2"/>
        <w:numPr>
          <w:ilvl w:val="1"/>
          <w:numId w:val="10"/>
        </w:numPr>
        <w:tabs>
          <w:tab w:val="left" w:pos="0"/>
        </w:tabs>
      </w:pPr>
      <w:bookmarkStart w:id="5" w:name="_Toc475103155"/>
      <w:r>
        <w:t>Services à fournir</w:t>
      </w:r>
      <w:bookmarkEnd w:id="5"/>
    </w:p>
    <w:p w:rsidR="001B02DD" w:rsidRDefault="00E35FBD" w:rsidP="00BA1FEC">
      <w:pPr>
        <w:tabs>
          <w:tab w:val="left" w:pos="0"/>
        </w:tabs>
        <w:jc w:val="both"/>
        <w:rPr>
          <w:rFonts w:ascii="Arial" w:hAnsi="Arial" w:cs="Arial"/>
        </w:rPr>
      </w:pPr>
      <w:r>
        <w:rPr>
          <w:rFonts w:ascii="Arial" w:hAnsi="Arial" w:cs="Arial"/>
        </w:rPr>
        <w:t xml:space="preserve">Le système digital d’IPEX, en tant que principale plateforme </w:t>
      </w:r>
      <w:r w:rsidR="006F52F8">
        <w:rPr>
          <w:rFonts w:ascii="Arial" w:hAnsi="Arial" w:cs="Arial"/>
        </w:rPr>
        <w:t xml:space="preserve">exhaustive </w:t>
      </w:r>
      <w:r>
        <w:rPr>
          <w:rFonts w:ascii="Arial" w:hAnsi="Arial" w:cs="Arial"/>
        </w:rPr>
        <w:t xml:space="preserve">pour les échanges électroniques d’informations </w:t>
      </w:r>
      <w:r w:rsidR="006F52F8">
        <w:rPr>
          <w:rFonts w:ascii="Arial" w:hAnsi="Arial" w:cs="Arial"/>
        </w:rPr>
        <w:t xml:space="preserve">sur </w:t>
      </w:r>
      <w:r w:rsidR="00360D99">
        <w:rPr>
          <w:rFonts w:ascii="Arial" w:hAnsi="Arial" w:cs="Arial"/>
        </w:rPr>
        <w:t>l’UE, doit</w:t>
      </w:r>
      <w:r>
        <w:rPr>
          <w:rFonts w:ascii="Arial" w:hAnsi="Arial" w:cs="Arial"/>
        </w:rPr>
        <w:t xml:space="preserve"> assurer les services suivants :</w:t>
      </w:r>
    </w:p>
    <w:p w:rsidR="001B02DD" w:rsidRDefault="00E35FBD" w:rsidP="00360D99">
      <w:pPr>
        <w:tabs>
          <w:tab w:val="left" w:pos="0"/>
        </w:tabs>
        <w:ind w:left="709" w:hanging="709"/>
        <w:jc w:val="both"/>
      </w:pPr>
      <w:r>
        <w:rPr>
          <w:rFonts w:ascii="Arial" w:hAnsi="Arial" w:cs="Arial"/>
          <w:b/>
        </w:rPr>
        <w:t>S1.</w:t>
      </w:r>
      <w:r w:rsidR="00360D99">
        <w:rPr>
          <w:rFonts w:ascii="Arial" w:hAnsi="Arial" w:cs="Arial"/>
        </w:rPr>
        <w:tab/>
      </w:r>
      <w:proofErr w:type="gramStart"/>
      <w:r w:rsidR="006F52F8">
        <w:rPr>
          <w:rFonts w:ascii="Arial" w:hAnsi="Arial" w:cs="Arial"/>
        </w:rPr>
        <w:t>p</w:t>
      </w:r>
      <w:r>
        <w:rPr>
          <w:rFonts w:ascii="Arial" w:hAnsi="Arial" w:cs="Arial"/>
        </w:rPr>
        <w:t>artager</w:t>
      </w:r>
      <w:proofErr w:type="gramEnd"/>
      <w:r>
        <w:rPr>
          <w:rFonts w:ascii="Arial" w:hAnsi="Arial" w:cs="Arial"/>
        </w:rPr>
        <w:t xml:space="preserve"> </w:t>
      </w:r>
      <w:r w:rsidR="006F52F8">
        <w:rPr>
          <w:rFonts w:ascii="Arial" w:hAnsi="Arial" w:cs="Arial"/>
        </w:rPr>
        <w:t xml:space="preserve">pratiquement </w:t>
      </w:r>
      <w:r>
        <w:rPr>
          <w:rFonts w:ascii="Arial" w:hAnsi="Arial" w:cs="Arial"/>
        </w:rPr>
        <w:t xml:space="preserve">en temps réel le statut </w:t>
      </w:r>
      <w:r w:rsidR="006F52F8">
        <w:rPr>
          <w:rFonts w:ascii="Arial" w:hAnsi="Arial" w:cs="Arial"/>
        </w:rPr>
        <w:t xml:space="preserve">du contrôle parlementaire des dossiers européens </w:t>
      </w:r>
      <w:r>
        <w:rPr>
          <w:rFonts w:ascii="Arial" w:hAnsi="Arial" w:cs="Arial"/>
        </w:rPr>
        <w:t xml:space="preserve">dans les Parlements </w:t>
      </w:r>
      <w:r w:rsidR="006F52F8">
        <w:rPr>
          <w:rFonts w:ascii="Arial" w:hAnsi="Arial" w:cs="Arial"/>
        </w:rPr>
        <w:t>n</w:t>
      </w:r>
      <w:r>
        <w:rPr>
          <w:rFonts w:ascii="Arial" w:hAnsi="Arial" w:cs="Arial"/>
        </w:rPr>
        <w:t>ationaux,</w:t>
      </w:r>
      <w:r w:rsidR="00360D99">
        <w:rPr>
          <w:rFonts w:ascii="Arial" w:hAnsi="Arial" w:cs="Arial"/>
        </w:rPr>
        <w:t xml:space="preserve"> </w:t>
      </w:r>
      <w:r w:rsidR="006F52F8">
        <w:rPr>
          <w:rFonts w:ascii="Arial" w:hAnsi="Arial" w:cs="Arial"/>
        </w:rPr>
        <w:t xml:space="preserve">aussi </w:t>
      </w:r>
      <w:r w:rsidR="00391AF9">
        <w:rPr>
          <w:rFonts w:ascii="Arial" w:hAnsi="Arial" w:cs="Arial"/>
        </w:rPr>
        <w:t>bien</w:t>
      </w:r>
      <w:r w:rsidR="006F52F8">
        <w:rPr>
          <w:rFonts w:ascii="Arial" w:hAnsi="Arial" w:cs="Arial"/>
        </w:rPr>
        <w:t xml:space="preserve"> le contrôle en général que le contrôle de la subsidiarité ;</w:t>
      </w:r>
    </w:p>
    <w:p w:rsidR="001B02DD" w:rsidRDefault="00E35FBD" w:rsidP="00360D99">
      <w:pPr>
        <w:tabs>
          <w:tab w:val="left" w:pos="0"/>
        </w:tabs>
        <w:ind w:left="709" w:hanging="709"/>
        <w:jc w:val="both"/>
      </w:pPr>
      <w:r>
        <w:rPr>
          <w:rFonts w:ascii="Arial" w:hAnsi="Arial" w:cs="Arial"/>
          <w:b/>
        </w:rPr>
        <w:t>S2.</w:t>
      </w:r>
      <w:r>
        <w:rPr>
          <w:rFonts w:ascii="Arial" w:hAnsi="Arial" w:cs="Arial"/>
        </w:rPr>
        <w:tab/>
      </w:r>
      <w:proofErr w:type="gramStart"/>
      <w:r w:rsidR="00391AF9">
        <w:rPr>
          <w:rFonts w:ascii="Arial" w:hAnsi="Arial" w:cs="Arial"/>
        </w:rPr>
        <w:t>p</w:t>
      </w:r>
      <w:r>
        <w:rPr>
          <w:rFonts w:ascii="Arial" w:hAnsi="Arial" w:cs="Arial"/>
        </w:rPr>
        <w:t>artager</w:t>
      </w:r>
      <w:proofErr w:type="gramEnd"/>
      <w:r>
        <w:rPr>
          <w:rFonts w:ascii="Arial" w:hAnsi="Arial" w:cs="Arial"/>
        </w:rPr>
        <w:t xml:space="preserve"> en temps réel les activités parlementaires en lien avec les sujets de l’UE dans les Parlements membres d’IPEX</w:t>
      </w:r>
      <w:r w:rsidR="00391AF9">
        <w:rPr>
          <w:rFonts w:ascii="Arial" w:hAnsi="Arial" w:cs="Arial"/>
        </w:rPr>
        <w:t> ;</w:t>
      </w:r>
    </w:p>
    <w:p w:rsidR="001B02DD" w:rsidRDefault="00E35FBD" w:rsidP="00360D99">
      <w:pPr>
        <w:tabs>
          <w:tab w:val="left" w:pos="0"/>
        </w:tabs>
        <w:ind w:left="709" w:hanging="709"/>
        <w:jc w:val="both"/>
      </w:pPr>
      <w:r>
        <w:rPr>
          <w:rFonts w:ascii="Arial" w:hAnsi="Arial" w:cs="Arial"/>
          <w:b/>
        </w:rPr>
        <w:t>S3.</w:t>
      </w:r>
      <w:r w:rsidR="00360D99">
        <w:rPr>
          <w:rFonts w:ascii="Arial" w:hAnsi="Arial" w:cs="Arial"/>
        </w:rPr>
        <w:tab/>
      </w:r>
      <w:proofErr w:type="gramStart"/>
      <w:r w:rsidR="00391AF9">
        <w:rPr>
          <w:rFonts w:ascii="Arial" w:hAnsi="Arial" w:cs="Arial"/>
        </w:rPr>
        <w:t>p</w:t>
      </w:r>
      <w:r>
        <w:rPr>
          <w:rFonts w:ascii="Arial" w:hAnsi="Arial" w:cs="Arial"/>
        </w:rPr>
        <w:t>artager</w:t>
      </w:r>
      <w:proofErr w:type="gramEnd"/>
      <w:r>
        <w:rPr>
          <w:rFonts w:ascii="Arial" w:hAnsi="Arial" w:cs="Arial"/>
        </w:rPr>
        <w:t xml:space="preserve"> un calendrier des évènements d</w:t>
      </w:r>
      <w:r w:rsidR="00391AF9">
        <w:rPr>
          <w:rFonts w:ascii="Arial" w:hAnsi="Arial" w:cs="Arial"/>
        </w:rPr>
        <w:t>ans le cadre de</w:t>
      </w:r>
      <w:r>
        <w:rPr>
          <w:rFonts w:ascii="Arial" w:hAnsi="Arial" w:cs="Arial"/>
        </w:rPr>
        <w:t xml:space="preserve"> coopération interparlementaire</w:t>
      </w:r>
      <w:r w:rsidR="00391AF9">
        <w:rPr>
          <w:rFonts w:ascii="Arial" w:hAnsi="Arial" w:cs="Arial"/>
        </w:rPr>
        <w:t> ;</w:t>
      </w:r>
    </w:p>
    <w:p w:rsidR="001B02DD" w:rsidRDefault="00E35FBD" w:rsidP="00360D99">
      <w:pPr>
        <w:tabs>
          <w:tab w:val="left" w:pos="0"/>
        </w:tabs>
        <w:ind w:left="709" w:hanging="709"/>
        <w:jc w:val="both"/>
      </w:pPr>
      <w:r>
        <w:rPr>
          <w:rFonts w:ascii="Arial" w:hAnsi="Arial" w:cs="Arial"/>
          <w:b/>
        </w:rPr>
        <w:t>S4.</w:t>
      </w:r>
      <w:r w:rsidR="00360D99">
        <w:rPr>
          <w:rFonts w:ascii="Arial" w:hAnsi="Arial" w:cs="Arial"/>
        </w:rPr>
        <w:tab/>
      </w:r>
      <w:proofErr w:type="gramStart"/>
      <w:r w:rsidR="00391AF9">
        <w:rPr>
          <w:rFonts w:ascii="Arial" w:hAnsi="Arial" w:cs="Arial"/>
        </w:rPr>
        <w:t>h</w:t>
      </w:r>
      <w:r>
        <w:rPr>
          <w:rFonts w:ascii="Arial" w:hAnsi="Arial" w:cs="Arial"/>
        </w:rPr>
        <w:t>éberger</w:t>
      </w:r>
      <w:proofErr w:type="gramEnd"/>
      <w:r>
        <w:rPr>
          <w:rFonts w:ascii="Arial" w:hAnsi="Arial" w:cs="Arial"/>
        </w:rPr>
        <w:t xml:space="preserve"> les sites :</w:t>
      </w:r>
    </w:p>
    <w:p w:rsidR="001B02DD" w:rsidRDefault="00391AF9" w:rsidP="00360D99">
      <w:pPr>
        <w:pStyle w:val="Paragraphedeliste"/>
        <w:numPr>
          <w:ilvl w:val="0"/>
          <w:numId w:val="3"/>
        </w:numPr>
        <w:tabs>
          <w:tab w:val="left" w:pos="0"/>
        </w:tabs>
        <w:ind w:left="709" w:hanging="709"/>
        <w:jc w:val="both"/>
        <w:rPr>
          <w:rFonts w:ascii="Arial" w:hAnsi="Arial" w:cs="Arial"/>
        </w:rPr>
      </w:pPr>
      <w:proofErr w:type="gramStart"/>
      <w:r>
        <w:rPr>
          <w:rFonts w:ascii="Arial" w:hAnsi="Arial" w:cs="Arial"/>
        </w:rPr>
        <w:t>d</w:t>
      </w:r>
      <w:r w:rsidR="00E35FBD">
        <w:rPr>
          <w:rFonts w:ascii="Arial" w:hAnsi="Arial" w:cs="Arial"/>
        </w:rPr>
        <w:t>es</w:t>
      </w:r>
      <w:proofErr w:type="gramEnd"/>
      <w:r w:rsidR="00E35FBD">
        <w:rPr>
          <w:rFonts w:ascii="Arial" w:hAnsi="Arial" w:cs="Arial"/>
        </w:rPr>
        <w:t xml:space="preserve"> conférences interparlementaires établies par les Présiden</w:t>
      </w:r>
      <w:r>
        <w:rPr>
          <w:rFonts w:ascii="Arial" w:hAnsi="Arial" w:cs="Arial"/>
        </w:rPr>
        <w:t>ts de Parlements</w:t>
      </w:r>
    </w:p>
    <w:p w:rsidR="001B02DD" w:rsidRDefault="00391AF9" w:rsidP="00360D99">
      <w:pPr>
        <w:pStyle w:val="Paragraphedeliste"/>
        <w:numPr>
          <w:ilvl w:val="0"/>
          <w:numId w:val="3"/>
        </w:numPr>
        <w:tabs>
          <w:tab w:val="left" w:pos="0"/>
        </w:tabs>
        <w:ind w:left="709" w:hanging="709"/>
        <w:jc w:val="both"/>
      </w:pPr>
      <w:proofErr w:type="gramStart"/>
      <w:r>
        <w:rPr>
          <w:rFonts w:ascii="Arial" w:hAnsi="Arial" w:cs="Arial"/>
        </w:rPr>
        <w:t>d</w:t>
      </w:r>
      <w:r w:rsidR="00E35FBD">
        <w:rPr>
          <w:rFonts w:ascii="Arial" w:hAnsi="Arial" w:cs="Arial"/>
        </w:rPr>
        <w:t>es</w:t>
      </w:r>
      <w:proofErr w:type="gramEnd"/>
      <w:r>
        <w:rPr>
          <w:rFonts w:ascii="Arial" w:hAnsi="Arial" w:cs="Arial"/>
        </w:rPr>
        <w:t xml:space="preserve"> organes</w:t>
      </w:r>
      <w:r w:rsidRPr="00391AF9">
        <w:rPr>
          <w:rFonts w:ascii="Arial" w:hAnsi="Arial" w:cs="Arial"/>
        </w:rPr>
        <w:t xml:space="preserve"> d'examen parlementaire conjoint</w:t>
      </w:r>
      <w:r w:rsidR="00E35FBD">
        <w:rPr>
          <w:rFonts w:ascii="Arial" w:hAnsi="Arial" w:cs="Arial"/>
        </w:rPr>
        <w:t>, établis par la législation UE en accord avec les conclusions de la Conférence des Présidents qui s’est tenue à Nicosie en 2013</w:t>
      </w:r>
      <w:r>
        <w:rPr>
          <w:rFonts w:ascii="Arial" w:hAnsi="Arial" w:cs="Arial"/>
        </w:rPr>
        <w:t> ;</w:t>
      </w:r>
    </w:p>
    <w:p w:rsidR="001B02DD" w:rsidRDefault="00E35FBD" w:rsidP="00360D99">
      <w:pPr>
        <w:tabs>
          <w:tab w:val="left" w:pos="0"/>
        </w:tabs>
        <w:ind w:left="709" w:hanging="709"/>
        <w:jc w:val="both"/>
      </w:pPr>
      <w:r>
        <w:rPr>
          <w:rFonts w:ascii="Arial" w:hAnsi="Arial" w:cs="Arial"/>
          <w:b/>
        </w:rPr>
        <w:t>S5.</w:t>
      </w:r>
      <w:r w:rsidR="00360D99">
        <w:rPr>
          <w:rFonts w:ascii="Arial" w:hAnsi="Arial" w:cs="Arial"/>
        </w:rPr>
        <w:tab/>
      </w:r>
      <w:proofErr w:type="gramStart"/>
      <w:r w:rsidR="00391AF9">
        <w:rPr>
          <w:rFonts w:ascii="Arial" w:hAnsi="Arial" w:cs="Arial"/>
        </w:rPr>
        <w:t>f</w:t>
      </w:r>
      <w:r>
        <w:rPr>
          <w:rFonts w:ascii="Arial" w:hAnsi="Arial" w:cs="Arial"/>
        </w:rPr>
        <w:t>ournir</w:t>
      </w:r>
      <w:proofErr w:type="gramEnd"/>
      <w:r>
        <w:rPr>
          <w:rFonts w:ascii="Arial" w:hAnsi="Arial" w:cs="Arial"/>
        </w:rPr>
        <w:t xml:space="preserve"> des informations personnalisables pour les profils des utilisateurs (alarmes réglables, stockage des recherches, etc…)</w:t>
      </w:r>
      <w:r w:rsidR="00391AF9">
        <w:rPr>
          <w:rFonts w:ascii="Arial" w:hAnsi="Arial" w:cs="Arial"/>
        </w:rPr>
        <w:t> ;</w:t>
      </w:r>
      <w:r>
        <w:rPr>
          <w:rFonts w:ascii="Arial" w:hAnsi="Arial" w:cs="Arial"/>
        </w:rPr>
        <w:t xml:space="preserve"> </w:t>
      </w:r>
    </w:p>
    <w:p w:rsidR="001B02DD" w:rsidRDefault="00E35FBD" w:rsidP="00360D99">
      <w:pPr>
        <w:tabs>
          <w:tab w:val="left" w:pos="0"/>
        </w:tabs>
        <w:ind w:left="709" w:hanging="709"/>
        <w:jc w:val="both"/>
      </w:pPr>
      <w:r>
        <w:rPr>
          <w:rFonts w:ascii="Arial" w:hAnsi="Arial" w:cs="Arial"/>
          <w:b/>
        </w:rPr>
        <w:t>S6.</w:t>
      </w:r>
      <w:r w:rsidR="00360D99">
        <w:rPr>
          <w:rFonts w:ascii="Arial" w:hAnsi="Arial" w:cs="Arial"/>
        </w:rPr>
        <w:tab/>
      </w:r>
      <w:proofErr w:type="gramStart"/>
      <w:r w:rsidR="00391AF9">
        <w:rPr>
          <w:rFonts w:ascii="Arial" w:hAnsi="Arial" w:cs="Arial"/>
        </w:rPr>
        <w:t>a</w:t>
      </w:r>
      <w:r>
        <w:rPr>
          <w:rFonts w:ascii="Arial" w:hAnsi="Arial" w:cs="Arial"/>
        </w:rPr>
        <w:t>ccorder</w:t>
      </w:r>
      <w:proofErr w:type="gramEnd"/>
      <w:r>
        <w:rPr>
          <w:rFonts w:ascii="Arial" w:hAnsi="Arial" w:cs="Arial"/>
        </w:rPr>
        <w:t xml:space="preserve"> des niveaux d’accès multiples en fonction des profils des utilisateurs</w:t>
      </w:r>
      <w:r w:rsidR="00391AF9">
        <w:rPr>
          <w:rFonts w:ascii="Arial" w:hAnsi="Arial" w:cs="Arial"/>
        </w:rPr>
        <w:t> ;</w:t>
      </w:r>
    </w:p>
    <w:p w:rsidR="001B02DD" w:rsidRDefault="00E35FBD" w:rsidP="00360D99">
      <w:pPr>
        <w:tabs>
          <w:tab w:val="left" w:pos="0"/>
        </w:tabs>
        <w:ind w:left="709" w:hanging="709"/>
        <w:jc w:val="both"/>
      </w:pPr>
      <w:r>
        <w:rPr>
          <w:rFonts w:ascii="Arial" w:hAnsi="Arial" w:cs="Arial"/>
          <w:b/>
        </w:rPr>
        <w:t>S7.</w:t>
      </w:r>
      <w:r w:rsidR="00360D99">
        <w:rPr>
          <w:rFonts w:ascii="Arial" w:hAnsi="Arial" w:cs="Arial"/>
        </w:rPr>
        <w:tab/>
      </w:r>
      <w:proofErr w:type="gramStart"/>
      <w:r w:rsidR="00391AF9">
        <w:rPr>
          <w:rFonts w:ascii="Arial" w:hAnsi="Arial" w:cs="Arial"/>
        </w:rPr>
        <w:t>r</w:t>
      </w:r>
      <w:r>
        <w:rPr>
          <w:rFonts w:ascii="Arial" w:hAnsi="Arial" w:cs="Arial"/>
        </w:rPr>
        <w:t>echerche</w:t>
      </w:r>
      <w:r w:rsidR="00391AF9">
        <w:rPr>
          <w:rFonts w:ascii="Arial" w:hAnsi="Arial" w:cs="Arial"/>
        </w:rPr>
        <w:t>r</w:t>
      </w:r>
      <w:proofErr w:type="gramEnd"/>
      <w:r>
        <w:rPr>
          <w:rFonts w:ascii="Arial" w:hAnsi="Arial" w:cs="Arial"/>
        </w:rPr>
        <w:t xml:space="preserve"> sur le site</w:t>
      </w:r>
    </w:p>
    <w:p w:rsidR="001B02DD" w:rsidRDefault="00E35FBD" w:rsidP="00360D99">
      <w:pPr>
        <w:tabs>
          <w:tab w:val="left" w:pos="0"/>
        </w:tabs>
        <w:ind w:left="709" w:hanging="709"/>
        <w:jc w:val="both"/>
      </w:pPr>
      <w:r>
        <w:rPr>
          <w:rFonts w:ascii="Arial" w:hAnsi="Arial" w:cs="Arial"/>
          <w:b/>
        </w:rPr>
        <w:t>S8.</w:t>
      </w:r>
      <w:r w:rsidR="00360D99">
        <w:rPr>
          <w:rFonts w:ascii="Arial" w:hAnsi="Arial" w:cs="Arial"/>
        </w:rPr>
        <w:tab/>
      </w:r>
      <w:proofErr w:type="gramStart"/>
      <w:r w:rsidR="00391AF9">
        <w:rPr>
          <w:rFonts w:ascii="Arial" w:hAnsi="Arial" w:cs="Arial"/>
        </w:rPr>
        <w:t>f</w:t>
      </w:r>
      <w:r>
        <w:rPr>
          <w:rFonts w:ascii="Arial" w:hAnsi="Arial" w:cs="Arial"/>
        </w:rPr>
        <w:t>onctionnant</w:t>
      </w:r>
      <w:proofErr w:type="gramEnd"/>
      <w:r>
        <w:rPr>
          <w:rFonts w:ascii="Arial" w:hAnsi="Arial" w:cs="Arial"/>
        </w:rPr>
        <w:t xml:space="preserve"> comme un</w:t>
      </w:r>
      <w:r w:rsidR="0005748F">
        <w:rPr>
          <w:rFonts w:ascii="Arial" w:hAnsi="Arial" w:cs="Arial"/>
        </w:rPr>
        <w:t xml:space="preserve"> recueil institutionnel </w:t>
      </w:r>
      <w:r>
        <w:rPr>
          <w:rFonts w:ascii="Arial" w:hAnsi="Arial" w:cs="Arial"/>
        </w:rPr>
        <w:t xml:space="preserve"> de </w:t>
      </w:r>
      <w:r w:rsidR="0005748F">
        <w:rPr>
          <w:rFonts w:ascii="Arial" w:hAnsi="Arial" w:cs="Arial"/>
        </w:rPr>
        <w:t xml:space="preserve">la </w:t>
      </w:r>
      <w:r>
        <w:rPr>
          <w:rFonts w:ascii="Arial" w:hAnsi="Arial" w:cs="Arial"/>
        </w:rPr>
        <w:t>coopération interparlementaire</w:t>
      </w:r>
    </w:p>
    <w:p w:rsidR="001B02DD" w:rsidRDefault="00E35FBD" w:rsidP="00360D99">
      <w:pPr>
        <w:tabs>
          <w:tab w:val="left" w:pos="0"/>
        </w:tabs>
        <w:ind w:left="709" w:hanging="709"/>
        <w:jc w:val="both"/>
      </w:pPr>
      <w:r>
        <w:rPr>
          <w:rFonts w:ascii="Arial" w:hAnsi="Arial" w:cs="Arial"/>
          <w:b/>
        </w:rPr>
        <w:t>S9.</w:t>
      </w:r>
      <w:r w:rsidR="00360D99">
        <w:rPr>
          <w:rFonts w:ascii="Arial" w:hAnsi="Arial" w:cs="Arial"/>
        </w:rPr>
        <w:tab/>
      </w:r>
      <w:proofErr w:type="gramStart"/>
      <w:r w:rsidR="0005748F">
        <w:rPr>
          <w:rFonts w:ascii="Arial" w:hAnsi="Arial" w:cs="Arial"/>
        </w:rPr>
        <w:t>r</w:t>
      </w:r>
      <w:r>
        <w:rPr>
          <w:rFonts w:ascii="Arial" w:hAnsi="Arial" w:cs="Arial"/>
        </w:rPr>
        <w:t>emplissant</w:t>
      </w:r>
      <w:proofErr w:type="gramEnd"/>
      <w:r>
        <w:rPr>
          <w:rFonts w:ascii="Arial" w:hAnsi="Arial" w:cs="Arial"/>
        </w:rPr>
        <w:t xml:space="preserve"> une fonction générale de référence</w:t>
      </w:r>
    </w:p>
    <w:p w:rsidR="001B02DD" w:rsidRDefault="001B02DD" w:rsidP="00BA1FEC">
      <w:pPr>
        <w:tabs>
          <w:tab w:val="left" w:pos="0"/>
        </w:tabs>
        <w:jc w:val="both"/>
        <w:rPr>
          <w:rFonts w:ascii="Arial" w:hAnsi="Arial" w:cs="Arial"/>
        </w:rPr>
      </w:pPr>
    </w:p>
    <w:p w:rsidR="001B02DD" w:rsidRPr="0005748F" w:rsidRDefault="00E35FBD" w:rsidP="002C5363">
      <w:pPr>
        <w:pStyle w:val="Titre2"/>
        <w:numPr>
          <w:ilvl w:val="1"/>
          <w:numId w:val="10"/>
        </w:numPr>
      </w:pPr>
      <w:bookmarkStart w:id="6" w:name="_Toc475103156"/>
      <w:r w:rsidRPr="0005748F">
        <w:t>Outils et méthodes pour promouvoir IPEX</w:t>
      </w:r>
      <w:bookmarkEnd w:id="6"/>
    </w:p>
    <w:p w:rsidR="001B02DD" w:rsidRDefault="00E35FBD" w:rsidP="00BA1FEC">
      <w:pPr>
        <w:tabs>
          <w:tab w:val="left" w:pos="0"/>
        </w:tabs>
        <w:jc w:val="both"/>
        <w:rPr>
          <w:rFonts w:ascii="Arial" w:hAnsi="Arial" w:cs="Arial"/>
        </w:rPr>
      </w:pPr>
      <w:r>
        <w:rPr>
          <w:rFonts w:ascii="Arial" w:hAnsi="Arial" w:cs="Arial"/>
        </w:rPr>
        <w:t>Dans le but de promouvoir l’utilisation d’IPEX et d’assurer l’utilité continue du réseau IPEX et de sa base de données, l</w:t>
      </w:r>
      <w:r w:rsidR="0005748F">
        <w:rPr>
          <w:rFonts w:ascii="Arial" w:hAnsi="Arial" w:cs="Arial"/>
        </w:rPr>
        <w:t xml:space="preserve">e système digital </w:t>
      </w:r>
      <w:r>
        <w:rPr>
          <w:rFonts w:ascii="Arial" w:hAnsi="Arial" w:cs="Arial"/>
        </w:rPr>
        <w:t>inclu</w:t>
      </w:r>
      <w:r w:rsidR="0005748F">
        <w:rPr>
          <w:rFonts w:ascii="Arial" w:hAnsi="Arial" w:cs="Arial"/>
        </w:rPr>
        <w:t>t</w:t>
      </w:r>
      <w:r>
        <w:rPr>
          <w:rFonts w:ascii="Arial" w:hAnsi="Arial" w:cs="Arial"/>
        </w:rPr>
        <w:t xml:space="preserve"> les éléments suivants :</w:t>
      </w:r>
    </w:p>
    <w:p w:rsidR="001B02DD" w:rsidRDefault="00E35FBD" w:rsidP="00BA1FEC">
      <w:pPr>
        <w:tabs>
          <w:tab w:val="left" w:pos="0"/>
        </w:tabs>
        <w:jc w:val="both"/>
      </w:pPr>
      <w:r>
        <w:rPr>
          <w:rFonts w:ascii="Arial" w:hAnsi="Arial" w:cs="Arial"/>
          <w:b/>
        </w:rPr>
        <w:t>P1.</w:t>
      </w:r>
      <w:r>
        <w:rPr>
          <w:rFonts w:ascii="Arial" w:hAnsi="Arial" w:cs="Arial"/>
        </w:rPr>
        <w:tab/>
      </w:r>
      <w:r w:rsidR="0005748F">
        <w:rPr>
          <w:rFonts w:ascii="Arial" w:hAnsi="Arial" w:cs="Arial"/>
        </w:rPr>
        <w:t>La m</w:t>
      </w:r>
      <w:r>
        <w:rPr>
          <w:rFonts w:ascii="Arial" w:hAnsi="Arial" w:cs="Arial"/>
        </w:rPr>
        <w:t>ise en place d’une stratégie d’optimisation du moteur de recherche</w:t>
      </w:r>
    </w:p>
    <w:p w:rsidR="001B02DD" w:rsidRDefault="00E35FBD" w:rsidP="00BA1FEC">
      <w:pPr>
        <w:tabs>
          <w:tab w:val="left" w:pos="0"/>
        </w:tabs>
        <w:jc w:val="both"/>
      </w:pPr>
      <w:r>
        <w:rPr>
          <w:rFonts w:ascii="Arial" w:hAnsi="Arial" w:cs="Arial"/>
          <w:b/>
        </w:rPr>
        <w:t>P2.</w:t>
      </w:r>
      <w:r>
        <w:rPr>
          <w:rFonts w:ascii="Arial" w:hAnsi="Arial" w:cs="Arial"/>
        </w:rPr>
        <w:t xml:space="preserve"> </w:t>
      </w:r>
      <w:r>
        <w:rPr>
          <w:rFonts w:ascii="Arial" w:hAnsi="Arial" w:cs="Arial"/>
        </w:rPr>
        <w:tab/>
      </w:r>
      <w:r w:rsidR="0005748F">
        <w:rPr>
          <w:rFonts w:ascii="Arial" w:hAnsi="Arial" w:cs="Arial"/>
        </w:rPr>
        <w:t>La p</w:t>
      </w:r>
      <w:r>
        <w:rPr>
          <w:rFonts w:ascii="Arial" w:hAnsi="Arial" w:cs="Arial"/>
        </w:rPr>
        <w:t>romotion du c</w:t>
      </w:r>
      <w:r>
        <w:rPr>
          <w:rFonts w:ascii="Arial" w:hAnsi="Arial" w:cs="Arial"/>
          <w:i/>
        </w:rPr>
        <w:t xml:space="preserve">ross </w:t>
      </w:r>
      <w:proofErr w:type="spellStart"/>
      <w:r>
        <w:rPr>
          <w:rFonts w:ascii="Arial" w:hAnsi="Arial" w:cs="Arial"/>
          <w:i/>
        </w:rPr>
        <w:t>linking</w:t>
      </w:r>
      <w:proofErr w:type="spellEnd"/>
    </w:p>
    <w:p w:rsidR="001B02DD" w:rsidRDefault="00E35FBD" w:rsidP="00BA1FEC">
      <w:pPr>
        <w:tabs>
          <w:tab w:val="left" w:pos="0"/>
        </w:tabs>
        <w:jc w:val="both"/>
      </w:pPr>
      <w:r>
        <w:rPr>
          <w:rFonts w:ascii="Arial" w:hAnsi="Arial" w:cs="Arial"/>
          <w:b/>
        </w:rPr>
        <w:lastRenderedPageBreak/>
        <w:t>P3.</w:t>
      </w:r>
      <w:r w:rsidR="00360D99">
        <w:rPr>
          <w:rFonts w:ascii="Arial" w:hAnsi="Arial" w:cs="Arial"/>
        </w:rPr>
        <w:tab/>
      </w:r>
      <w:r w:rsidR="0005748F">
        <w:rPr>
          <w:rFonts w:ascii="Arial" w:hAnsi="Arial" w:cs="Arial"/>
        </w:rPr>
        <w:t>L’a</w:t>
      </w:r>
      <w:r>
        <w:rPr>
          <w:rFonts w:ascii="Arial" w:hAnsi="Arial" w:cs="Arial"/>
        </w:rPr>
        <w:t>ssur</w:t>
      </w:r>
      <w:r w:rsidR="0005748F">
        <w:rPr>
          <w:rFonts w:ascii="Arial" w:hAnsi="Arial" w:cs="Arial"/>
        </w:rPr>
        <w:t>ance</w:t>
      </w:r>
      <w:r>
        <w:rPr>
          <w:rFonts w:ascii="Arial" w:hAnsi="Arial" w:cs="Arial"/>
        </w:rPr>
        <w:t xml:space="preserve"> </w:t>
      </w:r>
      <w:r w:rsidR="0005748F">
        <w:rPr>
          <w:rFonts w:ascii="Arial" w:hAnsi="Arial" w:cs="Arial"/>
        </w:rPr>
        <w:t>d’</w:t>
      </w:r>
      <w:r>
        <w:rPr>
          <w:rFonts w:ascii="Arial" w:hAnsi="Arial" w:cs="Arial"/>
        </w:rPr>
        <w:t>une meilleure accessibilité</w:t>
      </w:r>
      <w:r>
        <w:rPr>
          <w:rStyle w:val="Appelnotedebasdep"/>
          <w:rFonts w:ascii="Arial" w:hAnsi="Arial" w:cs="Arial"/>
        </w:rPr>
        <w:footnoteReference w:id="6"/>
      </w:r>
      <w:r>
        <w:rPr>
          <w:rFonts w:ascii="Arial" w:hAnsi="Arial" w:cs="Arial"/>
        </w:rPr>
        <w:t xml:space="preserve"> du site d’IPEX</w:t>
      </w:r>
    </w:p>
    <w:p w:rsidR="001B02DD" w:rsidRDefault="00E35FBD" w:rsidP="002C5363">
      <w:pPr>
        <w:tabs>
          <w:tab w:val="left" w:pos="0"/>
        </w:tabs>
        <w:ind w:left="708" w:hanging="708"/>
        <w:jc w:val="both"/>
      </w:pPr>
      <w:r>
        <w:rPr>
          <w:rFonts w:ascii="Arial" w:hAnsi="Arial" w:cs="Arial"/>
          <w:b/>
        </w:rPr>
        <w:t>P4.</w:t>
      </w:r>
      <w:r>
        <w:rPr>
          <w:rFonts w:ascii="Arial" w:hAnsi="Arial" w:cs="Arial"/>
        </w:rPr>
        <w:tab/>
      </w:r>
      <w:r w:rsidR="0005748F">
        <w:rPr>
          <w:rFonts w:ascii="Arial" w:hAnsi="Arial" w:cs="Arial"/>
        </w:rPr>
        <w:t>La fourniture</w:t>
      </w:r>
      <w:r>
        <w:rPr>
          <w:rFonts w:ascii="Arial" w:hAnsi="Arial" w:cs="Arial"/>
        </w:rPr>
        <w:t xml:space="preserve"> </w:t>
      </w:r>
      <w:r w:rsidR="0005748F">
        <w:rPr>
          <w:rFonts w:ascii="Arial" w:hAnsi="Arial" w:cs="Arial"/>
        </w:rPr>
        <w:t>d’</w:t>
      </w:r>
      <w:r>
        <w:rPr>
          <w:rFonts w:ascii="Arial" w:hAnsi="Arial" w:cs="Arial"/>
        </w:rPr>
        <w:t xml:space="preserve">une formation directe et en ligne du personnel </w:t>
      </w:r>
      <w:r w:rsidR="0005748F">
        <w:rPr>
          <w:rFonts w:ascii="Arial" w:hAnsi="Arial" w:cs="Arial"/>
        </w:rPr>
        <w:t xml:space="preserve">des administrations </w:t>
      </w:r>
      <w:r>
        <w:rPr>
          <w:rFonts w:ascii="Arial" w:hAnsi="Arial" w:cs="Arial"/>
        </w:rPr>
        <w:t>parlementaire</w:t>
      </w:r>
      <w:r w:rsidR="0005748F">
        <w:rPr>
          <w:rFonts w:ascii="Arial" w:hAnsi="Arial" w:cs="Arial"/>
        </w:rPr>
        <w:t>s</w:t>
      </w:r>
    </w:p>
    <w:p w:rsidR="001B02DD" w:rsidRDefault="00E35FBD" w:rsidP="00BA1FEC">
      <w:pPr>
        <w:tabs>
          <w:tab w:val="left" w:pos="0"/>
        </w:tabs>
        <w:jc w:val="both"/>
      </w:pPr>
      <w:r>
        <w:rPr>
          <w:rFonts w:ascii="Arial" w:hAnsi="Arial" w:cs="Arial"/>
          <w:b/>
        </w:rPr>
        <w:t>P5.</w:t>
      </w:r>
      <w:r>
        <w:rPr>
          <w:rFonts w:ascii="Arial" w:hAnsi="Arial" w:cs="Arial"/>
        </w:rPr>
        <w:tab/>
      </w:r>
      <w:r w:rsidR="0005748F">
        <w:rPr>
          <w:rFonts w:ascii="Arial" w:hAnsi="Arial" w:cs="Arial"/>
        </w:rPr>
        <w:t xml:space="preserve">La création et la distribution </w:t>
      </w:r>
      <w:r>
        <w:rPr>
          <w:rFonts w:ascii="Arial" w:hAnsi="Arial" w:cs="Arial"/>
        </w:rPr>
        <w:t xml:space="preserve">du matériel promotionnel </w:t>
      </w:r>
    </w:p>
    <w:p w:rsidR="001B02DD" w:rsidRDefault="001B02DD" w:rsidP="00BA1FEC">
      <w:pPr>
        <w:tabs>
          <w:tab w:val="left" w:pos="0"/>
        </w:tabs>
        <w:jc w:val="both"/>
        <w:rPr>
          <w:rFonts w:ascii="Arial" w:hAnsi="Arial" w:cs="Arial"/>
        </w:rPr>
      </w:pPr>
    </w:p>
    <w:p w:rsidR="001B02DD" w:rsidRDefault="00E35FBD" w:rsidP="00BA1FEC">
      <w:pPr>
        <w:pStyle w:val="Titre2"/>
        <w:numPr>
          <w:ilvl w:val="1"/>
          <w:numId w:val="10"/>
        </w:numPr>
        <w:tabs>
          <w:tab w:val="left" w:pos="0"/>
        </w:tabs>
      </w:pPr>
      <w:bookmarkStart w:id="7" w:name="_Toc475103157"/>
      <w:r>
        <w:t>Lignes directrices sur l’entretien à court terme du site internet</w:t>
      </w:r>
      <w:bookmarkEnd w:id="7"/>
    </w:p>
    <w:p w:rsidR="001B02DD" w:rsidRDefault="00E35FBD" w:rsidP="00BA1FEC">
      <w:pPr>
        <w:tabs>
          <w:tab w:val="left" w:pos="0"/>
        </w:tabs>
        <w:jc w:val="both"/>
        <w:rPr>
          <w:rFonts w:ascii="Arial" w:hAnsi="Arial" w:cs="Arial"/>
        </w:rPr>
      </w:pPr>
      <w:r>
        <w:rPr>
          <w:rFonts w:ascii="Arial" w:hAnsi="Arial" w:cs="Arial"/>
        </w:rPr>
        <w:t xml:space="preserve">L’entretien à court terme couvre chaque aspect visant à garder le système digital d’IPEX opérationnel, </w:t>
      </w:r>
      <w:r w:rsidR="0005748F">
        <w:rPr>
          <w:rFonts w:ascii="Arial" w:hAnsi="Arial" w:cs="Arial"/>
        </w:rPr>
        <w:t xml:space="preserve">il </w:t>
      </w:r>
      <w:r>
        <w:rPr>
          <w:rFonts w:ascii="Arial" w:hAnsi="Arial" w:cs="Arial"/>
        </w:rPr>
        <w:t xml:space="preserve">garantit que le contenu </w:t>
      </w:r>
      <w:r w:rsidR="0005748F">
        <w:rPr>
          <w:rFonts w:ascii="Arial" w:hAnsi="Arial" w:cs="Arial"/>
        </w:rPr>
        <w:t>reste accessible</w:t>
      </w:r>
      <w:r>
        <w:rPr>
          <w:rFonts w:ascii="Arial" w:hAnsi="Arial" w:cs="Arial"/>
        </w:rPr>
        <w:t xml:space="preserve">, </w:t>
      </w:r>
      <w:r w:rsidR="0005748F">
        <w:rPr>
          <w:rFonts w:ascii="Arial" w:hAnsi="Arial" w:cs="Arial"/>
        </w:rPr>
        <w:t xml:space="preserve">qu’il est </w:t>
      </w:r>
      <w:r>
        <w:rPr>
          <w:rFonts w:ascii="Arial" w:hAnsi="Arial" w:cs="Arial"/>
        </w:rPr>
        <w:t>mis à jour et respecte les standards fixés pour la plateforme d’IPEX, prenant en compte les « règles éditoriales générales d’IPEX » adoptées par le Conseil. Plus précisément, il couvre :</w:t>
      </w:r>
    </w:p>
    <w:p w:rsidR="001B02DD" w:rsidRDefault="00E35FBD" w:rsidP="00BA1FEC">
      <w:pPr>
        <w:tabs>
          <w:tab w:val="left" w:pos="0"/>
        </w:tabs>
        <w:jc w:val="both"/>
      </w:pPr>
      <w:r>
        <w:rPr>
          <w:rFonts w:ascii="Arial" w:hAnsi="Arial" w:cs="Arial"/>
          <w:b/>
        </w:rPr>
        <w:t>M1.</w:t>
      </w:r>
      <w:r w:rsidR="00360D99">
        <w:rPr>
          <w:rFonts w:ascii="Arial" w:hAnsi="Arial" w:cs="Arial"/>
        </w:rPr>
        <w:tab/>
      </w:r>
      <w:r>
        <w:rPr>
          <w:rFonts w:ascii="Arial" w:hAnsi="Arial" w:cs="Arial"/>
        </w:rPr>
        <w:t xml:space="preserve">Serveurs et hébergeurs </w:t>
      </w:r>
    </w:p>
    <w:p w:rsidR="001B02DD" w:rsidRDefault="00E35FBD" w:rsidP="002C5363">
      <w:pPr>
        <w:tabs>
          <w:tab w:val="left" w:pos="0"/>
        </w:tabs>
        <w:ind w:left="708"/>
        <w:jc w:val="both"/>
        <w:rPr>
          <w:rFonts w:ascii="Arial" w:hAnsi="Arial" w:cs="Arial"/>
        </w:rPr>
      </w:pPr>
      <w:r>
        <w:rPr>
          <w:rFonts w:ascii="Arial" w:hAnsi="Arial" w:cs="Arial"/>
        </w:rPr>
        <w:t xml:space="preserve">Tous les aspects techniques concernant le fonctionnement du système digital d’IPEX sont confiés </w:t>
      </w:r>
      <w:r w:rsidR="002A5B57">
        <w:rPr>
          <w:rFonts w:ascii="Arial" w:hAnsi="Arial" w:cs="Arial"/>
        </w:rPr>
        <w:t>au Parlement e</w:t>
      </w:r>
      <w:r>
        <w:rPr>
          <w:rFonts w:ascii="Arial" w:hAnsi="Arial" w:cs="Arial"/>
        </w:rPr>
        <w:t xml:space="preserve">uropéen. </w:t>
      </w:r>
    </w:p>
    <w:p w:rsidR="001B02DD" w:rsidRDefault="00E35FBD" w:rsidP="002C5363">
      <w:pPr>
        <w:tabs>
          <w:tab w:val="left" w:pos="0"/>
        </w:tabs>
        <w:ind w:left="708"/>
        <w:jc w:val="both"/>
        <w:rPr>
          <w:rFonts w:ascii="Arial" w:hAnsi="Arial" w:cs="Arial"/>
        </w:rPr>
      </w:pPr>
      <w:r>
        <w:rPr>
          <w:rFonts w:ascii="Arial" w:hAnsi="Arial" w:cs="Arial"/>
        </w:rPr>
        <w:t xml:space="preserve">Les services IT du Parlement </w:t>
      </w:r>
      <w:r w:rsidR="00326DA7">
        <w:rPr>
          <w:rFonts w:ascii="Arial" w:hAnsi="Arial" w:cs="Arial"/>
        </w:rPr>
        <w:t>e</w:t>
      </w:r>
      <w:r>
        <w:rPr>
          <w:rFonts w:ascii="Arial" w:hAnsi="Arial" w:cs="Arial"/>
        </w:rPr>
        <w:t xml:space="preserve">uropéen (PE) </w:t>
      </w:r>
      <w:r w:rsidR="00326DA7">
        <w:rPr>
          <w:rFonts w:ascii="Arial" w:hAnsi="Arial" w:cs="Arial"/>
        </w:rPr>
        <w:t xml:space="preserve">peuvent </w:t>
      </w:r>
      <w:r>
        <w:rPr>
          <w:rFonts w:ascii="Arial" w:hAnsi="Arial" w:cs="Arial"/>
        </w:rPr>
        <w:t>agir de manière autonome (sans intervenir dans le contenu d’IPEX) pour prendre n’importe quelle action nécessaire pour garder le système digital d’IPEX opérationnel ou, moyennant les ressources disponibles, améliorer sa performance.</w:t>
      </w:r>
    </w:p>
    <w:p w:rsidR="001B02DD" w:rsidRDefault="00E35FBD" w:rsidP="00BA1FEC">
      <w:pPr>
        <w:tabs>
          <w:tab w:val="left" w:pos="0"/>
        </w:tabs>
        <w:jc w:val="both"/>
      </w:pPr>
      <w:r>
        <w:rPr>
          <w:rFonts w:ascii="Arial" w:hAnsi="Arial" w:cs="Arial"/>
          <w:b/>
        </w:rPr>
        <w:t>M2.</w:t>
      </w:r>
      <w:r w:rsidR="00360D99">
        <w:rPr>
          <w:rFonts w:ascii="Arial" w:hAnsi="Arial" w:cs="Arial"/>
        </w:rPr>
        <w:tab/>
      </w:r>
      <w:r>
        <w:rPr>
          <w:rFonts w:ascii="Arial" w:hAnsi="Arial" w:cs="Arial"/>
        </w:rPr>
        <w:t>Accessibilité et contrôle d’accès</w:t>
      </w:r>
    </w:p>
    <w:p w:rsidR="001B02DD" w:rsidRDefault="00E35FBD" w:rsidP="002C5363">
      <w:pPr>
        <w:tabs>
          <w:tab w:val="left" w:pos="0"/>
        </w:tabs>
        <w:ind w:left="708"/>
        <w:jc w:val="both"/>
        <w:rPr>
          <w:rFonts w:ascii="Arial" w:hAnsi="Arial" w:cs="Arial"/>
        </w:rPr>
      </w:pPr>
      <w:r>
        <w:rPr>
          <w:rFonts w:ascii="Arial" w:hAnsi="Arial" w:cs="Arial"/>
        </w:rPr>
        <w:t xml:space="preserve">Le contrôle d’accès et la gestion des utilisateurs sont exécutés par l’IPEX </w:t>
      </w:r>
      <w:r w:rsidRPr="002C5363">
        <w:rPr>
          <w:rFonts w:ascii="Arial" w:hAnsi="Arial" w:cs="Arial"/>
          <w:i/>
        </w:rPr>
        <w:t xml:space="preserve">Information </w:t>
      </w:r>
      <w:proofErr w:type="spellStart"/>
      <w:r w:rsidRPr="002C5363">
        <w:rPr>
          <w:rFonts w:ascii="Arial" w:hAnsi="Arial" w:cs="Arial"/>
          <w:i/>
        </w:rPr>
        <w:t>Officer</w:t>
      </w:r>
      <w:proofErr w:type="spellEnd"/>
      <w:r>
        <w:rPr>
          <w:rFonts w:ascii="Arial" w:hAnsi="Arial" w:cs="Arial"/>
        </w:rPr>
        <w:t xml:space="preserve">, </w:t>
      </w:r>
      <w:r w:rsidR="00326DA7">
        <w:rPr>
          <w:rFonts w:ascii="Arial" w:hAnsi="Arial" w:cs="Arial"/>
        </w:rPr>
        <w:t xml:space="preserve">conformément aux </w:t>
      </w:r>
      <w:r>
        <w:rPr>
          <w:rFonts w:ascii="Arial" w:hAnsi="Arial" w:cs="Arial"/>
        </w:rPr>
        <w:t>les lignes directrices d’IPEX (Art.9 (2b)) et les décisions du Conseil d’IPEX.</w:t>
      </w:r>
    </w:p>
    <w:p w:rsidR="001B02DD" w:rsidRDefault="00E35FBD" w:rsidP="002C5363">
      <w:pPr>
        <w:tabs>
          <w:tab w:val="left" w:pos="0"/>
        </w:tabs>
        <w:ind w:left="708"/>
        <w:jc w:val="both"/>
        <w:rPr>
          <w:rFonts w:ascii="Arial" w:hAnsi="Arial" w:cs="Arial"/>
        </w:rPr>
      </w:pPr>
      <w:r>
        <w:rPr>
          <w:rFonts w:ascii="Arial" w:hAnsi="Arial" w:cs="Arial"/>
        </w:rPr>
        <w:t xml:space="preserve">L’IPEX </w:t>
      </w:r>
      <w:r w:rsidRPr="002C5363">
        <w:rPr>
          <w:rFonts w:ascii="Arial" w:hAnsi="Arial" w:cs="Arial"/>
          <w:i/>
        </w:rPr>
        <w:t xml:space="preserve">Information </w:t>
      </w:r>
      <w:proofErr w:type="spellStart"/>
      <w:r w:rsidRPr="002C5363">
        <w:rPr>
          <w:rFonts w:ascii="Arial" w:hAnsi="Arial" w:cs="Arial"/>
          <w:i/>
        </w:rPr>
        <w:t>Officer</w:t>
      </w:r>
      <w:proofErr w:type="spellEnd"/>
      <w:r>
        <w:rPr>
          <w:rFonts w:ascii="Arial" w:hAnsi="Arial" w:cs="Arial"/>
        </w:rPr>
        <w:t xml:space="preserve">, </w:t>
      </w:r>
      <w:r w:rsidR="00326DA7">
        <w:rPr>
          <w:rFonts w:ascii="Arial" w:hAnsi="Arial" w:cs="Arial"/>
        </w:rPr>
        <w:t xml:space="preserve">conformément aux </w:t>
      </w:r>
      <w:r>
        <w:rPr>
          <w:rFonts w:ascii="Arial" w:hAnsi="Arial" w:cs="Arial"/>
        </w:rPr>
        <w:t>les lignes directrices d’IPEX et les autres instructions reçues du Conseil d’IPEX, octroi</w:t>
      </w:r>
      <w:r w:rsidR="00326DA7">
        <w:rPr>
          <w:rFonts w:ascii="Arial" w:hAnsi="Arial" w:cs="Arial"/>
        </w:rPr>
        <w:t>e</w:t>
      </w:r>
      <w:r w:rsidR="00360D99">
        <w:rPr>
          <w:rFonts w:ascii="Arial" w:hAnsi="Arial" w:cs="Arial"/>
        </w:rPr>
        <w:t xml:space="preserve"> ou restaure les </w:t>
      </w:r>
      <w:r>
        <w:rPr>
          <w:rFonts w:ascii="Arial" w:hAnsi="Arial" w:cs="Arial"/>
        </w:rPr>
        <w:t>droits d’accès des utilisateurs au système digital d’IPEX.</w:t>
      </w:r>
    </w:p>
    <w:p w:rsidR="001B02DD" w:rsidRDefault="00E35FBD" w:rsidP="00BA1FEC">
      <w:pPr>
        <w:tabs>
          <w:tab w:val="left" w:pos="0"/>
        </w:tabs>
        <w:jc w:val="both"/>
      </w:pPr>
      <w:r>
        <w:rPr>
          <w:rFonts w:ascii="Arial" w:hAnsi="Arial" w:cs="Arial"/>
          <w:b/>
        </w:rPr>
        <w:t>M.3</w:t>
      </w:r>
      <w:r w:rsidR="00360D99">
        <w:rPr>
          <w:rFonts w:ascii="Arial" w:hAnsi="Arial" w:cs="Arial"/>
        </w:rPr>
        <w:t xml:space="preserve"> </w:t>
      </w:r>
      <w:r w:rsidR="00360D99">
        <w:rPr>
          <w:rFonts w:ascii="Arial" w:hAnsi="Arial" w:cs="Arial"/>
        </w:rPr>
        <w:tab/>
      </w:r>
      <w:r>
        <w:rPr>
          <w:rFonts w:ascii="Arial" w:hAnsi="Arial" w:cs="Arial"/>
        </w:rPr>
        <w:t>Informations et gestion du contenu</w:t>
      </w:r>
    </w:p>
    <w:p w:rsidR="001B02DD" w:rsidRDefault="00E35FBD" w:rsidP="002C5363">
      <w:pPr>
        <w:tabs>
          <w:tab w:val="left" w:pos="0"/>
        </w:tabs>
        <w:ind w:left="708"/>
        <w:jc w:val="both"/>
        <w:rPr>
          <w:rFonts w:ascii="Arial" w:hAnsi="Arial" w:cs="Arial"/>
        </w:rPr>
      </w:pPr>
      <w:r>
        <w:rPr>
          <w:rFonts w:ascii="Arial" w:hAnsi="Arial" w:cs="Arial"/>
        </w:rPr>
        <w:t xml:space="preserve">La gestion et la supervision du contenu publié à travers le système digital d’IPEX est assuré par l’IPEX </w:t>
      </w:r>
      <w:r w:rsidRPr="002C5363">
        <w:rPr>
          <w:rFonts w:ascii="Arial" w:hAnsi="Arial" w:cs="Arial"/>
          <w:i/>
        </w:rPr>
        <w:t xml:space="preserve">Information </w:t>
      </w:r>
      <w:proofErr w:type="spellStart"/>
      <w:r w:rsidRPr="002C5363">
        <w:rPr>
          <w:rFonts w:ascii="Arial" w:hAnsi="Arial" w:cs="Arial"/>
          <w:i/>
        </w:rPr>
        <w:t>Officer</w:t>
      </w:r>
      <w:proofErr w:type="spellEnd"/>
      <w:r>
        <w:rPr>
          <w:rFonts w:ascii="Arial" w:hAnsi="Arial" w:cs="Arial"/>
        </w:rPr>
        <w:t>, agissant sous l</w:t>
      </w:r>
      <w:r w:rsidR="00326DA7">
        <w:rPr>
          <w:rFonts w:ascii="Arial" w:hAnsi="Arial" w:cs="Arial"/>
        </w:rPr>
        <w:t xml:space="preserve">e contrôle </w:t>
      </w:r>
      <w:r>
        <w:rPr>
          <w:rFonts w:ascii="Arial" w:hAnsi="Arial" w:cs="Arial"/>
        </w:rPr>
        <w:t xml:space="preserve">du Conseil d’IPEX, </w:t>
      </w:r>
      <w:r w:rsidR="00326DA7">
        <w:rPr>
          <w:rFonts w:ascii="Arial" w:hAnsi="Arial" w:cs="Arial"/>
        </w:rPr>
        <w:t xml:space="preserve">ainsi que des </w:t>
      </w:r>
      <w:r>
        <w:rPr>
          <w:rFonts w:ascii="Arial" w:hAnsi="Arial" w:cs="Arial"/>
        </w:rPr>
        <w:t xml:space="preserve">Correspondants IPEX </w:t>
      </w:r>
      <w:r w:rsidR="00326DA7">
        <w:rPr>
          <w:rFonts w:ascii="Arial" w:hAnsi="Arial" w:cs="Arial"/>
        </w:rPr>
        <w:t xml:space="preserve">s’agissant des </w:t>
      </w:r>
      <w:r>
        <w:rPr>
          <w:rFonts w:ascii="Arial" w:hAnsi="Arial" w:cs="Arial"/>
        </w:rPr>
        <w:t>pages de leurs Parlements nationaux (les pages de la propriété exclusive des Parlements nationaux).</w:t>
      </w:r>
    </w:p>
    <w:p w:rsidR="001B02DD" w:rsidRDefault="00E35FBD" w:rsidP="002C5363">
      <w:pPr>
        <w:tabs>
          <w:tab w:val="left" w:pos="0"/>
        </w:tabs>
        <w:ind w:left="708"/>
        <w:jc w:val="both"/>
        <w:rPr>
          <w:rFonts w:ascii="Arial" w:hAnsi="Arial" w:cs="Arial"/>
        </w:rPr>
      </w:pPr>
      <w:r>
        <w:rPr>
          <w:rFonts w:ascii="Arial" w:hAnsi="Arial" w:cs="Arial"/>
        </w:rPr>
        <w:t>L’</w:t>
      </w:r>
      <w:r w:rsidRPr="002C5363">
        <w:rPr>
          <w:rFonts w:ascii="Arial" w:hAnsi="Arial" w:cs="Arial"/>
          <w:i/>
        </w:rPr>
        <w:t xml:space="preserve">Information </w:t>
      </w:r>
      <w:proofErr w:type="spellStart"/>
      <w:r w:rsidRPr="002C5363">
        <w:rPr>
          <w:rFonts w:ascii="Arial" w:hAnsi="Arial" w:cs="Arial"/>
          <w:i/>
        </w:rPr>
        <w:t>Off</w:t>
      </w:r>
      <w:r w:rsidR="00143488">
        <w:rPr>
          <w:rFonts w:ascii="Arial" w:hAnsi="Arial" w:cs="Arial"/>
          <w:i/>
        </w:rPr>
        <w:t>i</w:t>
      </w:r>
      <w:r w:rsidRPr="002C5363">
        <w:rPr>
          <w:rFonts w:ascii="Arial" w:hAnsi="Arial" w:cs="Arial"/>
          <w:i/>
        </w:rPr>
        <w:t>cer</w:t>
      </w:r>
      <w:proofErr w:type="spellEnd"/>
      <w:r w:rsidRPr="002C5363">
        <w:rPr>
          <w:rFonts w:ascii="Arial" w:hAnsi="Arial" w:cs="Arial"/>
          <w:i/>
        </w:rPr>
        <w:t xml:space="preserve"> </w:t>
      </w:r>
      <w:r>
        <w:rPr>
          <w:rFonts w:ascii="Arial" w:hAnsi="Arial" w:cs="Arial"/>
        </w:rPr>
        <w:t>et les Correspondants d’IPEX s’assurent que les documents/informations publiées sur le site d’IPEX sont en conformité avec les règles éditoriales générales d’IPEX :</w:t>
      </w:r>
    </w:p>
    <w:p w:rsidR="001B02DD" w:rsidRDefault="00E35FBD" w:rsidP="00BA1FEC">
      <w:pPr>
        <w:pStyle w:val="Paragraphedeliste"/>
        <w:numPr>
          <w:ilvl w:val="0"/>
          <w:numId w:val="4"/>
        </w:numPr>
        <w:tabs>
          <w:tab w:val="left" w:pos="0"/>
        </w:tabs>
        <w:jc w:val="both"/>
      </w:pPr>
      <w:r>
        <w:rPr>
          <w:rFonts w:ascii="Arial" w:hAnsi="Arial" w:cs="Arial"/>
        </w:rPr>
        <w:t>L’</w:t>
      </w:r>
      <w:r w:rsidRPr="002C5363">
        <w:rPr>
          <w:rFonts w:ascii="Arial" w:hAnsi="Arial" w:cs="Arial"/>
          <w:i/>
        </w:rPr>
        <w:t xml:space="preserve">Information </w:t>
      </w:r>
      <w:proofErr w:type="spellStart"/>
      <w:r w:rsidRPr="002C5363">
        <w:rPr>
          <w:rFonts w:ascii="Arial" w:hAnsi="Arial" w:cs="Arial"/>
          <w:i/>
        </w:rPr>
        <w:t>Officer</w:t>
      </w:r>
      <w:proofErr w:type="spellEnd"/>
      <w:r w:rsidRPr="002C5363">
        <w:rPr>
          <w:rFonts w:ascii="Arial" w:hAnsi="Arial" w:cs="Arial"/>
          <w:i/>
        </w:rPr>
        <w:t xml:space="preserve"> </w:t>
      </w:r>
      <w:r>
        <w:rPr>
          <w:rFonts w:ascii="Arial" w:hAnsi="Arial" w:cs="Arial"/>
        </w:rPr>
        <w:t>assure la cohérence avec les règles éditoriales générales d’IPEX de toutes les publications des intervenants</w:t>
      </w:r>
      <w:r w:rsidR="00D01D69">
        <w:rPr>
          <w:rFonts w:ascii="Arial" w:hAnsi="Arial" w:cs="Arial"/>
        </w:rPr>
        <w:t xml:space="preserve"> autorisés</w:t>
      </w:r>
      <w:r>
        <w:rPr>
          <w:rStyle w:val="Appelnotedebasdep"/>
          <w:rFonts w:ascii="Arial" w:hAnsi="Arial" w:cs="Arial"/>
        </w:rPr>
        <w:footnoteReference w:id="7"/>
      </w:r>
      <w:r>
        <w:rPr>
          <w:rFonts w:ascii="Arial" w:hAnsi="Arial" w:cs="Arial"/>
        </w:rPr>
        <w:t>, sujets à la réserve du point 2 en dessous,</w:t>
      </w:r>
    </w:p>
    <w:p w:rsidR="001B02DD" w:rsidRDefault="00E35FBD" w:rsidP="00BA1FEC">
      <w:pPr>
        <w:pStyle w:val="Paragraphedeliste"/>
        <w:numPr>
          <w:ilvl w:val="0"/>
          <w:numId w:val="4"/>
        </w:numPr>
        <w:tabs>
          <w:tab w:val="left" w:pos="0"/>
        </w:tabs>
        <w:jc w:val="both"/>
        <w:rPr>
          <w:rFonts w:ascii="Arial" w:hAnsi="Arial" w:cs="Arial"/>
        </w:rPr>
      </w:pPr>
      <w:r>
        <w:rPr>
          <w:rFonts w:ascii="Arial" w:hAnsi="Arial" w:cs="Arial"/>
        </w:rPr>
        <w:t>Les Correspondants nationaux sont responsables des pages de leurs Parlements nationaux.</w:t>
      </w:r>
    </w:p>
    <w:p w:rsidR="001B02DD" w:rsidRDefault="00E35FBD" w:rsidP="002C5363">
      <w:pPr>
        <w:tabs>
          <w:tab w:val="left" w:pos="0"/>
        </w:tabs>
        <w:ind w:left="708"/>
        <w:jc w:val="both"/>
        <w:rPr>
          <w:rFonts w:ascii="Arial" w:hAnsi="Arial" w:cs="Arial"/>
        </w:rPr>
      </w:pPr>
      <w:r>
        <w:rPr>
          <w:rFonts w:ascii="Arial" w:hAnsi="Arial" w:cs="Arial"/>
        </w:rPr>
        <w:lastRenderedPageBreak/>
        <w:t>L’entretien quotidien et la surveillance de la chronologie et de l’exactitude des informations publiées sur le système digital d’IPEX, exécutés par l’</w:t>
      </w:r>
      <w:r w:rsidRPr="002C5363">
        <w:rPr>
          <w:rFonts w:ascii="Arial" w:hAnsi="Arial" w:cs="Arial"/>
          <w:i/>
        </w:rPr>
        <w:t xml:space="preserve">Information </w:t>
      </w:r>
      <w:proofErr w:type="spellStart"/>
      <w:r w:rsidRPr="002C5363">
        <w:rPr>
          <w:rFonts w:ascii="Arial" w:hAnsi="Arial" w:cs="Arial"/>
          <w:i/>
        </w:rPr>
        <w:t>Officer</w:t>
      </w:r>
      <w:proofErr w:type="spellEnd"/>
      <w:r w:rsidRPr="002C5363">
        <w:rPr>
          <w:rFonts w:ascii="Arial" w:hAnsi="Arial" w:cs="Arial"/>
          <w:i/>
        </w:rPr>
        <w:t xml:space="preserve"> </w:t>
      </w:r>
      <w:r>
        <w:rPr>
          <w:rFonts w:ascii="Arial" w:hAnsi="Arial" w:cs="Arial"/>
        </w:rPr>
        <w:t xml:space="preserve">comprennent : </w:t>
      </w:r>
    </w:p>
    <w:p w:rsidR="001B02DD" w:rsidRDefault="0052712C" w:rsidP="00BA1FEC">
      <w:pPr>
        <w:pStyle w:val="Paragraphedeliste"/>
        <w:numPr>
          <w:ilvl w:val="0"/>
          <w:numId w:val="5"/>
        </w:numPr>
        <w:tabs>
          <w:tab w:val="left" w:pos="0"/>
        </w:tabs>
        <w:jc w:val="both"/>
      </w:pPr>
      <w:r>
        <w:rPr>
          <w:rFonts w:ascii="Arial" w:hAnsi="Arial" w:cs="Arial"/>
        </w:rPr>
        <w:t>l</w:t>
      </w:r>
      <w:r w:rsidR="00D01D69">
        <w:rPr>
          <w:rFonts w:ascii="Arial" w:hAnsi="Arial" w:cs="Arial"/>
        </w:rPr>
        <w:t>a</w:t>
      </w:r>
      <w:r>
        <w:rPr>
          <w:rFonts w:ascii="Arial" w:hAnsi="Arial" w:cs="Arial"/>
        </w:rPr>
        <w:t xml:space="preserve"> s</w:t>
      </w:r>
      <w:r w:rsidR="00E35FBD">
        <w:rPr>
          <w:rFonts w:ascii="Arial" w:hAnsi="Arial" w:cs="Arial"/>
        </w:rPr>
        <w:t xml:space="preserve">urveillance et </w:t>
      </w:r>
      <w:r w:rsidR="00D01D69">
        <w:rPr>
          <w:rFonts w:ascii="Arial" w:hAnsi="Arial" w:cs="Arial"/>
        </w:rPr>
        <w:t xml:space="preserve">la </w:t>
      </w:r>
      <w:r w:rsidR="00E35FBD">
        <w:rPr>
          <w:rFonts w:ascii="Arial" w:hAnsi="Arial" w:cs="Arial"/>
        </w:rPr>
        <w:t xml:space="preserve">correction </w:t>
      </w:r>
      <w:r w:rsidR="00D01D69">
        <w:rPr>
          <w:rFonts w:ascii="Arial" w:hAnsi="Arial" w:cs="Arial"/>
        </w:rPr>
        <w:t xml:space="preserve">éventuelle </w:t>
      </w:r>
      <w:r w:rsidR="00E35FBD">
        <w:rPr>
          <w:rFonts w:ascii="Arial" w:hAnsi="Arial" w:cs="Arial"/>
        </w:rPr>
        <w:t>de la terminologie dans le but d’assurer la cohérence des mots et termes publiés sur le site – en accord avec le Glossaire des termes utilisés sur le site d’IPEX,</w:t>
      </w:r>
      <w:r w:rsidR="00E35FBD">
        <w:rPr>
          <w:rStyle w:val="Appelnotedebasdep"/>
          <w:rFonts w:ascii="Arial" w:hAnsi="Arial" w:cs="Arial"/>
        </w:rPr>
        <w:footnoteReference w:id="8"/>
      </w:r>
    </w:p>
    <w:p w:rsidR="001B02DD" w:rsidRDefault="00D01D69" w:rsidP="00BA1FEC">
      <w:pPr>
        <w:pStyle w:val="Paragraphedeliste"/>
        <w:numPr>
          <w:ilvl w:val="0"/>
          <w:numId w:val="5"/>
        </w:numPr>
        <w:tabs>
          <w:tab w:val="left" w:pos="0"/>
        </w:tabs>
        <w:jc w:val="both"/>
        <w:rPr>
          <w:rFonts w:ascii="Arial" w:hAnsi="Arial" w:cs="Arial"/>
        </w:rPr>
      </w:pPr>
      <w:proofErr w:type="gramStart"/>
      <w:r>
        <w:rPr>
          <w:rFonts w:ascii="Arial" w:hAnsi="Arial" w:cs="Arial"/>
        </w:rPr>
        <w:t>la</w:t>
      </w:r>
      <w:proofErr w:type="gramEnd"/>
      <w:r>
        <w:rPr>
          <w:rFonts w:ascii="Arial" w:hAnsi="Arial" w:cs="Arial"/>
        </w:rPr>
        <w:t xml:space="preserve"> </w:t>
      </w:r>
      <w:r w:rsidR="00360D99">
        <w:rPr>
          <w:rFonts w:ascii="Arial" w:hAnsi="Arial" w:cs="Arial"/>
        </w:rPr>
        <w:t>s</w:t>
      </w:r>
      <w:r w:rsidR="00E35FBD">
        <w:rPr>
          <w:rFonts w:ascii="Arial" w:hAnsi="Arial" w:cs="Arial"/>
        </w:rPr>
        <w:t>urveillance de</w:t>
      </w:r>
      <w:r>
        <w:rPr>
          <w:rFonts w:ascii="Arial" w:hAnsi="Arial" w:cs="Arial"/>
        </w:rPr>
        <w:t xml:space="preserve"> l’</w:t>
      </w:r>
      <w:r w:rsidR="00E35FBD">
        <w:rPr>
          <w:rFonts w:ascii="Arial" w:hAnsi="Arial" w:cs="Arial"/>
        </w:rPr>
        <w:t>exactitude technique des documents publiés et des informations – forme correcte, linguistique correcte, dans les emplacements prédéterminés selon le modèle fourni par les règles éditoriales générales d’IPEX,</w:t>
      </w:r>
    </w:p>
    <w:p w:rsidR="001B02DD" w:rsidRDefault="00E52487" w:rsidP="00BA1FEC">
      <w:pPr>
        <w:pStyle w:val="Paragraphedeliste"/>
        <w:numPr>
          <w:ilvl w:val="0"/>
          <w:numId w:val="5"/>
        </w:numPr>
        <w:tabs>
          <w:tab w:val="left" w:pos="0"/>
        </w:tabs>
        <w:jc w:val="both"/>
        <w:rPr>
          <w:rFonts w:ascii="Arial" w:hAnsi="Arial" w:cs="Arial"/>
        </w:rPr>
      </w:pPr>
      <w:proofErr w:type="gramStart"/>
      <w:r>
        <w:rPr>
          <w:rFonts w:ascii="Arial" w:hAnsi="Arial" w:cs="Arial"/>
        </w:rPr>
        <w:t>l’assurance</w:t>
      </w:r>
      <w:proofErr w:type="gramEnd"/>
      <w:r>
        <w:rPr>
          <w:rFonts w:ascii="Arial" w:hAnsi="Arial" w:cs="Arial"/>
        </w:rPr>
        <w:t xml:space="preserve"> de </w:t>
      </w:r>
      <w:r w:rsidR="00E35FBD">
        <w:rPr>
          <w:rFonts w:ascii="Arial" w:hAnsi="Arial" w:cs="Arial"/>
        </w:rPr>
        <w:t>la traduction des parties convenues sur le site en stricte coopération avec les Correspondants d’IPEX,</w:t>
      </w:r>
    </w:p>
    <w:p w:rsidR="001B02DD" w:rsidRDefault="00E52487" w:rsidP="00BA1FEC">
      <w:pPr>
        <w:pStyle w:val="Paragraphedeliste"/>
        <w:numPr>
          <w:ilvl w:val="0"/>
          <w:numId w:val="5"/>
        </w:numPr>
        <w:tabs>
          <w:tab w:val="left" w:pos="0"/>
        </w:tabs>
        <w:jc w:val="both"/>
        <w:rPr>
          <w:rFonts w:ascii="Arial" w:hAnsi="Arial" w:cs="Arial"/>
        </w:rPr>
      </w:pPr>
      <w:proofErr w:type="gramStart"/>
      <w:r>
        <w:rPr>
          <w:rFonts w:ascii="Arial" w:hAnsi="Arial" w:cs="Arial"/>
        </w:rPr>
        <w:t>la</w:t>
      </w:r>
      <w:proofErr w:type="gramEnd"/>
      <w:r>
        <w:rPr>
          <w:rFonts w:ascii="Arial" w:hAnsi="Arial" w:cs="Arial"/>
        </w:rPr>
        <w:t xml:space="preserve"> v</w:t>
      </w:r>
      <w:r w:rsidR="00E35FBD">
        <w:rPr>
          <w:rFonts w:ascii="Arial" w:hAnsi="Arial" w:cs="Arial"/>
        </w:rPr>
        <w:t>érification de l’exactitude et du fonctionnement des liens,</w:t>
      </w:r>
    </w:p>
    <w:p w:rsidR="001B02DD" w:rsidRDefault="00360D99" w:rsidP="00BA1FEC">
      <w:pPr>
        <w:pStyle w:val="Paragraphedeliste"/>
        <w:numPr>
          <w:ilvl w:val="0"/>
          <w:numId w:val="5"/>
        </w:numPr>
        <w:tabs>
          <w:tab w:val="left" w:pos="0"/>
        </w:tabs>
        <w:jc w:val="both"/>
      </w:pPr>
      <w:r>
        <w:rPr>
          <w:rFonts w:ascii="Arial" w:hAnsi="Arial" w:cs="Arial"/>
        </w:rPr>
        <w:t>d</w:t>
      </w:r>
      <w:r w:rsidR="00E35FBD">
        <w:rPr>
          <w:rFonts w:ascii="Arial" w:hAnsi="Arial" w:cs="Arial"/>
        </w:rPr>
        <w:t>emander aux Correspondants nationaux</w:t>
      </w:r>
      <w:r w:rsidR="00E35FBD">
        <w:rPr>
          <w:rStyle w:val="Appelnotedebasdep"/>
          <w:rFonts w:ascii="Arial" w:hAnsi="Arial" w:cs="Arial"/>
        </w:rPr>
        <w:footnoteReference w:id="9"/>
      </w:r>
      <w:r w:rsidR="00E35FBD">
        <w:rPr>
          <w:rFonts w:ascii="Arial" w:hAnsi="Arial" w:cs="Arial"/>
        </w:rPr>
        <w:t xml:space="preserve"> de corriger le contenu des pages de leurs Parlements nationaux si besoin est.</w:t>
      </w:r>
    </w:p>
    <w:p w:rsidR="001B02DD" w:rsidRDefault="001B02DD" w:rsidP="00BA1FEC">
      <w:pPr>
        <w:tabs>
          <w:tab w:val="left" w:pos="0"/>
        </w:tabs>
        <w:jc w:val="both"/>
        <w:rPr>
          <w:rFonts w:ascii="Arial" w:hAnsi="Arial" w:cs="Arial"/>
        </w:rPr>
      </w:pPr>
    </w:p>
    <w:p w:rsidR="001B02DD" w:rsidRDefault="00E35FBD" w:rsidP="00BA1FEC">
      <w:pPr>
        <w:pStyle w:val="Titre2"/>
        <w:numPr>
          <w:ilvl w:val="1"/>
          <w:numId w:val="10"/>
        </w:numPr>
        <w:tabs>
          <w:tab w:val="left" w:pos="0"/>
        </w:tabs>
      </w:pPr>
      <w:bookmarkStart w:id="9" w:name="_Toc475103158"/>
      <w:r>
        <w:t>Relations avec les autres acteurs dans le cadre de l’échange d’information de l’UE</w:t>
      </w:r>
      <w:bookmarkEnd w:id="9"/>
    </w:p>
    <w:p w:rsidR="001B02DD" w:rsidRDefault="00E35FBD" w:rsidP="00BA1FEC">
      <w:pPr>
        <w:tabs>
          <w:tab w:val="left" w:pos="0"/>
        </w:tabs>
        <w:jc w:val="both"/>
        <w:rPr>
          <w:rFonts w:ascii="Arial" w:hAnsi="Arial" w:cs="Arial"/>
        </w:rPr>
      </w:pPr>
      <w:r>
        <w:rPr>
          <w:rFonts w:ascii="Arial" w:hAnsi="Arial" w:cs="Arial"/>
        </w:rPr>
        <w:t>Le développement extérieur dans l’échange digital d’informations de l’UE peut avoir un effet sur la plateforme digitale d’IPEX et aussi sur le réseau. Le Conseil d’IPEX d</w:t>
      </w:r>
      <w:r w:rsidR="0046421E">
        <w:rPr>
          <w:rFonts w:ascii="Arial" w:hAnsi="Arial" w:cs="Arial"/>
        </w:rPr>
        <w:t>evrait</w:t>
      </w:r>
      <w:r>
        <w:rPr>
          <w:rFonts w:ascii="Arial" w:hAnsi="Arial" w:cs="Arial"/>
        </w:rPr>
        <w:t xml:space="preserve"> considérer cet impact sur IPEX si nécessaire.</w:t>
      </w:r>
    </w:p>
    <w:p w:rsidR="001B02DD" w:rsidRDefault="00E35FBD" w:rsidP="00BA1FEC">
      <w:pPr>
        <w:tabs>
          <w:tab w:val="left" w:pos="0"/>
        </w:tabs>
        <w:jc w:val="both"/>
      </w:pPr>
      <w:r>
        <w:rPr>
          <w:rFonts w:ascii="Arial" w:hAnsi="Arial" w:cs="Arial"/>
        </w:rPr>
        <w:t>L</w:t>
      </w:r>
      <w:r w:rsidR="0046421E">
        <w:rPr>
          <w:rFonts w:ascii="Arial" w:hAnsi="Arial" w:cs="Arial"/>
        </w:rPr>
        <w:t xml:space="preserve">’objectif </w:t>
      </w:r>
      <w:r>
        <w:rPr>
          <w:rFonts w:ascii="Arial" w:hAnsi="Arial" w:cs="Arial"/>
        </w:rPr>
        <w:t>principal du Conseil d’IPEX dans sa stratégie externe est d’assurer que les buts d’IPEX sont poursuivis. Le Conseil promeut IPEX comme la principale plateforme pour l’échange d’informations interparlementaire</w:t>
      </w:r>
      <w:r w:rsidR="0046421E">
        <w:rPr>
          <w:rFonts w:ascii="Arial" w:hAnsi="Arial" w:cs="Arial"/>
        </w:rPr>
        <w:t>s</w:t>
      </w:r>
      <w:r>
        <w:rPr>
          <w:rFonts w:ascii="Arial" w:hAnsi="Arial" w:cs="Arial"/>
        </w:rPr>
        <w:t xml:space="preserve"> dans l’UE. Des interactions mutuellement bénéfiques et coopératives avec d’autres plateformes, forums et réseaux doivent être considérées et encouragées par le Conseil chaque fois que c’est nécessaire et que cela nourrit les besoins évolutifs du public visé d’IPEX.</w:t>
      </w:r>
    </w:p>
    <w:p w:rsidR="001B02DD" w:rsidRDefault="001B02DD" w:rsidP="00BA1FEC">
      <w:pPr>
        <w:tabs>
          <w:tab w:val="left" w:pos="0"/>
        </w:tabs>
        <w:jc w:val="both"/>
        <w:rPr>
          <w:rFonts w:ascii="Arial" w:hAnsi="Arial" w:cs="Arial"/>
        </w:rPr>
      </w:pPr>
    </w:p>
    <w:p w:rsidR="001B02DD" w:rsidRDefault="00E35FBD" w:rsidP="00BA1FEC">
      <w:pPr>
        <w:tabs>
          <w:tab w:val="left" w:pos="0"/>
        </w:tabs>
        <w:jc w:val="both"/>
        <w:rPr>
          <w:rFonts w:ascii="Arial" w:hAnsi="Arial" w:cs="Arial"/>
          <w:b/>
          <w:i/>
        </w:rPr>
      </w:pPr>
      <w:r>
        <w:rPr>
          <w:rFonts w:ascii="Arial" w:hAnsi="Arial" w:cs="Arial"/>
          <w:b/>
          <w:i/>
        </w:rPr>
        <w:t>L’environnement actuel d’IPEX : les autres intervenants participant aux échanges d’informations des Parlements nationaux de l’UE.</w:t>
      </w:r>
    </w:p>
    <w:p w:rsidR="001B02DD" w:rsidRDefault="00E35FBD" w:rsidP="00BA1FEC">
      <w:pPr>
        <w:tabs>
          <w:tab w:val="left" w:pos="0"/>
        </w:tabs>
        <w:jc w:val="both"/>
      </w:pPr>
      <w:r>
        <w:rPr>
          <w:rFonts w:ascii="Arial" w:hAnsi="Arial" w:cs="Arial"/>
        </w:rPr>
        <w:t xml:space="preserve">La </w:t>
      </w:r>
      <w:r w:rsidR="0046421E">
        <w:rPr>
          <w:rFonts w:ascii="Arial" w:hAnsi="Arial" w:cs="Arial"/>
        </w:rPr>
        <w:t>s</w:t>
      </w:r>
      <w:r>
        <w:rPr>
          <w:rFonts w:ascii="Arial" w:hAnsi="Arial" w:cs="Arial"/>
        </w:rPr>
        <w:t xml:space="preserve">tratégie </w:t>
      </w:r>
      <w:r w:rsidR="0046421E">
        <w:rPr>
          <w:rFonts w:ascii="Arial" w:hAnsi="Arial" w:cs="Arial"/>
        </w:rPr>
        <w:t>d</w:t>
      </w:r>
      <w:r>
        <w:rPr>
          <w:rFonts w:ascii="Arial" w:hAnsi="Arial" w:cs="Arial"/>
        </w:rPr>
        <w:t>igitale d’IPEX prend aussi en considération l’environnement dans lequel IPEX</w:t>
      </w:r>
      <w:r w:rsidR="001A64FC">
        <w:rPr>
          <w:rFonts w:ascii="Arial" w:hAnsi="Arial" w:cs="Arial"/>
        </w:rPr>
        <w:t xml:space="preserve"> </w:t>
      </w:r>
      <w:r w:rsidR="0046421E">
        <w:rPr>
          <w:rFonts w:ascii="Arial" w:hAnsi="Arial" w:cs="Arial"/>
        </w:rPr>
        <w:t>opère</w:t>
      </w:r>
      <w:r>
        <w:rPr>
          <w:rFonts w:ascii="Arial" w:hAnsi="Arial" w:cs="Arial"/>
        </w:rPr>
        <w:t xml:space="preserve">, </w:t>
      </w:r>
      <w:r w:rsidR="00D94E18">
        <w:rPr>
          <w:rFonts w:ascii="Arial" w:hAnsi="Arial" w:cs="Arial"/>
        </w:rPr>
        <w:t xml:space="preserve">c’est-à-dire </w:t>
      </w:r>
      <w:r>
        <w:rPr>
          <w:rFonts w:ascii="Arial" w:hAnsi="Arial" w:cs="Arial"/>
        </w:rPr>
        <w:t xml:space="preserve">les bases de données ou autres outils digitaux contenant les mêmes documents et informations des Parlements nationaux </w:t>
      </w:r>
      <w:r w:rsidR="007A7434">
        <w:rPr>
          <w:rFonts w:ascii="Arial" w:hAnsi="Arial" w:cs="Arial"/>
        </w:rPr>
        <w:t xml:space="preserve">dont dispose </w:t>
      </w:r>
      <w:r>
        <w:rPr>
          <w:rFonts w:ascii="Arial" w:hAnsi="Arial" w:cs="Arial"/>
        </w:rPr>
        <w:t xml:space="preserve">IPEX a ou servant le mêmes </w:t>
      </w:r>
      <w:r w:rsidR="007A7434">
        <w:rPr>
          <w:rFonts w:ascii="Arial" w:hAnsi="Arial" w:cs="Arial"/>
        </w:rPr>
        <w:t xml:space="preserve">objectif </w:t>
      </w:r>
      <w:r>
        <w:rPr>
          <w:rFonts w:ascii="Arial" w:hAnsi="Arial" w:cs="Arial"/>
        </w:rPr>
        <w:t xml:space="preserve">d’échange d’informations entre les Parlements de l’UE sur les affaires </w:t>
      </w:r>
      <w:r w:rsidR="007A7434">
        <w:rPr>
          <w:rFonts w:ascii="Arial" w:hAnsi="Arial" w:cs="Arial"/>
        </w:rPr>
        <w:t>européennes</w:t>
      </w:r>
      <w:r w:rsidR="001A64FC">
        <w:rPr>
          <w:rFonts w:ascii="Arial" w:hAnsi="Arial" w:cs="Arial"/>
        </w:rPr>
        <w:t xml:space="preserve"> (</w:t>
      </w:r>
      <w:r>
        <w:rPr>
          <w:rFonts w:ascii="Arial" w:hAnsi="Arial" w:cs="Arial"/>
        </w:rPr>
        <w:t>ex :</w:t>
      </w:r>
      <w:r w:rsidR="001A64FC">
        <w:rPr>
          <w:rFonts w:ascii="Arial" w:hAnsi="Arial" w:cs="Arial"/>
        </w:rPr>
        <w:t xml:space="preserve"> les statistiques du Parlement e</w:t>
      </w:r>
      <w:r>
        <w:rPr>
          <w:rFonts w:ascii="Arial" w:hAnsi="Arial" w:cs="Arial"/>
        </w:rPr>
        <w:t>uropéen).</w:t>
      </w:r>
    </w:p>
    <w:p w:rsidR="001B02DD" w:rsidRDefault="00E35FBD" w:rsidP="00BA1FEC">
      <w:pPr>
        <w:tabs>
          <w:tab w:val="left" w:pos="0"/>
        </w:tabs>
        <w:jc w:val="both"/>
        <w:rPr>
          <w:rFonts w:ascii="Arial" w:hAnsi="Arial" w:cs="Arial"/>
        </w:rPr>
      </w:pPr>
      <w:r>
        <w:rPr>
          <w:rFonts w:ascii="Arial" w:hAnsi="Arial" w:cs="Arial"/>
        </w:rPr>
        <w:t xml:space="preserve">Les documents des Parlements nationaux téléchargés sur IPEX sont –en parallèle- transmis aux autres bases de données de l’UE, à savoir : la Commission européenne, le Parlement </w:t>
      </w:r>
      <w:r w:rsidR="00D94E18">
        <w:rPr>
          <w:rFonts w:ascii="Arial" w:hAnsi="Arial" w:cs="Arial"/>
        </w:rPr>
        <w:t>e</w:t>
      </w:r>
      <w:r>
        <w:rPr>
          <w:rFonts w:ascii="Arial" w:hAnsi="Arial" w:cs="Arial"/>
        </w:rPr>
        <w:t>uropéen</w:t>
      </w:r>
      <w:r w:rsidR="00D94E18">
        <w:rPr>
          <w:rFonts w:ascii="Arial" w:hAnsi="Arial" w:cs="Arial"/>
        </w:rPr>
        <w:t xml:space="preserve"> et</w:t>
      </w:r>
      <w:r>
        <w:rPr>
          <w:rFonts w:ascii="Arial" w:hAnsi="Arial" w:cs="Arial"/>
        </w:rPr>
        <w:t xml:space="preserve"> le Conseil (voir Annexe 4.3). IPEX fait le lien entre ces bases de données et le site internet. Cependant, dans le but d’assurer l’amélioration de la fiabilité des informations sur IPEX, les relations entre IPEX et les autres bases de données de l’UE contenant des documents des Parlements nationaux sont analysées pour affirmer le rôle de source principale d’information qu’est IPEX pour son public.</w:t>
      </w:r>
    </w:p>
    <w:p w:rsidR="001B02DD" w:rsidRDefault="00E35FBD" w:rsidP="00BA1FEC">
      <w:pPr>
        <w:tabs>
          <w:tab w:val="left" w:pos="0"/>
        </w:tabs>
        <w:jc w:val="both"/>
        <w:rPr>
          <w:rFonts w:ascii="Arial" w:hAnsi="Arial" w:cs="Arial"/>
        </w:rPr>
      </w:pPr>
      <w:r>
        <w:rPr>
          <w:rFonts w:ascii="Arial" w:hAnsi="Arial" w:cs="Arial"/>
        </w:rPr>
        <w:lastRenderedPageBreak/>
        <w:t>La raison pour une telle analyse peut être trouvée dans la description des contenus des bases de données de l’UE (documents des Parlements nationaux) listés dans l’annexe 4.3.</w:t>
      </w:r>
    </w:p>
    <w:p w:rsidR="001B02DD" w:rsidRDefault="00E35FBD" w:rsidP="00BA1FEC">
      <w:pPr>
        <w:tabs>
          <w:tab w:val="left" w:pos="0"/>
        </w:tabs>
        <w:jc w:val="both"/>
      </w:pPr>
      <w:r>
        <w:rPr>
          <w:rFonts w:ascii="Arial" w:hAnsi="Arial" w:cs="Arial"/>
        </w:rPr>
        <w:t xml:space="preserve">Après une telle évaluation impliquant le Conseil et les Correspondants nationaux (prenant, si possible, en considération les bases de données des 3 institutions), </w:t>
      </w:r>
      <w:r w:rsidR="00D94E18">
        <w:rPr>
          <w:rFonts w:ascii="Arial" w:hAnsi="Arial" w:cs="Arial"/>
        </w:rPr>
        <w:t>les</w:t>
      </w:r>
      <w:r>
        <w:rPr>
          <w:rFonts w:ascii="Arial" w:hAnsi="Arial" w:cs="Arial"/>
        </w:rPr>
        <w:t xml:space="preserve"> résultats</w:t>
      </w:r>
      <w:r w:rsidR="00D94E18">
        <w:rPr>
          <w:rFonts w:ascii="Arial" w:hAnsi="Arial" w:cs="Arial"/>
        </w:rPr>
        <w:t xml:space="preserve"> de celle-ci</w:t>
      </w:r>
      <w:r>
        <w:rPr>
          <w:rFonts w:ascii="Arial" w:hAnsi="Arial" w:cs="Arial"/>
        </w:rPr>
        <w:t xml:space="preserve"> </w:t>
      </w:r>
      <w:r w:rsidR="00D94E18">
        <w:rPr>
          <w:rFonts w:ascii="Arial" w:hAnsi="Arial" w:cs="Arial"/>
        </w:rPr>
        <w:t xml:space="preserve">seront </w:t>
      </w:r>
      <w:r w:rsidR="00D34E92">
        <w:rPr>
          <w:rFonts w:ascii="Arial" w:hAnsi="Arial" w:cs="Arial"/>
        </w:rPr>
        <w:t>intégrés</w:t>
      </w:r>
      <w:r w:rsidR="00D94E18">
        <w:rPr>
          <w:rFonts w:ascii="Arial" w:hAnsi="Arial" w:cs="Arial"/>
        </w:rPr>
        <w:t xml:space="preserve"> dans le programme de travail sous forme </w:t>
      </w:r>
      <w:r>
        <w:rPr>
          <w:rFonts w:ascii="Arial" w:hAnsi="Arial" w:cs="Arial"/>
        </w:rPr>
        <w:t xml:space="preserve">d’attentes spécifiques ou de demandes </w:t>
      </w:r>
      <w:r w:rsidR="00D94E18">
        <w:rPr>
          <w:rFonts w:ascii="Arial" w:hAnsi="Arial" w:cs="Arial"/>
        </w:rPr>
        <w:t xml:space="preserve">envers </w:t>
      </w:r>
      <w:r>
        <w:rPr>
          <w:rFonts w:ascii="Arial" w:hAnsi="Arial" w:cs="Arial"/>
        </w:rPr>
        <w:t xml:space="preserve">d’autres bases de données de l’UE </w:t>
      </w:r>
      <w:r w:rsidR="00D94E18">
        <w:rPr>
          <w:rFonts w:ascii="Arial" w:hAnsi="Arial" w:cs="Arial"/>
        </w:rPr>
        <w:t xml:space="preserve">ou envers </w:t>
      </w:r>
      <w:r>
        <w:rPr>
          <w:rFonts w:ascii="Arial" w:hAnsi="Arial" w:cs="Arial"/>
        </w:rPr>
        <w:t>IPEX lui-même.</w:t>
      </w:r>
    </w:p>
    <w:p w:rsidR="001B02DD" w:rsidRDefault="001B02DD" w:rsidP="00BA1FEC">
      <w:pPr>
        <w:tabs>
          <w:tab w:val="left" w:pos="0"/>
        </w:tabs>
        <w:jc w:val="both"/>
        <w:rPr>
          <w:rFonts w:ascii="Arial" w:hAnsi="Arial" w:cs="Arial"/>
        </w:rPr>
      </w:pPr>
    </w:p>
    <w:p w:rsidR="001B02DD" w:rsidRPr="001127FF" w:rsidRDefault="00E35FBD" w:rsidP="00BA1FEC">
      <w:pPr>
        <w:pStyle w:val="Titre2"/>
        <w:numPr>
          <w:ilvl w:val="1"/>
          <w:numId w:val="10"/>
        </w:numPr>
        <w:tabs>
          <w:tab w:val="left" w:pos="0"/>
        </w:tabs>
      </w:pPr>
      <w:bookmarkStart w:id="10" w:name="_Toc475103159"/>
      <w:r w:rsidRPr="001127FF">
        <w:t>Impliquer les Correspondants nationaux</w:t>
      </w:r>
      <w:bookmarkEnd w:id="10"/>
    </w:p>
    <w:p w:rsidR="001B02DD" w:rsidRDefault="00E35FBD" w:rsidP="00BA1FEC">
      <w:pPr>
        <w:tabs>
          <w:tab w:val="left" w:pos="0"/>
        </w:tabs>
        <w:jc w:val="both"/>
        <w:rPr>
          <w:rFonts w:ascii="Arial" w:hAnsi="Arial" w:cs="Arial"/>
        </w:rPr>
      </w:pPr>
      <w:r>
        <w:rPr>
          <w:rFonts w:ascii="Arial" w:hAnsi="Arial" w:cs="Arial"/>
        </w:rPr>
        <w:t>Ayant en tête le rôle fondamental des Correspondants nationaux comme contributeurs d’IPEX, en vue de réaliser un échange d’informations encore meilleur par le site internet et de donner aux Correspondants nationaux un meilleur sentiment d’appartenance</w:t>
      </w:r>
      <w:r w:rsidR="001A64FC">
        <w:rPr>
          <w:rFonts w:ascii="Arial" w:hAnsi="Arial" w:cs="Arial"/>
        </w:rPr>
        <w:t>/implication</w:t>
      </w:r>
      <w:r>
        <w:rPr>
          <w:rFonts w:ascii="Arial" w:hAnsi="Arial" w:cs="Arial"/>
        </w:rPr>
        <w:t xml:space="preserve"> à ce projet, leur participation d</w:t>
      </w:r>
      <w:r w:rsidR="00AE2494">
        <w:rPr>
          <w:rFonts w:ascii="Arial" w:hAnsi="Arial" w:cs="Arial"/>
        </w:rPr>
        <w:t>evrait</w:t>
      </w:r>
      <w:r>
        <w:rPr>
          <w:rFonts w:ascii="Arial" w:hAnsi="Arial" w:cs="Arial"/>
        </w:rPr>
        <w:t xml:space="preserve"> être basée sur un dialogue amélioré et structuré entre eux et le Conseil d’IPEX.</w:t>
      </w:r>
    </w:p>
    <w:p w:rsidR="001B02DD" w:rsidRDefault="00E35FBD" w:rsidP="00BA1FEC">
      <w:pPr>
        <w:tabs>
          <w:tab w:val="left" w:pos="0"/>
        </w:tabs>
        <w:jc w:val="both"/>
        <w:rPr>
          <w:rFonts w:ascii="Arial" w:hAnsi="Arial" w:cs="Arial"/>
        </w:rPr>
      </w:pPr>
      <w:r>
        <w:rPr>
          <w:rFonts w:ascii="Arial" w:hAnsi="Arial" w:cs="Arial"/>
        </w:rPr>
        <w:t xml:space="preserve">Ce dialogue amélioré, impliquant aussi la mise en œuvre de la </w:t>
      </w:r>
      <w:r w:rsidR="00AE2494">
        <w:rPr>
          <w:rFonts w:ascii="Arial" w:hAnsi="Arial" w:cs="Arial"/>
        </w:rPr>
        <w:t>s</w:t>
      </w:r>
      <w:r w:rsidR="002A5B57">
        <w:rPr>
          <w:rFonts w:ascii="Arial" w:hAnsi="Arial" w:cs="Arial"/>
        </w:rPr>
        <w:t>tratégie d</w:t>
      </w:r>
      <w:r>
        <w:rPr>
          <w:rFonts w:ascii="Arial" w:hAnsi="Arial" w:cs="Arial"/>
        </w:rPr>
        <w:t>igitale pourrait prendre les formes suivantes :</w:t>
      </w:r>
    </w:p>
    <w:p w:rsidR="001B02DD" w:rsidRDefault="00E35FBD" w:rsidP="00BA1FEC">
      <w:pPr>
        <w:pStyle w:val="Paragraphedeliste"/>
        <w:numPr>
          <w:ilvl w:val="0"/>
          <w:numId w:val="6"/>
        </w:numPr>
        <w:tabs>
          <w:tab w:val="left" w:pos="0"/>
        </w:tabs>
        <w:jc w:val="both"/>
        <w:rPr>
          <w:rFonts w:ascii="Arial" w:hAnsi="Arial" w:cs="Arial"/>
        </w:rPr>
      </w:pPr>
      <w:r>
        <w:rPr>
          <w:rFonts w:ascii="Arial" w:hAnsi="Arial" w:cs="Arial"/>
        </w:rPr>
        <w:t>Questions régulières sur les problèmes concrets du site internet (ex : évaluation du fonctionnement de certains mécanismes (ex : SRC) – forme électronique des questionnaires,</w:t>
      </w:r>
    </w:p>
    <w:p w:rsidR="001B02DD" w:rsidRDefault="00E35FBD" w:rsidP="00BA1FEC">
      <w:pPr>
        <w:pStyle w:val="Paragraphedeliste"/>
        <w:numPr>
          <w:ilvl w:val="0"/>
          <w:numId w:val="6"/>
        </w:numPr>
        <w:tabs>
          <w:tab w:val="left" w:pos="0"/>
        </w:tabs>
        <w:jc w:val="both"/>
        <w:rPr>
          <w:rFonts w:ascii="Arial" w:hAnsi="Arial" w:cs="Arial"/>
        </w:rPr>
      </w:pPr>
      <w:r>
        <w:rPr>
          <w:rFonts w:ascii="Arial" w:hAnsi="Arial" w:cs="Arial"/>
        </w:rPr>
        <w:t>Mises à jour régulières du Glossaire (une fois par an serait une méthode à envisager)</w:t>
      </w:r>
    </w:p>
    <w:p w:rsidR="001B02DD" w:rsidRDefault="00E35FBD" w:rsidP="00BA1FEC">
      <w:pPr>
        <w:pStyle w:val="Paragraphedeliste"/>
        <w:numPr>
          <w:ilvl w:val="0"/>
          <w:numId w:val="6"/>
        </w:numPr>
        <w:tabs>
          <w:tab w:val="left" w:pos="0"/>
        </w:tabs>
        <w:jc w:val="both"/>
        <w:rPr>
          <w:rFonts w:ascii="Arial" w:hAnsi="Arial" w:cs="Arial"/>
        </w:rPr>
      </w:pPr>
      <w:r>
        <w:rPr>
          <w:rFonts w:ascii="Arial" w:hAnsi="Arial" w:cs="Arial"/>
        </w:rPr>
        <w:t>Rapports aux réunions du Conseil sur l’avancement de ce dialogue.</w:t>
      </w:r>
    </w:p>
    <w:p w:rsidR="001B02DD" w:rsidRDefault="00E35FBD" w:rsidP="00BA1FEC">
      <w:pPr>
        <w:tabs>
          <w:tab w:val="left" w:pos="0"/>
        </w:tabs>
        <w:jc w:val="both"/>
        <w:rPr>
          <w:rFonts w:ascii="Arial" w:hAnsi="Arial" w:cs="Arial"/>
        </w:rPr>
      </w:pPr>
      <w:r>
        <w:rPr>
          <w:rFonts w:ascii="Arial" w:hAnsi="Arial" w:cs="Arial"/>
        </w:rPr>
        <w:t xml:space="preserve">Les Correspondants nationaux </w:t>
      </w:r>
      <w:r w:rsidR="007355DC">
        <w:rPr>
          <w:rFonts w:ascii="Arial" w:hAnsi="Arial" w:cs="Arial"/>
        </w:rPr>
        <w:t xml:space="preserve">participent </w:t>
      </w:r>
      <w:r>
        <w:rPr>
          <w:rFonts w:ascii="Arial" w:hAnsi="Arial" w:cs="Arial"/>
        </w:rPr>
        <w:t>à la rédaction sur la mise en œuvre de la SD en accord avec la procédure décrite dans le paragraphe « Surveillance ».</w:t>
      </w:r>
    </w:p>
    <w:p w:rsidR="001B02DD" w:rsidRDefault="001B02DD" w:rsidP="00BA1FEC">
      <w:pPr>
        <w:tabs>
          <w:tab w:val="left" w:pos="0"/>
        </w:tabs>
        <w:jc w:val="both"/>
        <w:rPr>
          <w:rFonts w:ascii="Arial" w:hAnsi="Arial" w:cs="Arial"/>
        </w:rPr>
      </w:pPr>
    </w:p>
    <w:p w:rsidR="001B02DD" w:rsidRDefault="001B02DD" w:rsidP="00BA1FEC">
      <w:pPr>
        <w:tabs>
          <w:tab w:val="left" w:pos="0"/>
        </w:tabs>
        <w:jc w:val="both"/>
        <w:rPr>
          <w:rFonts w:ascii="Arial" w:hAnsi="Arial" w:cs="Arial"/>
        </w:rPr>
      </w:pPr>
    </w:p>
    <w:p w:rsidR="001B02DD" w:rsidRDefault="001B02DD" w:rsidP="00BA1FEC">
      <w:pPr>
        <w:tabs>
          <w:tab w:val="left" w:pos="0"/>
        </w:tabs>
        <w:jc w:val="both"/>
        <w:rPr>
          <w:rFonts w:ascii="Arial" w:hAnsi="Arial" w:cs="Arial"/>
        </w:rPr>
      </w:pPr>
    </w:p>
    <w:p w:rsidR="001B02DD" w:rsidRDefault="00E35FBD" w:rsidP="00BA1FEC">
      <w:pPr>
        <w:pStyle w:val="Titre1"/>
        <w:numPr>
          <w:ilvl w:val="0"/>
          <w:numId w:val="10"/>
        </w:numPr>
        <w:tabs>
          <w:tab w:val="left" w:pos="0"/>
        </w:tabs>
      </w:pPr>
      <w:bookmarkStart w:id="11" w:name="_Toc475103160"/>
      <w:r>
        <w:t>Annexes</w:t>
      </w:r>
      <w:bookmarkEnd w:id="11"/>
    </w:p>
    <w:p w:rsidR="001B02DD" w:rsidRDefault="00E35FBD" w:rsidP="00BA1FEC">
      <w:pPr>
        <w:pStyle w:val="Titre2"/>
        <w:numPr>
          <w:ilvl w:val="1"/>
          <w:numId w:val="10"/>
        </w:numPr>
        <w:tabs>
          <w:tab w:val="left" w:pos="0"/>
        </w:tabs>
      </w:pPr>
      <w:bookmarkStart w:id="12" w:name="_Toc475103161"/>
      <w:r>
        <w:t>Glossaire</w:t>
      </w:r>
      <w:bookmarkEnd w:id="12"/>
    </w:p>
    <w:tbl>
      <w:tblPr>
        <w:tblW w:w="9122" w:type="dxa"/>
        <w:tblCellMar>
          <w:left w:w="10" w:type="dxa"/>
          <w:right w:w="10" w:type="dxa"/>
        </w:tblCellMar>
        <w:tblLook w:val="04A0" w:firstRow="1" w:lastRow="0" w:firstColumn="1" w:lastColumn="0" w:noHBand="0" w:noVBand="1"/>
      </w:tblPr>
      <w:tblGrid>
        <w:gridCol w:w="4561"/>
        <w:gridCol w:w="4561"/>
      </w:tblGrid>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b/>
              </w:rPr>
            </w:pPr>
            <w:r>
              <w:rPr>
                <w:rFonts w:ascii="Arial" w:hAnsi="Arial" w:cs="Arial"/>
                <w:b/>
              </w:rPr>
              <w:t>TERMES</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b/>
              </w:rPr>
            </w:pPr>
            <w:r>
              <w:rPr>
                <w:rFonts w:ascii="Arial" w:hAnsi="Arial" w:cs="Arial"/>
                <w:b/>
              </w:rPr>
              <w:t>DEFINITION</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Plateforme IPEX</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Inclut un système digital et un réseau humain responsable de l’accomplissement des missions et tâches d’IPEX</w:t>
            </w:r>
          </w:p>
        </w:tc>
      </w:tr>
      <w:tr w:rsidR="001B02DD">
        <w:trPr>
          <w:trHeight w:val="102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Système digital d’IPEX</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7355DC">
            <w:pPr>
              <w:tabs>
                <w:tab w:val="left" w:pos="0"/>
              </w:tabs>
              <w:spacing w:after="0" w:line="240" w:lineRule="auto"/>
              <w:jc w:val="both"/>
              <w:rPr>
                <w:rFonts w:ascii="Arial" w:hAnsi="Arial" w:cs="Arial"/>
              </w:rPr>
            </w:pPr>
            <w:r>
              <w:rPr>
                <w:rFonts w:ascii="Arial" w:hAnsi="Arial" w:cs="Arial"/>
              </w:rPr>
              <w:t xml:space="preserve">Est composé de l’application, </w:t>
            </w:r>
            <w:r w:rsidR="007355DC">
              <w:rPr>
                <w:rFonts w:ascii="Arial" w:hAnsi="Arial" w:cs="Arial"/>
              </w:rPr>
              <w:t xml:space="preserve">de </w:t>
            </w:r>
            <w:r>
              <w:rPr>
                <w:rFonts w:ascii="Arial" w:hAnsi="Arial" w:cs="Arial"/>
              </w:rPr>
              <w:t xml:space="preserve">la base de données et </w:t>
            </w:r>
            <w:r w:rsidR="007355DC">
              <w:rPr>
                <w:rFonts w:ascii="Arial" w:hAnsi="Arial" w:cs="Arial"/>
              </w:rPr>
              <w:t>du</w:t>
            </w:r>
            <w:r w:rsidR="001A64FC">
              <w:rPr>
                <w:rFonts w:ascii="Arial" w:hAnsi="Arial" w:cs="Arial"/>
              </w:rPr>
              <w:t xml:space="preserve"> </w:t>
            </w:r>
            <w:r>
              <w:rPr>
                <w:rFonts w:ascii="Arial" w:hAnsi="Arial" w:cs="Arial"/>
              </w:rPr>
              <w:t>site internet –voir ci-dessous p.4.2.</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 xml:space="preserve">Réseau IPEX </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Identifie les acteurs humains de la plateforme d’IPEX qui contribue</w:t>
            </w:r>
            <w:r w:rsidR="00F831AF">
              <w:rPr>
                <w:rFonts w:ascii="Arial" w:hAnsi="Arial" w:cs="Arial"/>
              </w:rPr>
              <w:t xml:space="preserve">nt </w:t>
            </w:r>
            <w:r>
              <w:rPr>
                <w:rFonts w:ascii="Arial" w:hAnsi="Arial" w:cs="Arial"/>
              </w:rPr>
              <w:t xml:space="preserve"> et interagi</w:t>
            </w:r>
            <w:r w:rsidR="00F831AF">
              <w:rPr>
                <w:rFonts w:ascii="Arial" w:hAnsi="Arial" w:cs="Arial"/>
              </w:rPr>
              <w:t>ssent</w:t>
            </w:r>
            <w:r>
              <w:rPr>
                <w:rFonts w:ascii="Arial" w:hAnsi="Arial" w:cs="Arial"/>
              </w:rPr>
              <w:t xml:space="preserve"> pour collecter, produire, classer, transmettre et publier les informations pertinentes.</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lastRenderedPageBreak/>
              <w:t>Base de données</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F831AF">
            <w:pPr>
              <w:tabs>
                <w:tab w:val="left" w:pos="0"/>
              </w:tabs>
              <w:spacing w:after="0" w:line="240" w:lineRule="auto"/>
              <w:jc w:val="both"/>
            </w:pPr>
            <w:r>
              <w:rPr>
                <w:rFonts w:ascii="Arial" w:hAnsi="Arial" w:cs="Arial"/>
              </w:rPr>
              <w:t xml:space="preserve">Élément technique de la plateforme d’IPEX où les informations sont classées pour être disponibles pour les récupérer et les utiliser </w:t>
            </w:r>
            <w:r w:rsidR="00F831AF">
              <w:rPr>
                <w:rFonts w:ascii="Arial" w:hAnsi="Arial" w:cs="Arial"/>
              </w:rPr>
              <w:t xml:space="preserve">via une fonction </w:t>
            </w:r>
            <w:r>
              <w:rPr>
                <w:rFonts w:ascii="Arial" w:hAnsi="Arial" w:cs="Arial"/>
              </w:rPr>
              <w:t>de recherche dans la base de données des documents et le calendrier.</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Site internet (</w:t>
            </w:r>
            <w:proofErr w:type="spellStart"/>
            <w:r>
              <w:rPr>
                <w:rFonts w:ascii="Arial" w:hAnsi="Arial" w:cs="Arial"/>
              </w:rPr>
              <w:t>website</w:t>
            </w:r>
            <w:proofErr w:type="spellEnd"/>
            <w:r>
              <w:rPr>
                <w:rFonts w:ascii="Arial" w:hAnsi="Arial" w:cs="Arial"/>
              </w:rPr>
              <w:t>)</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La collection des pages web sur internet qui sont disponibles en utilisant un navigateur internet pour accéder à www.ipex.eu</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Application</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F831AF">
            <w:pPr>
              <w:tabs>
                <w:tab w:val="left" w:pos="0"/>
              </w:tabs>
              <w:spacing w:after="0" w:line="240" w:lineRule="auto"/>
              <w:jc w:val="both"/>
              <w:rPr>
                <w:rFonts w:ascii="Arial" w:hAnsi="Arial" w:cs="Arial"/>
              </w:rPr>
            </w:pPr>
            <w:r>
              <w:rPr>
                <w:rFonts w:ascii="Arial" w:hAnsi="Arial" w:cs="Arial"/>
              </w:rPr>
              <w:t xml:space="preserve">Un programme qui </w:t>
            </w:r>
            <w:r w:rsidR="00F831AF">
              <w:rPr>
                <w:rFonts w:ascii="Arial" w:hAnsi="Arial" w:cs="Arial"/>
              </w:rPr>
              <w:t>traite</w:t>
            </w:r>
            <w:r w:rsidR="001A64FC">
              <w:rPr>
                <w:rFonts w:ascii="Arial" w:hAnsi="Arial" w:cs="Arial"/>
              </w:rPr>
              <w:t xml:space="preserve"> </w:t>
            </w:r>
            <w:r>
              <w:rPr>
                <w:rFonts w:ascii="Arial" w:hAnsi="Arial" w:cs="Arial"/>
              </w:rPr>
              <w:t>les informations à stocker ou récupérer dans la base de données.</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F831AF" w:rsidP="00BA1FEC">
            <w:pPr>
              <w:tabs>
                <w:tab w:val="left" w:pos="0"/>
              </w:tabs>
              <w:spacing w:after="0" w:line="240" w:lineRule="auto"/>
              <w:jc w:val="both"/>
              <w:rPr>
                <w:rFonts w:ascii="Arial" w:hAnsi="Arial" w:cs="Arial"/>
              </w:rPr>
            </w:pPr>
            <w:r>
              <w:rPr>
                <w:rFonts w:ascii="Arial" w:hAnsi="Arial" w:cs="Arial"/>
              </w:rPr>
              <w:t>Contrôle parlementaire</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F831AF" w:rsidP="00F831AF">
            <w:pPr>
              <w:tabs>
                <w:tab w:val="left" w:pos="0"/>
              </w:tabs>
              <w:spacing w:after="0" w:line="240" w:lineRule="auto"/>
              <w:jc w:val="both"/>
              <w:rPr>
                <w:rFonts w:ascii="Arial" w:hAnsi="Arial" w:cs="Arial"/>
              </w:rPr>
            </w:pPr>
            <w:r>
              <w:rPr>
                <w:rFonts w:ascii="Arial" w:hAnsi="Arial" w:cs="Arial"/>
              </w:rPr>
              <w:t>Examen des projet d’ actes législatifs de l’UE et d’autres documents</w:t>
            </w:r>
            <w:r w:rsidDel="00F831AF">
              <w:rPr>
                <w:rFonts w:ascii="Arial" w:hAnsi="Arial" w:cs="Arial"/>
              </w:rPr>
              <w:t xml:space="preserve"> </w:t>
            </w:r>
            <w:r w:rsidR="00E35FBD">
              <w:rPr>
                <w:rFonts w:ascii="Arial" w:hAnsi="Arial" w:cs="Arial"/>
              </w:rPr>
              <w:t>par les Parlements nationaux.</w:t>
            </w:r>
          </w:p>
        </w:tc>
      </w:tr>
      <w:tr w:rsidR="001B02DD">
        <w:trPr>
          <w:trHeight w:val="102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Contrôle de subsidiarité</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F831AF" w:rsidP="00F831AF">
            <w:pPr>
              <w:tabs>
                <w:tab w:val="left" w:pos="0"/>
              </w:tabs>
              <w:spacing w:after="0" w:line="240" w:lineRule="auto"/>
              <w:jc w:val="both"/>
              <w:rPr>
                <w:rFonts w:ascii="Arial" w:hAnsi="Arial" w:cs="Arial"/>
              </w:rPr>
            </w:pPr>
            <w:r>
              <w:rPr>
                <w:rFonts w:ascii="Arial" w:hAnsi="Arial" w:cs="Arial"/>
              </w:rPr>
              <w:t xml:space="preserve">Examen </w:t>
            </w:r>
            <w:r w:rsidR="00E35FBD">
              <w:rPr>
                <w:rFonts w:ascii="Arial" w:hAnsi="Arial" w:cs="Arial"/>
              </w:rPr>
              <w:t xml:space="preserve">par les Parlements nationaux de la conformité des </w:t>
            </w:r>
            <w:r>
              <w:rPr>
                <w:rFonts w:ascii="Arial" w:hAnsi="Arial" w:cs="Arial"/>
              </w:rPr>
              <w:t xml:space="preserve">projets d’actes législatifs </w:t>
            </w:r>
            <w:r w:rsidR="00E35FBD">
              <w:rPr>
                <w:rFonts w:ascii="Arial" w:hAnsi="Arial" w:cs="Arial"/>
              </w:rPr>
              <w:t xml:space="preserve">l’UE avec le principe de subsidiarité, </w:t>
            </w:r>
            <w:r>
              <w:rPr>
                <w:rFonts w:ascii="Arial" w:hAnsi="Arial" w:cs="Arial"/>
              </w:rPr>
              <w:t xml:space="preserve">conformément au </w:t>
            </w:r>
            <w:r w:rsidR="00E35FBD">
              <w:rPr>
                <w:rFonts w:ascii="Arial" w:hAnsi="Arial" w:cs="Arial"/>
              </w:rPr>
              <w:t>Protocole n.2 sur l’application des principes de subsidiarité et de proportionnalité annexé aux TUE et TFUE.</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Documents essentiels d’IPEX</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F831AF">
            <w:pPr>
              <w:tabs>
                <w:tab w:val="left" w:pos="0"/>
              </w:tabs>
              <w:spacing w:after="0" w:line="240" w:lineRule="auto"/>
              <w:jc w:val="both"/>
            </w:pPr>
            <w:r>
              <w:rPr>
                <w:rFonts w:ascii="Arial" w:hAnsi="Arial" w:cs="Arial"/>
              </w:rPr>
              <w:t xml:space="preserve">Pour poursuivre les objectifs de cette SD nous voulons signifier par documents essentiels, tous les documents adoptés par les Secrétaires </w:t>
            </w:r>
            <w:r w:rsidR="00F831AF">
              <w:rPr>
                <w:rFonts w:ascii="Arial" w:hAnsi="Arial" w:cs="Arial"/>
              </w:rPr>
              <w:t>g</w:t>
            </w:r>
            <w:r>
              <w:rPr>
                <w:rFonts w:ascii="Arial" w:hAnsi="Arial" w:cs="Arial"/>
              </w:rPr>
              <w:t xml:space="preserve">énéraux ou par la Conférence des Présidents </w:t>
            </w:r>
            <w:r w:rsidR="00F831AF">
              <w:rPr>
                <w:rFonts w:ascii="Arial" w:hAnsi="Arial" w:cs="Arial"/>
              </w:rPr>
              <w:t xml:space="preserve">sur les tâches </w:t>
            </w:r>
            <w:r>
              <w:rPr>
                <w:rFonts w:ascii="Arial" w:hAnsi="Arial" w:cs="Arial"/>
              </w:rPr>
              <w:t>d’IPEX</w:t>
            </w:r>
          </w:p>
        </w:tc>
      </w:tr>
      <w:tr w:rsidR="001B02DD">
        <w:trPr>
          <w:trHeight w:val="969"/>
        </w:trPr>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Canaux d’information digitale d’IPEX</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2DD" w:rsidRDefault="00E35FBD" w:rsidP="00BA1FEC">
            <w:pPr>
              <w:tabs>
                <w:tab w:val="left" w:pos="0"/>
              </w:tabs>
              <w:spacing w:after="0" w:line="240" w:lineRule="auto"/>
              <w:jc w:val="both"/>
              <w:rPr>
                <w:rFonts w:ascii="Arial" w:hAnsi="Arial" w:cs="Arial"/>
              </w:rPr>
            </w:pPr>
            <w:r>
              <w:rPr>
                <w:rFonts w:ascii="Arial" w:hAnsi="Arial" w:cs="Arial"/>
              </w:rPr>
              <w:t>Tous les canaux digitaux par lesquels IPEX publie ou communique (Site internet IPEX, réseaux sociaux, etc.)</w:t>
            </w:r>
          </w:p>
        </w:tc>
      </w:tr>
    </w:tbl>
    <w:p w:rsidR="001B02DD" w:rsidRDefault="001B02DD" w:rsidP="00BA1FEC">
      <w:pPr>
        <w:tabs>
          <w:tab w:val="left" w:pos="0"/>
        </w:tabs>
        <w:jc w:val="both"/>
        <w:rPr>
          <w:rFonts w:ascii="Arial" w:hAnsi="Arial" w:cs="Arial"/>
        </w:rPr>
      </w:pPr>
    </w:p>
    <w:p w:rsidR="001B02DD" w:rsidRDefault="00E35FBD" w:rsidP="00BA1FEC">
      <w:pPr>
        <w:pStyle w:val="Titre2"/>
        <w:numPr>
          <w:ilvl w:val="1"/>
          <w:numId w:val="10"/>
        </w:numPr>
        <w:tabs>
          <w:tab w:val="left" w:pos="0"/>
        </w:tabs>
      </w:pPr>
      <w:bookmarkStart w:id="13" w:name="_Toc475103162"/>
      <w:r>
        <w:t>Le système digital d’IPEX</w:t>
      </w:r>
      <w:bookmarkEnd w:id="13"/>
    </w:p>
    <w:p w:rsidR="001B02DD" w:rsidRDefault="00E35FBD" w:rsidP="00BA1FEC">
      <w:pPr>
        <w:tabs>
          <w:tab w:val="left" w:pos="0"/>
        </w:tabs>
        <w:jc w:val="both"/>
        <w:rPr>
          <w:rFonts w:ascii="Arial" w:hAnsi="Arial" w:cs="Arial"/>
        </w:rPr>
      </w:pPr>
      <w:r>
        <w:rPr>
          <w:rFonts w:ascii="Arial" w:hAnsi="Arial" w:cs="Arial"/>
        </w:rPr>
        <w:t>Selon la note sur le « Rôle d’IPEX », IPEX est défini comme « une plateforme multifonctions soutenant la coopération i</w:t>
      </w:r>
      <w:r w:rsidR="002A5B57">
        <w:rPr>
          <w:rFonts w:ascii="Arial" w:hAnsi="Arial" w:cs="Arial"/>
        </w:rPr>
        <w:t>nterparlementaire dans l’Union e</w:t>
      </w:r>
      <w:r>
        <w:rPr>
          <w:rFonts w:ascii="Arial" w:hAnsi="Arial" w:cs="Arial"/>
        </w:rPr>
        <w:t>uropéenne en organisant les ressources humaines et en fournissant des moyens techniques pour l’échange électronique d’informations dans toutes les activités parlementaires en lien avec l’UE ».</w:t>
      </w:r>
    </w:p>
    <w:p w:rsidR="001B02DD" w:rsidRDefault="00E35FBD" w:rsidP="00BA1FEC">
      <w:pPr>
        <w:tabs>
          <w:tab w:val="left" w:pos="0"/>
        </w:tabs>
        <w:jc w:val="both"/>
        <w:rPr>
          <w:rFonts w:ascii="Arial" w:hAnsi="Arial" w:cs="Arial"/>
        </w:rPr>
      </w:pPr>
      <w:r>
        <w:rPr>
          <w:rFonts w:ascii="Arial" w:hAnsi="Arial" w:cs="Arial"/>
        </w:rPr>
        <w:t xml:space="preserve">Les « moyens techniques » fournis par la plateforme IPEX peuvent être définis comme le </w:t>
      </w:r>
      <w:r w:rsidR="00F831AF">
        <w:rPr>
          <w:rFonts w:ascii="Arial" w:hAnsi="Arial" w:cs="Arial"/>
        </w:rPr>
        <w:t>s</w:t>
      </w:r>
      <w:r>
        <w:rPr>
          <w:rFonts w:ascii="Arial" w:hAnsi="Arial" w:cs="Arial"/>
        </w:rPr>
        <w:t xml:space="preserve">ystème </w:t>
      </w:r>
      <w:r w:rsidR="00F831AF">
        <w:rPr>
          <w:rFonts w:ascii="Arial" w:hAnsi="Arial" w:cs="Arial"/>
        </w:rPr>
        <w:t>d</w:t>
      </w:r>
      <w:r>
        <w:rPr>
          <w:rFonts w:ascii="Arial" w:hAnsi="Arial" w:cs="Arial"/>
        </w:rPr>
        <w:t xml:space="preserve">igital d’IPEX. Le diagramme suivant montre </w:t>
      </w:r>
      <w:r w:rsidR="00F831AF">
        <w:rPr>
          <w:rFonts w:ascii="Arial" w:hAnsi="Arial" w:cs="Arial"/>
        </w:rPr>
        <w:t>les principales composantes</w:t>
      </w:r>
      <w:r>
        <w:rPr>
          <w:rFonts w:ascii="Arial" w:hAnsi="Arial" w:cs="Arial"/>
        </w:rPr>
        <w:t xml:space="preserve"> du </w:t>
      </w:r>
      <w:r w:rsidR="00F831AF">
        <w:rPr>
          <w:rFonts w:ascii="Arial" w:hAnsi="Arial" w:cs="Arial"/>
        </w:rPr>
        <w:t>s</w:t>
      </w:r>
      <w:r>
        <w:rPr>
          <w:rFonts w:ascii="Arial" w:hAnsi="Arial" w:cs="Arial"/>
        </w:rPr>
        <w:t xml:space="preserve">ystème </w:t>
      </w:r>
      <w:r w:rsidR="00F831AF">
        <w:rPr>
          <w:rFonts w:ascii="Arial" w:hAnsi="Arial" w:cs="Arial"/>
        </w:rPr>
        <w:t>d</w:t>
      </w:r>
      <w:r>
        <w:rPr>
          <w:rFonts w:ascii="Arial" w:hAnsi="Arial" w:cs="Arial"/>
        </w:rPr>
        <w:t>igital d’IPEX et</w:t>
      </w:r>
      <w:r w:rsidR="00F831AF">
        <w:rPr>
          <w:rFonts w:ascii="Arial" w:hAnsi="Arial" w:cs="Arial"/>
        </w:rPr>
        <w:t xml:space="preserve"> la manière dont elles</w:t>
      </w:r>
      <w:r>
        <w:rPr>
          <w:rFonts w:ascii="Arial" w:hAnsi="Arial" w:cs="Arial"/>
        </w:rPr>
        <w:t xml:space="preserve"> interagissent.</w:t>
      </w:r>
    </w:p>
    <w:p w:rsidR="001B02DD" w:rsidRDefault="001B02DD" w:rsidP="00BA1FEC">
      <w:pPr>
        <w:tabs>
          <w:tab w:val="left" w:pos="0"/>
          <w:tab w:val="left" w:pos="3876"/>
        </w:tabs>
        <w:jc w:val="both"/>
        <w:rPr>
          <w:rFonts w:ascii="Arial" w:hAnsi="Arial" w:cs="Arial"/>
        </w:rPr>
      </w:pPr>
    </w:p>
    <w:p w:rsidR="001B02DD" w:rsidRDefault="00E35FBD" w:rsidP="00BA1FEC">
      <w:pPr>
        <w:tabs>
          <w:tab w:val="left" w:pos="0"/>
        </w:tabs>
        <w:jc w:val="center"/>
      </w:pPr>
      <w:r>
        <w:rPr>
          <w:rFonts w:ascii="Arial" w:hAnsi="Arial" w:cs="Arial"/>
          <w:noProof/>
          <w:lang w:eastAsia="fr-LU"/>
        </w:rPr>
        <w:lastRenderedPageBreak/>
        <w:drawing>
          <wp:inline distT="0" distB="0" distL="0" distR="0" wp14:anchorId="5DEBBB53" wp14:editId="377E3FBC">
            <wp:extent cx="3898901" cy="4455798"/>
            <wp:effectExtent l="0" t="0" r="6349" b="1902"/>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8901" cy="4455798"/>
                    </a:xfrm>
                    <a:prstGeom prst="rect">
                      <a:avLst/>
                    </a:prstGeom>
                    <a:noFill/>
                    <a:ln>
                      <a:noFill/>
                      <a:prstDash/>
                    </a:ln>
                  </pic:spPr>
                </pic:pic>
              </a:graphicData>
            </a:graphic>
          </wp:inline>
        </w:drawing>
      </w:r>
    </w:p>
    <w:p w:rsidR="001B02DD" w:rsidRDefault="001B02DD" w:rsidP="00BA1FEC">
      <w:pPr>
        <w:tabs>
          <w:tab w:val="left" w:pos="0"/>
        </w:tabs>
        <w:rPr>
          <w:rFonts w:ascii="Arial" w:hAnsi="Arial" w:cs="Arial"/>
        </w:rPr>
      </w:pPr>
    </w:p>
    <w:p w:rsidR="001B02DD" w:rsidRDefault="001B02DD" w:rsidP="00BA1FEC">
      <w:pPr>
        <w:tabs>
          <w:tab w:val="left" w:pos="0"/>
        </w:tabs>
        <w:rPr>
          <w:rFonts w:ascii="Arial" w:hAnsi="Arial" w:cs="Arial"/>
        </w:rPr>
      </w:pPr>
    </w:p>
    <w:p w:rsidR="001B02DD" w:rsidRDefault="001B02DD" w:rsidP="00BA1FEC">
      <w:pPr>
        <w:tabs>
          <w:tab w:val="left" w:pos="0"/>
        </w:tabs>
        <w:rPr>
          <w:rFonts w:ascii="Arial" w:hAnsi="Arial" w:cs="Arial"/>
        </w:rPr>
      </w:pPr>
    </w:p>
    <w:p w:rsidR="001B02DD" w:rsidRDefault="00E35FBD" w:rsidP="002C5363">
      <w:pPr>
        <w:tabs>
          <w:tab w:val="left" w:pos="0"/>
        </w:tabs>
        <w:jc w:val="both"/>
        <w:rPr>
          <w:rFonts w:ascii="Arial" w:hAnsi="Arial" w:cs="Arial"/>
        </w:rPr>
      </w:pPr>
      <w:r>
        <w:rPr>
          <w:rFonts w:ascii="Arial" w:hAnsi="Arial" w:cs="Arial"/>
        </w:rPr>
        <w:t xml:space="preserve">Le diagramme au-dessus est utile pour comprendre les éléments variés qui peuvent être affectés par la </w:t>
      </w:r>
      <w:r w:rsidR="00E34C89">
        <w:rPr>
          <w:rFonts w:ascii="Arial" w:hAnsi="Arial" w:cs="Arial"/>
        </w:rPr>
        <w:t>s</w:t>
      </w:r>
      <w:r>
        <w:rPr>
          <w:rFonts w:ascii="Arial" w:hAnsi="Arial" w:cs="Arial"/>
        </w:rPr>
        <w:t xml:space="preserve">tratégie </w:t>
      </w:r>
      <w:r w:rsidR="00E34C89">
        <w:rPr>
          <w:rFonts w:ascii="Arial" w:hAnsi="Arial" w:cs="Arial"/>
        </w:rPr>
        <w:t>d</w:t>
      </w:r>
      <w:r>
        <w:rPr>
          <w:rFonts w:ascii="Arial" w:hAnsi="Arial" w:cs="Arial"/>
        </w:rPr>
        <w:t xml:space="preserve">igitale et le </w:t>
      </w:r>
      <w:r w:rsidR="00E34C89">
        <w:rPr>
          <w:rFonts w:ascii="Arial" w:hAnsi="Arial" w:cs="Arial"/>
        </w:rPr>
        <w:t>p</w:t>
      </w:r>
      <w:r>
        <w:rPr>
          <w:rFonts w:ascii="Arial" w:hAnsi="Arial" w:cs="Arial"/>
        </w:rPr>
        <w:t xml:space="preserve">rogramme de </w:t>
      </w:r>
      <w:r w:rsidR="00E34C89">
        <w:rPr>
          <w:rFonts w:ascii="Arial" w:hAnsi="Arial" w:cs="Arial"/>
        </w:rPr>
        <w:t>t</w:t>
      </w:r>
      <w:r>
        <w:rPr>
          <w:rFonts w:ascii="Arial" w:hAnsi="Arial" w:cs="Arial"/>
        </w:rPr>
        <w:t>ravail (ceci est défini selon la SD elle-même).</w:t>
      </w:r>
    </w:p>
    <w:p w:rsidR="001B02DD" w:rsidRDefault="001B02DD" w:rsidP="002C5363">
      <w:pPr>
        <w:tabs>
          <w:tab w:val="left" w:pos="0"/>
        </w:tabs>
        <w:jc w:val="both"/>
        <w:rPr>
          <w:rFonts w:ascii="Arial" w:hAnsi="Arial" w:cs="Arial"/>
        </w:rPr>
      </w:pPr>
    </w:p>
    <w:p w:rsidR="001B02DD" w:rsidRDefault="00E35FBD" w:rsidP="002C5363">
      <w:pPr>
        <w:pStyle w:val="Titre2"/>
        <w:numPr>
          <w:ilvl w:val="1"/>
          <w:numId w:val="10"/>
        </w:numPr>
        <w:tabs>
          <w:tab w:val="left" w:pos="0"/>
        </w:tabs>
        <w:jc w:val="both"/>
      </w:pPr>
      <w:bookmarkStart w:id="14" w:name="_Toc475103163"/>
      <w:r>
        <w:t>Relations d’IPEX avec les autres acteurs</w:t>
      </w:r>
      <w:r>
        <w:rPr>
          <w:rStyle w:val="Appelnotedebasdep"/>
          <w:rFonts w:ascii="Arial" w:hAnsi="Arial" w:cs="Arial"/>
          <w:b/>
        </w:rPr>
        <w:footnoteReference w:id="10"/>
      </w:r>
      <w:bookmarkEnd w:id="14"/>
    </w:p>
    <w:p w:rsidR="001B02DD" w:rsidRDefault="00E35FBD" w:rsidP="002C5363">
      <w:pPr>
        <w:tabs>
          <w:tab w:val="left" w:pos="0"/>
        </w:tabs>
        <w:jc w:val="both"/>
        <w:rPr>
          <w:rFonts w:ascii="Arial" w:hAnsi="Arial" w:cs="Arial"/>
          <w:b/>
        </w:rPr>
      </w:pPr>
      <w:r>
        <w:rPr>
          <w:rFonts w:ascii="Arial" w:hAnsi="Arial" w:cs="Arial"/>
          <w:b/>
        </w:rPr>
        <w:t>Commission européenne</w:t>
      </w:r>
    </w:p>
    <w:p w:rsidR="001B02DD" w:rsidRDefault="00690B72" w:rsidP="002C5363">
      <w:pPr>
        <w:pStyle w:val="Paragraphedeliste"/>
        <w:numPr>
          <w:ilvl w:val="0"/>
          <w:numId w:val="7"/>
        </w:numPr>
        <w:tabs>
          <w:tab w:val="left" w:pos="0"/>
        </w:tabs>
        <w:jc w:val="both"/>
      </w:pPr>
      <w:hyperlink r:id="rId10" w:history="1">
        <w:r w:rsidR="00E35FBD" w:rsidRPr="00690B72">
          <w:rPr>
            <w:rStyle w:val="Lienhypertexte"/>
            <w:rFonts w:ascii="Arial" w:hAnsi="Arial" w:cs="Arial"/>
          </w:rPr>
          <w:t>Avis des Parlements nation</w:t>
        </w:r>
        <w:r w:rsidR="00E35FBD" w:rsidRPr="00690B72">
          <w:rPr>
            <w:rStyle w:val="Lienhypertexte"/>
            <w:rFonts w:ascii="Arial" w:hAnsi="Arial" w:cs="Arial"/>
          </w:rPr>
          <w:t>a</w:t>
        </w:r>
        <w:r w:rsidR="00E35FBD" w:rsidRPr="00690B72">
          <w:rPr>
            <w:rStyle w:val="Lienhypertexte"/>
            <w:rFonts w:ascii="Arial" w:hAnsi="Arial" w:cs="Arial"/>
          </w:rPr>
          <w:t>ux et réponses de la Commission</w:t>
        </w:r>
      </w:hyperlink>
      <w:r w:rsidR="00E35FBD">
        <w:rPr>
          <w:rFonts w:ascii="Arial" w:hAnsi="Arial" w:cs="Arial"/>
        </w:rPr>
        <w:t xml:space="preserve"> – La base de données de la Commission </w:t>
      </w:r>
      <w:r w:rsidR="00E34C89">
        <w:rPr>
          <w:rFonts w:ascii="Arial" w:hAnsi="Arial" w:cs="Arial"/>
        </w:rPr>
        <w:t>e</w:t>
      </w:r>
      <w:r w:rsidR="00E35FBD">
        <w:rPr>
          <w:rFonts w:ascii="Arial" w:hAnsi="Arial" w:cs="Arial"/>
        </w:rPr>
        <w:t xml:space="preserve">uropéenne contenant les avis motivés des Parlements nationaux sur la subsidiarité, d’autres avis (dialogue politique) envoyés à la Commission </w:t>
      </w:r>
      <w:r w:rsidR="00E34C89">
        <w:rPr>
          <w:rFonts w:ascii="Arial" w:hAnsi="Arial" w:cs="Arial"/>
        </w:rPr>
        <w:t>e</w:t>
      </w:r>
      <w:r w:rsidR="00E35FBD">
        <w:rPr>
          <w:rFonts w:ascii="Arial" w:hAnsi="Arial" w:cs="Arial"/>
        </w:rPr>
        <w:t>uropéenne et les réponses de la Commission (pas de possibilité de recherche).</w:t>
      </w:r>
    </w:p>
    <w:p w:rsidR="001B02DD" w:rsidRDefault="00E35FBD" w:rsidP="002C5363">
      <w:pPr>
        <w:tabs>
          <w:tab w:val="left" w:pos="0"/>
        </w:tabs>
        <w:jc w:val="both"/>
        <w:rPr>
          <w:rFonts w:ascii="Arial" w:hAnsi="Arial" w:cs="Arial"/>
          <w:b/>
        </w:rPr>
      </w:pPr>
      <w:r>
        <w:rPr>
          <w:rFonts w:ascii="Arial" w:hAnsi="Arial" w:cs="Arial"/>
          <w:b/>
        </w:rPr>
        <w:t xml:space="preserve">Parlement </w:t>
      </w:r>
      <w:r w:rsidR="00E34C89">
        <w:rPr>
          <w:rFonts w:ascii="Arial" w:hAnsi="Arial" w:cs="Arial"/>
          <w:b/>
        </w:rPr>
        <w:t>e</w:t>
      </w:r>
      <w:r>
        <w:rPr>
          <w:rFonts w:ascii="Arial" w:hAnsi="Arial" w:cs="Arial"/>
          <w:b/>
        </w:rPr>
        <w:t>uropéen</w:t>
      </w:r>
    </w:p>
    <w:p w:rsidR="001B02DD" w:rsidRDefault="003A3B4D" w:rsidP="002C5363">
      <w:pPr>
        <w:pStyle w:val="Paragraphedeliste"/>
        <w:numPr>
          <w:ilvl w:val="0"/>
          <w:numId w:val="7"/>
        </w:numPr>
        <w:tabs>
          <w:tab w:val="left" w:pos="0"/>
        </w:tabs>
        <w:jc w:val="both"/>
        <w:rPr>
          <w:rFonts w:ascii="Arial" w:hAnsi="Arial" w:cs="Arial"/>
        </w:rPr>
      </w:pPr>
      <w:hyperlink r:id="rId11" w:history="1">
        <w:r w:rsidR="002A5B57" w:rsidRPr="003A3B4D">
          <w:rPr>
            <w:rStyle w:val="Lienhypertexte"/>
            <w:rFonts w:ascii="Arial" w:hAnsi="Arial" w:cs="Arial"/>
          </w:rPr>
          <w:t>Registre du Parlement e</w:t>
        </w:r>
        <w:r w:rsidR="00E35FBD" w:rsidRPr="003A3B4D">
          <w:rPr>
            <w:rStyle w:val="Lienhypertexte"/>
            <w:rFonts w:ascii="Arial" w:hAnsi="Arial" w:cs="Arial"/>
          </w:rPr>
          <w:t>uropéen</w:t>
        </w:r>
      </w:hyperlink>
      <w:r w:rsidR="00E35FBD">
        <w:rPr>
          <w:rFonts w:ascii="Arial" w:hAnsi="Arial" w:cs="Arial"/>
        </w:rPr>
        <w:t xml:space="preserve"> – les avis motivés des Parlements nationaux peuvent être trouvés dans la partie des « documents officiels transmis par les autres institutions </w:t>
      </w:r>
      <w:r w:rsidR="00E35FBD">
        <w:rPr>
          <w:rFonts w:ascii="Arial" w:hAnsi="Arial" w:cs="Arial"/>
        </w:rPr>
        <w:lastRenderedPageBreak/>
        <w:t>et par les Etats membres », dans la section des « Parlements nationaux » (les plus anciens ont été publiés le 22.07.2014).</w:t>
      </w:r>
    </w:p>
    <w:p w:rsidR="001B02DD" w:rsidRDefault="003A3B4D" w:rsidP="002C5363">
      <w:pPr>
        <w:pStyle w:val="Paragraphedeliste"/>
        <w:numPr>
          <w:ilvl w:val="0"/>
          <w:numId w:val="7"/>
        </w:numPr>
        <w:tabs>
          <w:tab w:val="left" w:pos="0"/>
        </w:tabs>
        <w:jc w:val="both"/>
        <w:rPr>
          <w:rFonts w:ascii="Arial" w:hAnsi="Arial" w:cs="Arial"/>
        </w:rPr>
      </w:pPr>
      <w:hyperlink r:id="rId12" w:history="1">
        <w:r w:rsidR="00E35FBD" w:rsidRPr="003A3B4D">
          <w:rPr>
            <w:rStyle w:val="Lienhypertexte"/>
            <w:rFonts w:ascii="Arial" w:hAnsi="Arial" w:cs="Arial"/>
          </w:rPr>
          <w:t>Observatoire législatif</w:t>
        </w:r>
      </w:hyperlink>
      <w:r w:rsidR="00E35FBD">
        <w:rPr>
          <w:rFonts w:ascii="Arial" w:hAnsi="Arial" w:cs="Arial"/>
        </w:rPr>
        <w:t xml:space="preserve"> – les avis motivés des Parlements nationaux sont publiés, ensemble avec les autres documents de la procédure, dans la Documentation passerelle- section des Parlements n</w:t>
      </w:r>
      <w:r>
        <w:rPr>
          <w:rFonts w:ascii="Arial" w:hAnsi="Arial" w:cs="Arial"/>
        </w:rPr>
        <w:t>ationaux, depuis juillet 2014. L</w:t>
      </w:r>
      <w:r w:rsidR="00E35FBD">
        <w:rPr>
          <w:rFonts w:ascii="Arial" w:hAnsi="Arial" w:cs="Arial"/>
        </w:rPr>
        <w:t xml:space="preserve">es procédures depuis les années 2010 à 2013 contiennent seulement des liens </w:t>
      </w:r>
      <w:r w:rsidR="00E34C89">
        <w:rPr>
          <w:rFonts w:ascii="Arial" w:hAnsi="Arial" w:cs="Arial"/>
        </w:rPr>
        <w:t xml:space="preserve">vers les </w:t>
      </w:r>
      <w:r w:rsidR="00E35FBD">
        <w:rPr>
          <w:rFonts w:ascii="Arial" w:hAnsi="Arial" w:cs="Arial"/>
        </w:rPr>
        <w:t xml:space="preserve">dossiers pertinents de la base de données d’IPEX (et non des liens </w:t>
      </w:r>
      <w:r w:rsidR="00E34C89">
        <w:rPr>
          <w:rFonts w:ascii="Arial" w:hAnsi="Arial" w:cs="Arial"/>
        </w:rPr>
        <w:t xml:space="preserve">vers </w:t>
      </w:r>
      <w:r w:rsidR="00E35FBD">
        <w:rPr>
          <w:rFonts w:ascii="Arial" w:hAnsi="Arial" w:cs="Arial"/>
        </w:rPr>
        <w:t>les avis motivés individuels).</w:t>
      </w:r>
    </w:p>
    <w:p w:rsidR="001B02DD" w:rsidRDefault="00E35FBD" w:rsidP="002C5363">
      <w:pPr>
        <w:tabs>
          <w:tab w:val="left" w:pos="0"/>
        </w:tabs>
        <w:jc w:val="both"/>
        <w:rPr>
          <w:rFonts w:ascii="Arial" w:hAnsi="Arial" w:cs="Arial"/>
          <w:i/>
        </w:rPr>
      </w:pPr>
      <w:r>
        <w:rPr>
          <w:rFonts w:ascii="Arial" w:hAnsi="Arial" w:cs="Arial"/>
          <w:i/>
        </w:rPr>
        <w:t xml:space="preserve">Les informations sur les documents des Parlements nationaux transmis au Parlement </w:t>
      </w:r>
      <w:r w:rsidR="00E34C89">
        <w:rPr>
          <w:rFonts w:ascii="Arial" w:hAnsi="Arial" w:cs="Arial"/>
          <w:i/>
        </w:rPr>
        <w:t>e</w:t>
      </w:r>
      <w:r>
        <w:rPr>
          <w:rFonts w:ascii="Arial" w:hAnsi="Arial" w:cs="Arial"/>
          <w:i/>
        </w:rPr>
        <w:t>uropéen peuvent être trouvées dans :</w:t>
      </w:r>
    </w:p>
    <w:p w:rsidR="001B02DD" w:rsidRDefault="003A3B4D" w:rsidP="002C5363">
      <w:pPr>
        <w:pStyle w:val="Paragraphedeliste"/>
        <w:numPr>
          <w:ilvl w:val="0"/>
          <w:numId w:val="8"/>
        </w:numPr>
        <w:tabs>
          <w:tab w:val="left" w:pos="0"/>
        </w:tabs>
        <w:jc w:val="both"/>
        <w:rPr>
          <w:rFonts w:ascii="Arial" w:hAnsi="Arial" w:cs="Arial"/>
        </w:rPr>
      </w:pPr>
      <w:hyperlink r:id="rId13" w:history="1">
        <w:r w:rsidR="00E35FBD" w:rsidRPr="003A3B4D">
          <w:rPr>
            <w:rStyle w:val="Lienhypertexte"/>
            <w:rFonts w:ascii="Arial" w:hAnsi="Arial" w:cs="Arial"/>
          </w:rPr>
          <w:t>Les statistiques de la vérification de la subsidiarité</w:t>
        </w:r>
      </w:hyperlink>
      <w:r>
        <w:rPr>
          <w:rFonts w:ascii="Arial" w:hAnsi="Arial" w:cs="Arial"/>
        </w:rPr>
        <w:t xml:space="preserve"> </w:t>
      </w:r>
      <w:r w:rsidR="00E35FBD">
        <w:rPr>
          <w:rFonts w:ascii="Arial" w:hAnsi="Arial" w:cs="Arial"/>
        </w:rPr>
        <w:t>- L</w:t>
      </w:r>
      <w:r w:rsidR="00E34C89">
        <w:rPr>
          <w:rFonts w:ascii="Arial" w:hAnsi="Arial" w:cs="Arial"/>
        </w:rPr>
        <w:t xml:space="preserve">a direction </w:t>
      </w:r>
      <w:r w:rsidR="00E35FBD">
        <w:rPr>
          <w:rFonts w:ascii="Arial" w:hAnsi="Arial" w:cs="Arial"/>
        </w:rPr>
        <w:t xml:space="preserve">des Relations avec les Parlements nationaux </w:t>
      </w:r>
      <w:r w:rsidR="00E34C89">
        <w:rPr>
          <w:rFonts w:ascii="Arial" w:hAnsi="Arial" w:cs="Arial"/>
        </w:rPr>
        <w:t xml:space="preserve">du Parlement européen </w:t>
      </w:r>
      <w:r w:rsidR="00E35FBD">
        <w:rPr>
          <w:rFonts w:ascii="Arial" w:hAnsi="Arial" w:cs="Arial"/>
        </w:rPr>
        <w:t>publie « l’état des lieux » avant chaque session plénière du PE et liste les documents reçus depuis la publication de la dernière note</w:t>
      </w:r>
      <w:r w:rsidR="00E34C89">
        <w:rPr>
          <w:rFonts w:ascii="Arial" w:hAnsi="Arial" w:cs="Arial"/>
        </w:rPr>
        <w:t xml:space="preserve"> qui concernent le projets d’actes législatifs à l’ordre du jour de la plénière</w:t>
      </w:r>
      <w:r w:rsidR="00E35FBD">
        <w:rPr>
          <w:rFonts w:ascii="Arial" w:hAnsi="Arial" w:cs="Arial"/>
        </w:rPr>
        <w:t xml:space="preserve">. De même </w:t>
      </w:r>
      <w:r w:rsidR="00E34C89">
        <w:rPr>
          <w:rFonts w:ascii="Arial" w:hAnsi="Arial" w:cs="Arial"/>
        </w:rPr>
        <w:t>d</w:t>
      </w:r>
      <w:r w:rsidR="00E35FBD">
        <w:rPr>
          <w:rFonts w:ascii="Arial" w:hAnsi="Arial" w:cs="Arial"/>
        </w:rPr>
        <w:t xml:space="preserve">es statistiques </w:t>
      </w:r>
      <w:r w:rsidR="00E34C89">
        <w:rPr>
          <w:rFonts w:ascii="Arial" w:hAnsi="Arial" w:cs="Arial"/>
        </w:rPr>
        <w:t xml:space="preserve">sur </w:t>
      </w:r>
      <w:r w:rsidR="00E35FBD">
        <w:rPr>
          <w:rFonts w:ascii="Arial" w:hAnsi="Arial" w:cs="Arial"/>
        </w:rPr>
        <w:t>Protocole n.2 sont disponibles – depuis le 3 juin 2015.</w:t>
      </w:r>
    </w:p>
    <w:p w:rsidR="001B02DD" w:rsidRDefault="001B02DD" w:rsidP="002C5363">
      <w:pPr>
        <w:tabs>
          <w:tab w:val="left" w:pos="0"/>
        </w:tabs>
        <w:jc w:val="both"/>
        <w:rPr>
          <w:rFonts w:ascii="Arial" w:hAnsi="Arial" w:cs="Arial"/>
        </w:rPr>
      </w:pPr>
    </w:p>
    <w:p w:rsidR="001B02DD" w:rsidRDefault="00E35FBD" w:rsidP="002C5363">
      <w:pPr>
        <w:tabs>
          <w:tab w:val="left" w:pos="0"/>
        </w:tabs>
        <w:jc w:val="both"/>
        <w:rPr>
          <w:rFonts w:ascii="Arial" w:hAnsi="Arial" w:cs="Arial"/>
          <w:b/>
        </w:rPr>
      </w:pPr>
      <w:r>
        <w:rPr>
          <w:rFonts w:ascii="Arial" w:hAnsi="Arial" w:cs="Arial"/>
          <w:b/>
        </w:rPr>
        <w:t>Conseil</w:t>
      </w:r>
    </w:p>
    <w:p w:rsidR="001B02DD" w:rsidRDefault="003A3B4D" w:rsidP="002C5363">
      <w:pPr>
        <w:pStyle w:val="Paragraphedeliste"/>
        <w:numPr>
          <w:ilvl w:val="0"/>
          <w:numId w:val="8"/>
        </w:numPr>
        <w:tabs>
          <w:tab w:val="left" w:pos="0"/>
        </w:tabs>
        <w:jc w:val="both"/>
        <w:rPr>
          <w:rFonts w:ascii="Arial" w:hAnsi="Arial" w:cs="Arial"/>
        </w:rPr>
      </w:pPr>
      <w:hyperlink r:id="rId14" w:history="1">
        <w:r w:rsidR="00E35FBD" w:rsidRPr="003A3B4D">
          <w:rPr>
            <w:rStyle w:val="Lienhypertexte"/>
            <w:rFonts w:ascii="Arial" w:hAnsi="Arial" w:cs="Arial"/>
          </w:rPr>
          <w:t>Registre public des documents du Conseil</w:t>
        </w:r>
      </w:hyperlink>
      <w:r>
        <w:rPr>
          <w:rFonts w:ascii="Arial" w:hAnsi="Arial" w:cs="Arial"/>
        </w:rPr>
        <w:t xml:space="preserve"> </w:t>
      </w:r>
      <w:r w:rsidR="00E35FBD">
        <w:rPr>
          <w:rFonts w:ascii="Arial" w:hAnsi="Arial" w:cs="Arial"/>
        </w:rPr>
        <w:t>- dans ce registre les avis motivés peuvent être trouvés en tapant « avis motivés » dans la partie du formulaire de recherche « Mots dans les sujets » (la liste contient seulement 35 résultats depuis 2010)</w:t>
      </w:r>
    </w:p>
    <w:p w:rsidR="001B02DD" w:rsidRDefault="001B02DD" w:rsidP="002C5363">
      <w:pPr>
        <w:tabs>
          <w:tab w:val="left" w:pos="0"/>
        </w:tabs>
        <w:jc w:val="both"/>
        <w:rPr>
          <w:rFonts w:ascii="Arial" w:hAnsi="Arial" w:cs="Arial"/>
        </w:rPr>
      </w:pPr>
    </w:p>
    <w:p w:rsidR="001B02DD" w:rsidRDefault="00E35FBD" w:rsidP="002C5363">
      <w:pPr>
        <w:tabs>
          <w:tab w:val="left" w:pos="0"/>
        </w:tabs>
        <w:jc w:val="both"/>
        <w:rPr>
          <w:rFonts w:ascii="Arial" w:hAnsi="Arial" w:cs="Arial"/>
          <w:b/>
        </w:rPr>
      </w:pPr>
      <w:r>
        <w:rPr>
          <w:rFonts w:ascii="Arial" w:hAnsi="Arial" w:cs="Arial"/>
          <w:b/>
        </w:rPr>
        <w:t>3 institutions – une base de données future possible :</w:t>
      </w:r>
    </w:p>
    <w:p w:rsidR="001B02DD" w:rsidRDefault="00E35FBD" w:rsidP="002C5363">
      <w:pPr>
        <w:pStyle w:val="Paragraphedeliste"/>
        <w:numPr>
          <w:ilvl w:val="0"/>
          <w:numId w:val="8"/>
        </w:numPr>
        <w:tabs>
          <w:tab w:val="left" w:pos="0"/>
        </w:tabs>
        <w:jc w:val="both"/>
      </w:pPr>
      <w:r>
        <w:rPr>
          <w:rFonts w:ascii="Arial" w:hAnsi="Arial" w:cs="Arial"/>
        </w:rPr>
        <w:t>Une base de données commune future des dossiers législatifs (</w:t>
      </w:r>
      <w:r w:rsidR="00E34C89">
        <w:rPr>
          <w:rFonts w:ascii="Arial" w:hAnsi="Arial" w:cs="Arial"/>
        </w:rPr>
        <w:t>y compris l</w:t>
      </w:r>
      <w:r>
        <w:rPr>
          <w:rFonts w:ascii="Arial" w:hAnsi="Arial" w:cs="Arial"/>
        </w:rPr>
        <w:t>es trilogues)</w:t>
      </w:r>
      <w:r w:rsidR="003A3B4D">
        <w:rPr>
          <w:rFonts w:ascii="Arial" w:hAnsi="Arial" w:cs="Arial"/>
        </w:rPr>
        <w:t xml:space="preserve"> </w:t>
      </w:r>
      <w:r>
        <w:rPr>
          <w:rFonts w:ascii="Arial" w:hAnsi="Arial" w:cs="Arial"/>
        </w:rPr>
        <w:t>- sur la base de l’Art.39 de l’accord Interinstitutionnel pour mieux légiférer du 16 avril 2016.</w:t>
      </w:r>
    </w:p>
    <w:sectPr w:rsidR="001B02DD">
      <w:footerReference w:type="defaul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75" w:rsidRDefault="000C2A75">
      <w:pPr>
        <w:spacing w:after="0" w:line="240" w:lineRule="auto"/>
      </w:pPr>
      <w:r>
        <w:separator/>
      </w:r>
    </w:p>
  </w:endnote>
  <w:endnote w:type="continuationSeparator" w:id="0">
    <w:p w:rsidR="000C2A75" w:rsidRDefault="000C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BD" w:rsidRDefault="00E35FBD">
    <w:pPr>
      <w:pStyle w:val="Pieddepage"/>
      <w:jc w:val="right"/>
    </w:pPr>
    <w:r>
      <w:rPr>
        <w:lang w:val="fr-FR"/>
      </w:rPr>
      <w:fldChar w:fldCharType="begin"/>
    </w:r>
    <w:r>
      <w:rPr>
        <w:lang w:val="fr-FR"/>
      </w:rPr>
      <w:instrText xml:space="preserve"> PAGE </w:instrText>
    </w:r>
    <w:r>
      <w:rPr>
        <w:lang w:val="fr-FR"/>
      </w:rPr>
      <w:fldChar w:fldCharType="separate"/>
    </w:r>
    <w:r w:rsidR="00814500">
      <w:rPr>
        <w:noProof/>
        <w:lang w:val="fr-FR"/>
      </w:rPr>
      <w:t>12</w:t>
    </w:r>
    <w:r>
      <w:rPr>
        <w:lang w:val="fr-FR"/>
      </w:rPr>
      <w:fldChar w:fldCharType="end"/>
    </w:r>
  </w:p>
  <w:p w:rsidR="00E35FBD" w:rsidRDefault="00E35F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75" w:rsidRDefault="000C2A75">
      <w:pPr>
        <w:spacing w:after="0" w:line="240" w:lineRule="auto"/>
      </w:pPr>
      <w:r>
        <w:rPr>
          <w:color w:val="000000"/>
        </w:rPr>
        <w:separator/>
      </w:r>
    </w:p>
  </w:footnote>
  <w:footnote w:type="continuationSeparator" w:id="0">
    <w:p w:rsidR="000C2A75" w:rsidRDefault="000C2A75">
      <w:pPr>
        <w:spacing w:after="0" w:line="240" w:lineRule="auto"/>
      </w:pPr>
      <w:r>
        <w:continuationSeparator/>
      </w:r>
    </w:p>
  </w:footnote>
  <w:footnote w:id="1">
    <w:p w:rsidR="00E35FBD" w:rsidRDefault="00E35FBD">
      <w:pPr>
        <w:pStyle w:val="Notedebasdepage"/>
      </w:pPr>
      <w:r>
        <w:rPr>
          <w:rStyle w:val="Appelnotedebasdep"/>
        </w:rPr>
        <w:footnoteRef/>
      </w:r>
      <w:r>
        <w:t xml:space="preserve"> </w:t>
      </w:r>
      <w:r>
        <w:rPr>
          <w:rFonts w:ascii="Arial" w:hAnsi="Arial" w:cs="Arial"/>
          <w:sz w:val="18"/>
          <w:szCs w:val="18"/>
        </w:rPr>
        <w:t>Ligne directrices IPEX, Rome 2015</w:t>
      </w:r>
    </w:p>
  </w:footnote>
  <w:footnote w:id="2">
    <w:p w:rsidR="00E35FBD" w:rsidRDefault="00E35FBD">
      <w:pPr>
        <w:pStyle w:val="Notedebasdepage"/>
      </w:pPr>
      <w:r>
        <w:rPr>
          <w:rStyle w:val="Appelnotedebasdep"/>
        </w:rPr>
        <w:footnoteRef/>
      </w:r>
      <w:r>
        <w:rPr>
          <w:rFonts w:ascii="Arial" w:hAnsi="Arial" w:cs="Arial"/>
          <w:sz w:val="18"/>
          <w:szCs w:val="18"/>
        </w:rPr>
        <w:t xml:space="preserve"> Le groupe de travail a été établi le 2 octobre 2015 à Bruxelles et élargi le 1 juillet et le 21 octobre 2016 à Luxembourg</w:t>
      </w:r>
    </w:p>
  </w:footnote>
  <w:footnote w:id="3">
    <w:p w:rsidR="00E35FBD" w:rsidRDefault="00E35FBD">
      <w:pPr>
        <w:pStyle w:val="Notedebasdepage"/>
      </w:pPr>
      <w:r>
        <w:rPr>
          <w:rStyle w:val="Appelnotedebasdep"/>
        </w:rPr>
        <w:footnoteRef/>
      </w:r>
      <w:r>
        <w:rPr>
          <w:rFonts w:ascii="Arial" w:hAnsi="Arial" w:cs="Arial"/>
          <w:sz w:val="18"/>
          <w:szCs w:val="18"/>
        </w:rPr>
        <w:t xml:space="preserve"> Le groupe de travail a rédigé une première version de ce PT – en conformité avec le contenu de la stratégie digitale proposée- simultanément avec la procédure de finalisation de la stratégie digitale.</w:t>
      </w:r>
    </w:p>
  </w:footnote>
  <w:footnote w:id="4">
    <w:p w:rsidR="00E35FBD" w:rsidRDefault="00E35FBD">
      <w:pPr>
        <w:pStyle w:val="Notedebasdepage"/>
      </w:pPr>
      <w:r>
        <w:rPr>
          <w:rStyle w:val="Appelnotedebasdep"/>
        </w:rPr>
        <w:footnoteRef/>
      </w:r>
      <w:r>
        <w:rPr>
          <w:rFonts w:ascii="Arial" w:hAnsi="Arial" w:cs="Arial"/>
          <w:sz w:val="18"/>
          <w:szCs w:val="18"/>
        </w:rPr>
        <w:t xml:space="preserve"> Lignes directrices IPEX, Rome 2015, lignes directrices pour la coopération interparlementaire dans l’Union européenne, Lisbonne 2008 ; Conférence des Présidents et conclusion</w:t>
      </w:r>
      <w:r w:rsidR="002A5B57">
        <w:rPr>
          <w:rFonts w:ascii="Arial" w:hAnsi="Arial" w:cs="Arial"/>
          <w:sz w:val="18"/>
          <w:szCs w:val="18"/>
        </w:rPr>
        <w:t xml:space="preserve"> de la réunion des Secrétaires g</w:t>
      </w:r>
      <w:r>
        <w:rPr>
          <w:rFonts w:ascii="Arial" w:hAnsi="Arial" w:cs="Arial"/>
          <w:sz w:val="18"/>
          <w:szCs w:val="18"/>
        </w:rPr>
        <w:t>énéraux sur IPEX ; la note « Rôle d’IPEX », Luxembourg 2016</w:t>
      </w:r>
    </w:p>
  </w:footnote>
  <w:footnote w:id="5">
    <w:p w:rsidR="00E35FBD" w:rsidRDefault="00E35FBD">
      <w:pPr>
        <w:pStyle w:val="Notedebasdepage"/>
      </w:pPr>
      <w:r>
        <w:rPr>
          <w:rStyle w:val="Appelnotedebasdep"/>
        </w:rPr>
        <w:footnoteRef/>
      </w:r>
      <w:r>
        <w:rPr>
          <w:rFonts w:ascii="Arial" w:hAnsi="Arial" w:cs="Arial"/>
          <w:sz w:val="18"/>
          <w:szCs w:val="18"/>
        </w:rPr>
        <w:t xml:space="preserve"> « </w:t>
      </w:r>
      <w:proofErr w:type="gramStart"/>
      <w:r>
        <w:rPr>
          <w:rFonts w:ascii="Arial" w:hAnsi="Arial" w:cs="Arial"/>
          <w:sz w:val="18"/>
          <w:szCs w:val="18"/>
        </w:rPr>
        <w:t>règles</w:t>
      </w:r>
      <w:proofErr w:type="gramEnd"/>
      <w:r>
        <w:rPr>
          <w:rFonts w:ascii="Arial" w:hAnsi="Arial" w:cs="Arial"/>
          <w:sz w:val="18"/>
          <w:szCs w:val="18"/>
        </w:rPr>
        <w:t xml:space="preserve"> éditoriales générales IPEX » sont publiées sur la page «  IPEX des Correspondants »</w:t>
      </w:r>
    </w:p>
  </w:footnote>
  <w:footnote w:id="6">
    <w:p w:rsidR="00E35FBD" w:rsidRDefault="00E35FBD">
      <w:pPr>
        <w:pStyle w:val="Notedebasdepage"/>
      </w:pPr>
      <w:r>
        <w:rPr>
          <w:rStyle w:val="Appelnotedebasdep"/>
        </w:rPr>
        <w:footnoteRef/>
      </w:r>
      <w:r>
        <w:rPr>
          <w:rFonts w:ascii="Arial" w:hAnsi="Arial" w:cs="Arial"/>
          <w:sz w:val="18"/>
          <w:szCs w:val="18"/>
        </w:rPr>
        <w:t xml:space="preserve"> </w:t>
      </w:r>
      <w:hyperlink r:id="rId1" w:history="1">
        <w:r>
          <w:rPr>
            <w:rStyle w:val="Lienhypertexte"/>
            <w:rFonts w:ascii="Arial" w:hAnsi="Arial" w:cs="Arial"/>
            <w:sz w:val="18"/>
            <w:szCs w:val="18"/>
          </w:rPr>
          <w:t>http://www.w3.org/WAI/</w:t>
        </w:r>
      </w:hyperlink>
      <w:r>
        <w:rPr>
          <w:rFonts w:ascii="Arial" w:hAnsi="Arial" w:cs="Arial"/>
          <w:sz w:val="18"/>
          <w:szCs w:val="18"/>
        </w:rPr>
        <w:t xml:space="preserve"> - accédé le 4 janvier 2017</w:t>
      </w:r>
    </w:p>
  </w:footnote>
  <w:footnote w:id="7">
    <w:p w:rsidR="00E35FBD" w:rsidRDefault="00E35FBD">
      <w:pPr>
        <w:pStyle w:val="Notedebasdepage"/>
      </w:pPr>
      <w:r>
        <w:rPr>
          <w:rStyle w:val="Appelnotedebasdep"/>
        </w:rPr>
        <w:footnoteRef/>
      </w:r>
      <w:r>
        <w:rPr>
          <w:rFonts w:ascii="Arial" w:hAnsi="Arial" w:cs="Arial"/>
          <w:sz w:val="18"/>
          <w:szCs w:val="18"/>
        </w:rPr>
        <w:t xml:space="preserve"> Les intervenants </w:t>
      </w:r>
      <w:r w:rsidR="00E52487">
        <w:rPr>
          <w:rFonts w:ascii="Arial" w:hAnsi="Arial" w:cs="Arial"/>
          <w:sz w:val="18"/>
          <w:szCs w:val="18"/>
        </w:rPr>
        <w:t>autorisés</w:t>
      </w:r>
      <w:r>
        <w:rPr>
          <w:rFonts w:ascii="Arial" w:hAnsi="Arial" w:cs="Arial"/>
          <w:sz w:val="18"/>
          <w:szCs w:val="18"/>
        </w:rPr>
        <w:t>–hormis l’</w:t>
      </w:r>
      <w:r w:rsidRPr="002C5363">
        <w:rPr>
          <w:rFonts w:ascii="Arial" w:hAnsi="Arial" w:cs="Arial"/>
          <w:i/>
          <w:sz w:val="18"/>
          <w:szCs w:val="18"/>
        </w:rPr>
        <w:t xml:space="preserve">Information </w:t>
      </w:r>
      <w:proofErr w:type="spellStart"/>
      <w:r w:rsidRPr="002C5363">
        <w:rPr>
          <w:rFonts w:ascii="Arial" w:hAnsi="Arial" w:cs="Arial"/>
          <w:i/>
          <w:sz w:val="18"/>
          <w:szCs w:val="18"/>
        </w:rPr>
        <w:t>Officer</w:t>
      </w:r>
      <w:proofErr w:type="spellEnd"/>
      <w:r w:rsidRPr="002C5363">
        <w:rPr>
          <w:rFonts w:ascii="Arial" w:hAnsi="Arial" w:cs="Arial"/>
          <w:i/>
          <w:sz w:val="18"/>
          <w:szCs w:val="18"/>
        </w:rPr>
        <w:t xml:space="preserve"> </w:t>
      </w:r>
      <w:r w:rsidR="00E52487" w:rsidRPr="00360D99">
        <w:rPr>
          <w:rFonts w:ascii="Arial" w:hAnsi="Arial" w:cs="Arial"/>
          <w:sz w:val="18"/>
          <w:szCs w:val="18"/>
        </w:rPr>
        <w:t>et</w:t>
      </w:r>
      <w:r w:rsidR="00360D99">
        <w:rPr>
          <w:rFonts w:ascii="Arial" w:hAnsi="Arial" w:cs="Arial"/>
          <w:sz w:val="18"/>
          <w:szCs w:val="18"/>
        </w:rPr>
        <w:t xml:space="preserve"> </w:t>
      </w:r>
      <w:r>
        <w:rPr>
          <w:rFonts w:ascii="Arial" w:hAnsi="Arial" w:cs="Arial"/>
          <w:sz w:val="18"/>
          <w:szCs w:val="18"/>
        </w:rPr>
        <w:t>les Correspondants nationaux- sont : CE,</w:t>
      </w:r>
      <w:r w:rsidR="00814500">
        <w:rPr>
          <w:rFonts w:ascii="Arial" w:hAnsi="Arial" w:cs="Arial"/>
          <w:sz w:val="18"/>
          <w:szCs w:val="18"/>
        </w:rPr>
        <w:t xml:space="preserve"> </w:t>
      </w:r>
      <w:r>
        <w:rPr>
          <w:rFonts w:ascii="Arial" w:hAnsi="Arial" w:cs="Arial"/>
          <w:sz w:val="18"/>
          <w:szCs w:val="18"/>
        </w:rPr>
        <w:t xml:space="preserve">PE, BIE, les Présidences des conférences interparlementaires ou organes hébergés sur le site IPEX. </w:t>
      </w:r>
    </w:p>
    <w:p w:rsidR="00E35FBD" w:rsidRDefault="00E35FBD">
      <w:pPr>
        <w:pStyle w:val="Notedebasdepage"/>
      </w:pPr>
    </w:p>
  </w:footnote>
  <w:footnote w:id="8">
    <w:p w:rsidR="00E35FBD" w:rsidRDefault="00E35FBD">
      <w:pPr>
        <w:pStyle w:val="Notedebasdepage"/>
      </w:pPr>
      <w:r>
        <w:rPr>
          <w:rStyle w:val="Appelnotedebasdep"/>
        </w:rPr>
        <w:footnoteRef/>
      </w:r>
      <w:r>
        <w:rPr>
          <w:rFonts w:ascii="Arial" w:hAnsi="Arial" w:cs="Arial"/>
          <w:sz w:val="18"/>
          <w:szCs w:val="18"/>
        </w:rPr>
        <w:t xml:space="preserve"> Le Glossaire est publié sur le site IPEX : section « A propos d’IPEX » (Documents essentiels)</w:t>
      </w:r>
    </w:p>
  </w:footnote>
  <w:footnote w:id="9">
    <w:p w:rsidR="00E35FBD" w:rsidRDefault="00E35FBD">
      <w:pPr>
        <w:pStyle w:val="Notedebasdepage"/>
      </w:pPr>
      <w:r>
        <w:rPr>
          <w:rStyle w:val="Appelnotedebasdep"/>
        </w:rPr>
        <w:footnoteRef/>
      </w:r>
      <w:r>
        <w:rPr>
          <w:rFonts w:ascii="Arial" w:hAnsi="Arial" w:cs="Arial"/>
          <w:sz w:val="18"/>
          <w:szCs w:val="18"/>
        </w:rPr>
        <w:t xml:space="preserve"> Les Correspondants nationa</w:t>
      </w:r>
      <w:bookmarkStart w:id="8" w:name="_GoBack"/>
      <w:bookmarkEnd w:id="8"/>
      <w:r>
        <w:rPr>
          <w:rFonts w:ascii="Arial" w:hAnsi="Arial" w:cs="Arial"/>
          <w:sz w:val="18"/>
          <w:szCs w:val="18"/>
        </w:rPr>
        <w:t>ux soutenus par l’</w:t>
      </w:r>
      <w:r w:rsidRPr="00814500">
        <w:rPr>
          <w:rFonts w:ascii="Arial" w:hAnsi="Arial" w:cs="Arial"/>
          <w:i/>
          <w:sz w:val="18"/>
          <w:szCs w:val="18"/>
        </w:rPr>
        <w:t xml:space="preserve">Information </w:t>
      </w:r>
      <w:proofErr w:type="spellStart"/>
      <w:r w:rsidRPr="00814500">
        <w:rPr>
          <w:rFonts w:ascii="Arial" w:hAnsi="Arial" w:cs="Arial"/>
          <w:i/>
          <w:sz w:val="18"/>
          <w:szCs w:val="18"/>
        </w:rPr>
        <w:t>Officer</w:t>
      </w:r>
      <w:proofErr w:type="spellEnd"/>
      <w:r>
        <w:rPr>
          <w:rFonts w:ascii="Arial" w:hAnsi="Arial" w:cs="Arial"/>
          <w:sz w:val="18"/>
          <w:szCs w:val="18"/>
        </w:rPr>
        <w:t xml:space="preserve">, sont responsables pour les documents et les informations des pages des Parlements nationaux –téléchargés par les Correspondants IPEX manuellement et/ou via XML </w:t>
      </w:r>
      <w:proofErr w:type="spellStart"/>
      <w:r>
        <w:rPr>
          <w:rFonts w:ascii="Arial" w:hAnsi="Arial" w:cs="Arial"/>
          <w:sz w:val="18"/>
          <w:szCs w:val="18"/>
        </w:rPr>
        <w:t>feed</w:t>
      </w:r>
      <w:proofErr w:type="spellEnd"/>
      <w:r>
        <w:rPr>
          <w:rFonts w:ascii="Arial" w:hAnsi="Arial" w:cs="Arial"/>
          <w:sz w:val="18"/>
          <w:szCs w:val="18"/>
        </w:rPr>
        <w:t>.</w:t>
      </w:r>
    </w:p>
  </w:footnote>
  <w:footnote w:id="10">
    <w:p w:rsidR="00E35FBD" w:rsidRDefault="00E35FBD">
      <w:pPr>
        <w:pStyle w:val="Notedebasdepage"/>
      </w:pPr>
      <w:r>
        <w:rPr>
          <w:rStyle w:val="Appelnotedebasdep"/>
        </w:rPr>
        <w:footnoteRef/>
      </w:r>
      <w:r>
        <w:rPr>
          <w:rFonts w:ascii="Arial" w:hAnsi="Arial" w:cs="Arial"/>
          <w:sz w:val="18"/>
          <w:szCs w:val="18"/>
        </w:rPr>
        <w:t xml:space="preserve"> Données concernant le contenu et les fonctionnalités des bases de données et des statistiques –comme au 1 janvier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4493"/>
    <w:multiLevelType w:val="multilevel"/>
    <w:tmpl w:val="19648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7B7B98"/>
    <w:multiLevelType w:val="hybridMultilevel"/>
    <w:tmpl w:val="6F6AA4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2C93442D"/>
    <w:multiLevelType w:val="multilevel"/>
    <w:tmpl w:val="2D8CD89C"/>
    <w:lvl w:ilvl="0">
      <w:start w:val="1"/>
      <w:numFmt w:val="decimal"/>
      <w:lvlText w:val="%1)"/>
      <w:lvlJc w:val="left"/>
      <w:pPr>
        <w:ind w:left="1068" w:hanging="360"/>
      </w:pPr>
      <w:rPr>
        <w:rFonts w:ascii="Arial" w:hAnsi="Arial" w:cs="Aria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D0E277A"/>
    <w:multiLevelType w:val="multilevel"/>
    <w:tmpl w:val="40E85A0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1344599"/>
    <w:multiLevelType w:val="multilevel"/>
    <w:tmpl w:val="344A432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8B2D63"/>
    <w:multiLevelType w:val="multilevel"/>
    <w:tmpl w:val="DD0A6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5B4F30"/>
    <w:multiLevelType w:val="multilevel"/>
    <w:tmpl w:val="4B322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F83BBD"/>
    <w:multiLevelType w:val="multilevel"/>
    <w:tmpl w:val="344A432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6E19AA"/>
    <w:multiLevelType w:val="multilevel"/>
    <w:tmpl w:val="86C00930"/>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D9E6AE2"/>
    <w:multiLevelType w:val="multilevel"/>
    <w:tmpl w:val="3E3A88F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10" w15:restartNumberingAfterBreak="0">
    <w:nsid w:val="5B0236E5"/>
    <w:multiLevelType w:val="multilevel"/>
    <w:tmpl w:val="54221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9"/>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DD"/>
    <w:rsid w:val="0005748F"/>
    <w:rsid w:val="000C2A75"/>
    <w:rsid w:val="001127FF"/>
    <w:rsid w:val="0012214F"/>
    <w:rsid w:val="00143488"/>
    <w:rsid w:val="0015736E"/>
    <w:rsid w:val="001678B6"/>
    <w:rsid w:val="001A64FC"/>
    <w:rsid w:val="001B02DD"/>
    <w:rsid w:val="00244E53"/>
    <w:rsid w:val="002A5B57"/>
    <w:rsid w:val="002C5363"/>
    <w:rsid w:val="003021BB"/>
    <w:rsid w:val="00326DA7"/>
    <w:rsid w:val="00331AD7"/>
    <w:rsid w:val="00360D99"/>
    <w:rsid w:val="00377A80"/>
    <w:rsid w:val="00391AF9"/>
    <w:rsid w:val="003A3B4D"/>
    <w:rsid w:val="0046421E"/>
    <w:rsid w:val="0052712C"/>
    <w:rsid w:val="005463A8"/>
    <w:rsid w:val="00613A04"/>
    <w:rsid w:val="00656242"/>
    <w:rsid w:val="00690B72"/>
    <w:rsid w:val="006B0B3F"/>
    <w:rsid w:val="006F52F8"/>
    <w:rsid w:val="0072653F"/>
    <w:rsid w:val="007355DC"/>
    <w:rsid w:val="007A7434"/>
    <w:rsid w:val="00814500"/>
    <w:rsid w:val="00A23378"/>
    <w:rsid w:val="00A23B73"/>
    <w:rsid w:val="00AE2494"/>
    <w:rsid w:val="00B32700"/>
    <w:rsid w:val="00BA1FEC"/>
    <w:rsid w:val="00BB1CBF"/>
    <w:rsid w:val="00C22421"/>
    <w:rsid w:val="00D01D69"/>
    <w:rsid w:val="00D34E92"/>
    <w:rsid w:val="00D94E18"/>
    <w:rsid w:val="00E34C89"/>
    <w:rsid w:val="00E35FBD"/>
    <w:rsid w:val="00E52487"/>
    <w:rsid w:val="00F831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73FE"/>
  <w15:docId w15:val="{AD8F81C5-62B6-46DA-8ADC-4E4C940F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LU"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link w:val="Titre1Car"/>
    <w:uiPriority w:val="9"/>
    <w:qFormat/>
    <w:rsid w:val="00112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05748F"/>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Notedebasdepage">
    <w:name w:val="footnote text"/>
    <w:basedOn w:val="Normal"/>
    <w:pPr>
      <w:spacing w:after="0" w:line="240" w:lineRule="auto"/>
    </w:pPr>
    <w:rPr>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paragraph" w:styleId="Notedefin">
    <w:name w:val="endnote text"/>
    <w:basedOn w:val="Normal"/>
    <w:pPr>
      <w:spacing w:after="0" w:line="240" w:lineRule="auto"/>
    </w:pPr>
    <w:rPr>
      <w:sz w:val="20"/>
      <w:szCs w:val="20"/>
    </w:rPr>
  </w:style>
  <w:style w:type="character" w:customStyle="1" w:styleId="NotedefinCar">
    <w:name w:val="Note de fin Car"/>
    <w:basedOn w:val="Policepardfaut"/>
    <w:rPr>
      <w:sz w:val="20"/>
      <w:szCs w:val="20"/>
    </w:rPr>
  </w:style>
  <w:style w:type="character" w:styleId="Appeldenotedefin">
    <w:name w:val="endnote reference"/>
    <w:basedOn w:val="Policepardfaut"/>
    <w:rPr>
      <w:position w:val="0"/>
      <w:vertAlign w:val="superscript"/>
    </w:rPr>
  </w:style>
  <w:style w:type="character" w:styleId="Lienhypertexte">
    <w:name w:val="Hyperlink"/>
    <w:basedOn w:val="Policepardfaut"/>
    <w:uiPriority w:val="99"/>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Titre1Car">
    <w:name w:val="Titre 1 Car"/>
    <w:basedOn w:val="Policepardfaut"/>
    <w:link w:val="Titre1"/>
    <w:uiPriority w:val="9"/>
    <w:rsid w:val="001127F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5748F"/>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BA1FEC"/>
    <w:pPr>
      <w:suppressAutoHyphens w:val="0"/>
      <w:autoSpaceDN/>
      <w:spacing w:line="259" w:lineRule="auto"/>
      <w:textAlignment w:val="auto"/>
      <w:outlineLvl w:val="9"/>
    </w:pPr>
    <w:rPr>
      <w:lang w:eastAsia="fr-LU"/>
    </w:rPr>
  </w:style>
  <w:style w:type="paragraph" w:styleId="TM1">
    <w:name w:val="toc 1"/>
    <w:basedOn w:val="Normal"/>
    <w:next w:val="Normal"/>
    <w:autoRedefine/>
    <w:uiPriority w:val="39"/>
    <w:unhideWhenUsed/>
    <w:rsid w:val="00BA1FEC"/>
    <w:pPr>
      <w:spacing w:after="100"/>
    </w:pPr>
  </w:style>
  <w:style w:type="paragraph" w:styleId="TM2">
    <w:name w:val="toc 2"/>
    <w:basedOn w:val="Normal"/>
    <w:next w:val="Normal"/>
    <w:autoRedefine/>
    <w:uiPriority w:val="39"/>
    <w:unhideWhenUsed/>
    <w:rsid w:val="00BA1FEC"/>
    <w:pPr>
      <w:spacing w:after="100"/>
      <w:ind w:left="220"/>
    </w:pPr>
  </w:style>
  <w:style w:type="character" w:styleId="Lienhypertextesuivivisit">
    <w:name w:val="FollowedHyperlink"/>
    <w:basedOn w:val="Policepardfaut"/>
    <w:uiPriority w:val="99"/>
    <w:semiHidden/>
    <w:unhideWhenUsed/>
    <w:rsid w:val="003A3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rl.europa.eu/relnatparl/en/about/subsidiar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oeil/search/search.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RegistreWeb/search/typedoc.htm?codeTypeDocu=A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dgs/secretariat_general/relations/relations_other/npo/index_fr.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ilium.europa.eu/register/en/content/int/?lang=EN&amp;typ=AD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3.org/WA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FD87-B937-4559-8876-B14CABA8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3460</Words>
  <Characters>19035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Carl</dc:creator>
  <dc:description/>
  <cp:lastModifiedBy>Yves Carl</cp:lastModifiedBy>
  <cp:revision>5</cp:revision>
  <dcterms:created xsi:type="dcterms:W3CDTF">2017-02-17T13:04:00Z</dcterms:created>
  <dcterms:modified xsi:type="dcterms:W3CDTF">2017-02-17T13:17:00Z</dcterms:modified>
</cp:coreProperties>
</file>